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188D54" w14:textId="6D3B1F27" w:rsidR="00421F6B" w:rsidRPr="00785A50" w:rsidRDefault="00F57220" w:rsidP="00421F6B">
      <w:pPr>
        <w:sectPr w:rsidR="00421F6B" w:rsidRPr="00785A50" w:rsidSect="00A04037">
          <w:headerReference w:type="default" r:id="rId13"/>
          <w:footerReference w:type="default" r:id="rId14"/>
          <w:pgSz w:w="11906" w:h="16838"/>
          <w:pgMar w:top="1440" w:right="1440" w:bottom="1440" w:left="1440" w:header="708" w:footer="708" w:gutter="0"/>
          <w:cols w:space="708"/>
          <w:docGrid w:linePitch="360"/>
        </w:sectPr>
      </w:pPr>
      <w:r>
        <w:rPr>
          <w:noProof/>
        </w:rPr>
        <mc:AlternateContent>
          <mc:Choice Requires="wps">
            <w:drawing>
              <wp:anchor distT="0" distB="0" distL="114300" distR="114300" simplePos="0" relativeHeight="251659264" behindDoc="0" locked="0" layoutInCell="1" allowOverlap="1" wp14:anchorId="7C04A4D6" wp14:editId="7B79082A">
                <wp:simplePos x="0" y="0"/>
                <wp:positionH relativeFrom="column">
                  <wp:posOffset>3733800</wp:posOffset>
                </wp:positionH>
                <wp:positionV relativeFrom="paragraph">
                  <wp:posOffset>1552575</wp:posOffset>
                </wp:positionV>
                <wp:extent cx="2585085" cy="7610475"/>
                <wp:effectExtent l="0" t="0" r="0" b="952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085" cy="7610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6AB0F" w14:textId="77777777" w:rsidR="00B36C1A" w:rsidRDefault="00B36C1A" w:rsidP="00A04037"/>
                          <w:p w14:paraId="0BAD0EEE" w14:textId="77777777" w:rsidR="00B36C1A" w:rsidRPr="009315C8" w:rsidRDefault="00B36C1A" w:rsidP="00A04037"/>
                          <w:p w14:paraId="092287F2" w14:textId="77777777" w:rsidR="00B36C1A" w:rsidRPr="00277B33" w:rsidRDefault="00B36C1A" w:rsidP="00EC6D4E">
                            <w:pPr>
                              <w:spacing w:before="120" w:line="240" w:lineRule="auto"/>
                              <w:rPr>
                                <w:b/>
                                <w:color w:val="FFFFFF"/>
                                <w:sz w:val="36"/>
                              </w:rPr>
                            </w:pPr>
                            <w:r w:rsidRPr="00277B33">
                              <w:rPr>
                                <w:b/>
                                <w:bCs/>
                                <w:color w:val="FFFFFF"/>
                                <w:sz w:val="36"/>
                              </w:rPr>
                              <w:t>Evaluation of the N</w:t>
                            </w:r>
                            <w:r>
                              <w:rPr>
                                <w:b/>
                                <w:bCs/>
                                <w:color w:val="FFFFFF"/>
                                <w:sz w:val="36"/>
                              </w:rPr>
                              <w:t xml:space="preserve">ew </w:t>
                            </w:r>
                            <w:r w:rsidRPr="00277B33">
                              <w:rPr>
                                <w:b/>
                                <w:bCs/>
                                <w:color w:val="FFFFFF"/>
                                <w:sz w:val="36"/>
                              </w:rPr>
                              <w:t>G</w:t>
                            </w:r>
                            <w:r>
                              <w:rPr>
                                <w:b/>
                                <w:bCs/>
                                <w:color w:val="FFFFFF"/>
                                <w:sz w:val="36"/>
                              </w:rPr>
                              <w:t xml:space="preserve">raduate </w:t>
                            </w:r>
                            <w:r w:rsidRPr="00277B33">
                              <w:rPr>
                                <w:b/>
                                <w:bCs/>
                                <w:color w:val="FFFFFF"/>
                                <w:sz w:val="36"/>
                              </w:rPr>
                              <w:t>N</w:t>
                            </w:r>
                            <w:r>
                              <w:rPr>
                                <w:b/>
                                <w:bCs/>
                                <w:color w:val="FFFFFF"/>
                                <w:sz w:val="36"/>
                              </w:rPr>
                              <w:t>urse</w:t>
                            </w:r>
                            <w:r w:rsidRPr="00277B33">
                              <w:rPr>
                                <w:b/>
                                <w:bCs/>
                                <w:color w:val="FFFFFF"/>
                                <w:sz w:val="36"/>
                              </w:rPr>
                              <w:t xml:space="preserve"> employment scheme through the Very Low Cost Access initiative</w:t>
                            </w:r>
                            <w:r>
                              <w:rPr>
                                <w:b/>
                                <w:bCs/>
                                <w:color w:val="FFFFFF"/>
                                <w:sz w:val="36"/>
                              </w:rPr>
                              <w:t>: Final evaluation report</w:t>
                            </w:r>
                            <w:r w:rsidRPr="00277B33">
                              <w:rPr>
                                <w:b/>
                                <w:bCs/>
                                <w:color w:val="FFFFFF"/>
                                <w:sz w:val="36"/>
                              </w:rPr>
                              <w:t xml:space="preserve"> </w:t>
                            </w:r>
                          </w:p>
                          <w:p w14:paraId="0CC60D55" w14:textId="77777777" w:rsidR="00B36C1A" w:rsidRPr="00B2473A" w:rsidRDefault="00B36C1A" w:rsidP="00A04037">
                            <w:pPr>
                              <w:spacing w:before="120" w:line="240" w:lineRule="auto"/>
                              <w:rPr>
                                <w:b/>
                                <w:color w:val="FFFFFF"/>
                                <w:sz w:val="36"/>
                              </w:rPr>
                            </w:pPr>
                          </w:p>
                          <w:p w14:paraId="24FA351F" w14:textId="77777777" w:rsidR="00B36C1A" w:rsidRPr="00B2473A" w:rsidRDefault="00B36C1A" w:rsidP="00A04037">
                            <w:pPr>
                              <w:spacing w:before="120" w:line="240" w:lineRule="auto"/>
                              <w:rPr>
                                <w:color w:val="FFFFFF"/>
                                <w:sz w:val="32"/>
                              </w:rPr>
                            </w:pPr>
                            <w:r>
                              <w:rPr>
                                <w:color w:val="FFFFFF"/>
                                <w:sz w:val="32"/>
                              </w:rPr>
                              <w:t>R</w:t>
                            </w:r>
                            <w:r w:rsidRPr="00B2473A">
                              <w:rPr>
                                <w:color w:val="FFFFFF"/>
                                <w:sz w:val="32"/>
                              </w:rPr>
                              <w:t xml:space="preserve">eport for </w:t>
                            </w:r>
                            <w:r>
                              <w:rPr>
                                <w:color w:val="FFFFFF"/>
                                <w:sz w:val="32"/>
                              </w:rPr>
                              <w:t>Ministry of Health</w:t>
                            </w:r>
                          </w:p>
                          <w:p w14:paraId="2DD4A56D" w14:textId="77777777" w:rsidR="00B36C1A" w:rsidRPr="00B2473A" w:rsidRDefault="00B36C1A" w:rsidP="00A04037">
                            <w:pPr>
                              <w:rPr>
                                <w:color w:val="FFFFFF"/>
                              </w:rPr>
                            </w:pPr>
                          </w:p>
                          <w:p w14:paraId="51DB2528" w14:textId="77777777" w:rsidR="00B36C1A" w:rsidRDefault="00B36C1A" w:rsidP="00B72705">
                            <w:pPr>
                              <w:spacing w:line="276" w:lineRule="auto"/>
                              <w:rPr>
                                <w:color w:val="FFFFFF"/>
                              </w:rPr>
                            </w:pPr>
                            <w:r>
                              <w:rPr>
                                <w:color w:val="FFFFFF"/>
                              </w:rPr>
                              <w:t>Dr Sarah Appleton-Dyer</w:t>
                            </w:r>
                          </w:p>
                          <w:p w14:paraId="5F2D5236" w14:textId="77777777" w:rsidR="00B36C1A" w:rsidRPr="00B2473A" w:rsidRDefault="00B36C1A" w:rsidP="0026234F">
                            <w:pPr>
                              <w:spacing w:line="276" w:lineRule="auto"/>
                              <w:rPr>
                                <w:color w:val="FFFFFF"/>
                              </w:rPr>
                            </w:pPr>
                            <w:r>
                              <w:rPr>
                                <w:color w:val="FFFFFF"/>
                              </w:rPr>
                              <w:t>Angela Boswell</w:t>
                            </w:r>
                          </w:p>
                          <w:p w14:paraId="68B7C3EC" w14:textId="77777777" w:rsidR="00B36C1A" w:rsidRDefault="00B36C1A" w:rsidP="007E691C">
                            <w:pPr>
                              <w:spacing w:line="276" w:lineRule="auto"/>
                              <w:rPr>
                                <w:color w:val="FFFFFF"/>
                              </w:rPr>
                            </w:pPr>
                            <w:r>
                              <w:rPr>
                                <w:color w:val="FFFFFF"/>
                              </w:rPr>
                              <w:t>Linden Dale-</w:t>
                            </w:r>
                            <w:proofErr w:type="spellStart"/>
                            <w:r>
                              <w:rPr>
                                <w:color w:val="FFFFFF"/>
                              </w:rPr>
                              <w:t>Gandar</w:t>
                            </w:r>
                            <w:proofErr w:type="spellEnd"/>
                          </w:p>
                          <w:p w14:paraId="6CE41A8F" w14:textId="77777777" w:rsidR="00B36C1A" w:rsidRDefault="00B36C1A" w:rsidP="00B72705">
                            <w:pPr>
                              <w:spacing w:line="276" w:lineRule="auto"/>
                              <w:rPr>
                                <w:color w:val="FFFFFF"/>
                              </w:rPr>
                            </w:pPr>
                          </w:p>
                          <w:p w14:paraId="05DBDA63" w14:textId="77777777" w:rsidR="00B36C1A" w:rsidRDefault="00B36C1A" w:rsidP="00B72705">
                            <w:pPr>
                              <w:spacing w:line="276" w:lineRule="auto"/>
                              <w:rPr>
                                <w:color w:val="FFFFFF"/>
                              </w:rPr>
                            </w:pPr>
                          </w:p>
                          <w:p w14:paraId="5E55B3F2" w14:textId="132268F9" w:rsidR="00B36C1A" w:rsidRDefault="0049736F" w:rsidP="00A04037">
                            <w:pPr>
                              <w:rPr>
                                <w:color w:val="FFFFFF"/>
                              </w:rPr>
                            </w:pPr>
                            <w:r>
                              <w:rPr>
                                <w:color w:val="FFFFFF"/>
                              </w:rPr>
                              <w:t>19</w:t>
                            </w:r>
                            <w:r w:rsidR="00B36C1A" w:rsidRPr="00023A45">
                              <w:rPr>
                                <w:color w:val="FFFFFF"/>
                                <w:vertAlign w:val="superscript"/>
                              </w:rPr>
                              <w:t>th</w:t>
                            </w:r>
                            <w:r w:rsidR="00B36C1A">
                              <w:rPr>
                                <w:color w:val="FFFFFF"/>
                              </w:rPr>
                              <w:t xml:space="preserve"> May 2015</w:t>
                            </w:r>
                          </w:p>
                          <w:p w14:paraId="18E53CA8" w14:textId="77777777" w:rsidR="00B36C1A" w:rsidRDefault="00B36C1A" w:rsidP="00A04037">
                            <w:pPr>
                              <w:rPr>
                                <w:color w:val="FFFFFF"/>
                              </w:rPr>
                            </w:pPr>
                          </w:p>
                          <w:p w14:paraId="2D54C888" w14:textId="77777777" w:rsidR="00B36C1A" w:rsidRPr="00B2473A" w:rsidRDefault="00B36C1A" w:rsidP="00A04037">
                            <w:pPr>
                              <w:rPr>
                                <w:color w:val="FFFFFF"/>
                              </w:rPr>
                            </w:pPr>
                            <w:proofErr w:type="spellStart"/>
                            <w:r w:rsidRPr="00B2473A">
                              <w:rPr>
                                <w:color w:val="FFFFFF"/>
                              </w:rPr>
                              <w:t>Synergia</w:t>
                            </w:r>
                            <w:proofErr w:type="spellEnd"/>
                            <w:r w:rsidRPr="00B2473A">
                              <w:rPr>
                                <w:color w:val="FFFFFF"/>
                              </w:rPr>
                              <w:t xml:space="preserve"> Ltd </w:t>
                            </w:r>
                            <w:r w:rsidRPr="00B2473A">
                              <w:rPr>
                                <w:color w:val="FFFFFF"/>
                              </w:rPr>
                              <w:br/>
                              <w:t>P.O. Box 147 168</w:t>
                            </w:r>
                            <w:r w:rsidRPr="00B2473A">
                              <w:rPr>
                                <w:color w:val="FFFFFF"/>
                              </w:rPr>
                              <w:br/>
                            </w:r>
                            <w:proofErr w:type="spellStart"/>
                            <w:r w:rsidRPr="00B2473A">
                              <w:rPr>
                                <w:color w:val="FFFFFF"/>
                              </w:rPr>
                              <w:t>Ponsonby</w:t>
                            </w:r>
                            <w:proofErr w:type="spellEnd"/>
                            <w:r w:rsidRPr="00B2473A">
                              <w:rPr>
                                <w:color w:val="FFFFFF"/>
                              </w:rPr>
                              <w:br/>
                              <w:t>Auckland 1144</w:t>
                            </w:r>
                          </w:p>
                          <w:p w14:paraId="289DD888" w14:textId="77777777" w:rsidR="00B36C1A" w:rsidRPr="00B2473A" w:rsidRDefault="002F571C" w:rsidP="00A04037">
                            <w:pPr>
                              <w:rPr>
                                <w:color w:val="FFFFFF"/>
                              </w:rPr>
                            </w:pPr>
                            <w:hyperlink r:id="rId15" w:history="1">
                              <w:r w:rsidR="00B36C1A" w:rsidRPr="00B2473A">
                                <w:rPr>
                                  <w:rStyle w:val="Hyperlink"/>
                                  <w:color w:val="FFFFFF"/>
                                  <w:sz w:val="20"/>
                                </w:rPr>
                                <w:t>www.synergia.co.nz</w:t>
                              </w:r>
                            </w:hyperlink>
                          </w:p>
                          <w:p w14:paraId="4A88AC0D" w14:textId="77777777" w:rsidR="00B36C1A" w:rsidRPr="00B2473A" w:rsidRDefault="00B36C1A" w:rsidP="00A04037">
                            <w:pPr>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C04A4D6" id="_x0000_t202" coordsize="21600,21600" o:spt="202" path="m,l,21600r21600,l21600,xe">
                <v:stroke joinstyle="miter"/>
                <v:path gradientshapeok="t" o:connecttype="rect"/>
              </v:shapetype>
              <v:shape id="Text Box 43" o:spid="_x0000_s1026" type="#_x0000_t202" style="position:absolute;margin-left:294pt;margin-top:122.25pt;width:203.55pt;height:59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" filled="f" stroked="f">
                <v:textbox>
                  <w:txbxContent>
                    <w:p w14:paraId="0716AB0F" w14:textId="77777777" w:rsidR="00B36C1A" w:rsidRDefault="00B36C1A" w:rsidP="00A04037"/>
                    <w:p w14:paraId="0BAD0EEE" w14:textId="77777777" w:rsidR="00B36C1A" w:rsidRPr="009315C8" w:rsidRDefault="00B36C1A" w:rsidP="00A04037"/>
                    <w:p w14:paraId="092287F2" w14:textId="77777777" w:rsidR="00B36C1A" w:rsidRPr="00277B33" w:rsidRDefault="00B36C1A" w:rsidP="00EC6D4E">
                      <w:pPr>
                        <w:spacing w:before="120" w:line="240" w:lineRule="auto"/>
                        <w:rPr>
                          <w:b/>
                          <w:color w:val="FFFFFF"/>
                          <w:sz w:val="36"/>
                        </w:rPr>
                      </w:pPr>
                      <w:r w:rsidRPr="00277B33">
                        <w:rPr>
                          <w:b/>
                          <w:bCs/>
                          <w:color w:val="FFFFFF"/>
                          <w:sz w:val="36"/>
                        </w:rPr>
                        <w:t>Evaluation of the N</w:t>
                      </w:r>
                      <w:r>
                        <w:rPr>
                          <w:b/>
                          <w:bCs/>
                          <w:color w:val="FFFFFF"/>
                          <w:sz w:val="36"/>
                        </w:rPr>
                        <w:t xml:space="preserve">ew </w:t>
                      </w:r>
                      <w:r w:rsidRPr="00277B33">
                        <w:rPr>
                          <w:b/>
                          <w:bCs/>
                          <w:color w:val="FFFFFF"/>
                          <w:sz w:val="36"/>
                        </w:rPr>
                        <w:t>G</w:t>
                      </w:r>
                      <w:r>
                        <w:rPr>
                          <w:b/>
                          <w:bCs/>
                          <w:color w:val="FFFFFF"/>
                          <w:sz w:val="36"/>
                        </w:rPr>
                        <w:t xml:space="preserve">raduate </w:t>
                      </w:r>
                      <w:r w:rsidRPr="00277B33">
                        <w:rPr>
                          <w:b/>
                          <w:bCs/>
                          <w:color w:val="FFFFFF"/>
                          <w:sz w:val="36"/>
                        </w:rPr>
                        <w:t>N</w:t>
                      </w:r>
                      <w:r>
                        <w:rPr>
                          <w:b/>
                          <w:bCs/>
                          <w:color w:val="FFFFFF"/>
                          <w:sz w:val="36"/>
                        </w:rPr>
                        <w:t>urse</w:t>
                      </w:r>
                      <w:r w:rsidRPr="00277B33">
                        <w:rPr>
                          <w:b/>
                          <w:bCs/>
                          <w:color w:val="FFFFFF"/>
                          <w:sz w:val="36"/>
                        </w:rPr>
                        <w:t xml:space="preserve"> employment scheme through the Very Low Cost Access initiative</w:t>
                      </w:r>
                      <w:r>
                        <w:rPr>
                          <w:b/>
                          <w:bCs/>
                          <w:color w:val="FFFFFF"/>
                          <w:sz w:val="36"/>
                        </w:rPr>
                        <w:t>: Final evaluation report</w:t>
                      </w:r>
                      <w:r w:rsidRPr="00277B33">
                        <w:rPr>
                          <w:b/>
                          <w:bCs/>
                          <w:color w:val="FFFFFF"/>
                          <w:sz w:val="36"/>
                        </w:rPr>
                        <w:t xml:space="preserve"> </w:t>
                      </w:r>
                    </w:p>
                    <w:p w14:paraId="0CC60D55" w14:textId="77777777" w:rsidR="00B36C1A" w:rsidRPr="00B2473A" w:rsidRDefault="00B36C1A" w:rsidP="00A04037">
                      <w:pPr>
                        <w:spacing w:before="120" w:line="240" w:lineRule="auto"/>
                        <w:rPr>
                          <w:b/>
                          <w:color w:val="FFFFFF"/>
                          <w:sz w:val="36"/>
                        </w:rPr>
                      </w:pPr>
                    </w:p>
                    <w:p w14:paraId="24FA351F" w14:textId="77777777" w:rsidR="00B36C1A" w:rsidRPr="00B2473A" w:rsidRDefault="00B36C1A" w:rsidP="00A04037">
                      <w:pPr>
                        <w:spacing w:before="120" w:line="240" w:lineRule="auto"/>
                        <w:rPr>
                          <w:color w:val="FFFFFF"/>
                          <w:sz w:val="32"/>
                        </w:rPr>
                      </w:pPr>
                      <w:r>
                        <w:rPr>
                          <w:color w:val="FFFFFF"/>
                          <w:sz w:val="32"/>
                        </w:rPr>
                        <w:t>R</w:t>
                      </w:r>
                      <w:r w:rsidRPr="00B2473A">
                        <w:rPr>
                          <w:color w:val="FFFFFF"/>
                          <w:sz w:val="32"/>
                        </w:rPr>
                        <w:t xml:space="preserve">eport for </w:t>
                      </w:r>
                      <w:r>
                        <w:rPr>
                          <w:color w:val="FFFFFF"/>
                          <w:sz w:val="32"/>
                        </w:rPr>
                        <w:t>Ministry of Health</w:t>
                      </w:r>
                    </w:p>
                    <w:p w14:paraId="2DD4A56D" w14:textId="77777777" w:rsidR="00B36C1A" w:rsidRPr="00B2473A" w:rsidRDefault="00B36C1A" w:rsidP="00A04037">
                      <w:pPr>
                        <w:rPr>
                          <w:color w:val="FFFFFF"/>
                        </w:rPr>
                      </w:pPr>
                    </w:p>
                    <w:p w14:paraId="51DB2528" w14:textId="77777777" w:rsidR="00B36C1A" w:rsidRDefault="00B36C1A" w:rsidP="00B72705">
                      <w:pPr>
                        <w:spacing w:line="276" w:lineRule="auto"/>
                        <w:rPr>
                          <w:color w:val="FFFFFF"/>
                        </w:rPr>
                      </w:pPr>
                      <w:r>
                        <w:rPr>
                          <w:color w:val="FFFFFF"/>
                        </w:rPr>
                        <w:t>Dr Sarah Appleton-Dyer</w:t>
                      </w:r>
                    </w:p>
                    <w:p w14:paraId="5F2D5236" w14:textId="77777777" w:rsidR="00B36C1A" w:rsidRPr="00B2473A" w:rsidRDefault="00B36C1A" w:rsidP="0026234F">
                      <w:pPr>
                        <w:spacing w:line="276" w:lineRule="auto"/>
                        <w:rPr>
                          <w:color w:val="FFFFFF"/>
                        </w:rPr>
                      </w:pPr>
                      <w:r>
                        <w:rPr>
                          <w:color w:val="FFFFFF"/>
                        </w:rPr>
                        <w:t>Angela Boswell</w:t>
                      </w:r>
                    </w:p>
                    <w:p w14:paraId="68B7C3EC" w14:textId="77777777" w:rsidR="00B36C1A" w:rsidRDefault="00B36C1A" w:rsidP="007E691C">
                      <w:pPr>
                        <w:spacing w:line="276" w:lineRule="auto"/>
                        <w:rPr>
                          <w:color w:val="FFFFFF"/>
                        </w:rPr>
                      </w:pPr>
                      <w:r>
                        <w:rPr>
                          <w:color w:val="FFFFFF"/>
                        </w:rPr>
                        <w:t>Linden Dale-Gandar</w:t>
                      </w:r>
                    </w:p>
                    <w:p w14:paraId="6CE41A8F" w14:textId="77777777" w:rsidR="00B36C1A" w:rsidRDefault="00B36C1A" w:rsidP="00B72705">
                      <w:pPr>
                        <w:spacing w:line="276" w:lineRule="auto"/>
                        <w:rPr>
                          <w:color w:val="FFFFFF"/>
                        </w:rPr>
                      </w:pPr>
                    </w:p>
                    <w:p w14:paraId="05DBDA63" w14:textId="77777777" w:rsidR="00B36C1A" w:rsidRDefault="00B36C1A" w:rsidP="00B72705">
                      <w:pPr>
                        <w:spacing w:line="276" w:lineRule="auto"/>
                        <w:rPr>
                          <w:color w:val="FFFFFF"/>
                        </w:rPr>
                      </w:pPr>
                    </w:p>
                    <w:p w14:paraId="5E55B3F2" w14:textId="132268F9" w:rsidR="00B36C1A" w:rsidRDefault="0049736F" w:rsidP="00A04037">
                      <w:pPr>
                        <w:rPr>
                          <w:color w:val="FFFFFF"/>
                        </w:rPr>
                      </w:pPr>
                      <w:r>
                        <w:rPr>
                          <w:color w:val="FFFFFF"/>
                        </w:rPr>
                        <w:t>19</w:t>
                      </w:r>
                      <w:r w:rsidR="00B36C1A" w:rsidRPr="00023A45">
                        <w:rPr>
                          <w:color w:val="FFFFFF"/>
                          <w:vertAlign w:val="superscript"/>
                        </w:rPr>
                        <w:t>th</w:t>
                      </w:r>
                      <w:r w:rsidR="00B36C1A">
                        <w:rPr>
                          <w:color w:val="FFFFFF"/>
                        </w:rPr>
                        <w:t xml:space="preserve"> May 2015</w:t>
                      </w:r>
                    </w:p>
                    <w:p w14:paraId="18E53CA8" w14:textId="77777777" w:rsidR="00B36C1A" w:rsidRDefault="00B36C1A" w:rsidP="00A04037">
                      <w:pPr>
                        <w:rPr>
                          <w:color w:val="FFFFFF"/>
                        </w:rPr>
                      </w:pPr>
                    </w:p>
                    <w:p w14:paraId="2D54C888" w14:textId="77777777" w:rsidR="00B36C1A" w:rsidRPr="00B2473A" w:rsidRDefault="00B36C1A" w:rsidP="00A04037">
                      <w:pPr>
                        <w:rPr>
                          <w:color w:val="FFFFFF"/>
                        </w:rPr>
                      </w:pPr>
                      <w:r w:rsidRPr="00B2473A">
                        <w:rPr>
                          <w:color w:val="FFFFFF"/>
                        </w:rPr>
                        <w:t xml:space="preserve">Synergia Ltd </w:t>
                      </w:r>
                      <w:r w:rsidRPr="00B2473A">
                        <w:rPr>
                          <w:color w:val="FFFFFF"/>
                        </w:rPr>
                        <w:br/>
                        <w:t>P.O. Box 147 168</w:t>
                      </w:r>
                      <w:r w:rsidRPr="00B2473A">
                        <w:rPr>
                          <w:color w:val="FFFFFF"/>
                        </w:rPr>
                        <w:br/>
                      </w:r>
                      <w:proofErr w:type="spellStart"/>
                      <w:r w:rsidRPr="00B2473A">
                        <w:rPr>
                          <w:color w:val="FFFFFF"/>
                        </w:rPr>
                        <w:t>Ponsonby</w:t>
                      </w:r>
                      <w:proofErr w:type="spellEnd"/>
                      <w:r w:rsidRPr="00B2473A">
                        <w:rPr>
                          <w:color w:val="FFFFFF"/>
                        </w:rPr>
                        <w:br/>
                        <w:t>Auckland 1144</w:t>
                      </w:r>
                    </w:p>
                    <w:p w14:paraId="289DD888" w14:textId="77777777" w:rsidR="00B36C1A" w:rsidRPr="00B2473A" w:rsidRDefault="00E92003" w:rsidP="00A04037">
                      <w:pPr>
                        <w:rPr>
                          <w:color w:val="FFFFFF"/>
                        </w:rPr>
                      </w:pPr>
                      <w:hyperlink r:id="rId16" w:history="1">
                        <w:r w:rsidR="00B36C1A" w:rsidRPr="00B2473A">
                          <w:rPr>
                            <w:rStyle w:val="Hyperlink"/>
                            <w:color w:val="FFFFFF"/>
                            <w:sz w:val="20"/>
                          </w:rPr>
                          <w:t>www.synergia.co.nz</w:t>
                        </w:r>
                      </w:hyperlink>
                    </w:p>
                    <w:p w14:paraId="4A88AC0D" w14:textId="77777777" w:rsidR="00B36C1A" w:rsidRPr="00B2473A" w:rsidRDefault="00B36C1A" w:rsidP="00A04037">
                      <w:pPr>
                        <w:rPr>
                          <w:color w:val="FFFFFF"/>
                        </w:rPr>
                      </w:pPr>
                    </w:p>
                  </w:txbxContent>
                </v:textbox>
              </v:shape>
            </w:pict>
          </mc:Fallback>
        </mc:AlternateContent>
      </w:r>
      <w:r w:rsidR="00421F6B">
        <w:rPr>
          <w:noProof/>
        </w:rPr>
        <w:drawing>
          <wp:anchor distT="0" distB="0" distL="114300" distR="114300" simplePos="0" relativeHeight="251657216" behindDoc="1" locked="0" layoutInCell="1" allowOverlap="1" wp14:anchorId="59349F33" wp14:editId="52CC524D">
            <wp:simplePos x="0" y="0"/>
            <wp:positionH relativeFrom="page">
              <wp:posOffset>0</wp:posOffset>
            </wp:positionH>
            <wp:positionV relativeFrom="page">
              <wp:posOffset>0</wp:posOffset>
            </wp:positionV>
            <wp:extent cx="7591425" cy="10744200"/>
            <wp:effectExtent l="0" t="0" r="9525" b="0"/>
            <wp:wrapNone/>
            <wp:docPr id="1" name="Picture 1" descr="Proposal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posal Cove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91425" cy="10744200"/>
                    </a:xfrm>
                    <a:prstGeom prst="rect">
                      <a:avLst/>
                    </a:prstGeom>
                    <a:noFill/>
                    <a:ln>
                      <a:noFill/>
                    </a:ln>
                  </pic:spPr>
                </pic:pic>
              </a:graphicData>
            </a:graphic>
          </wp:anchor>
        </w:drawing>
      </w:r>
    </w:p>
    <w:p w14:paraId="10F2C2D5" w14:textId="77777777" w:rsidR="00087E5F" w:rsidRDefault="00087E5F" w:rsidP="00087E5F">
      <w:pPr>
        <w:pStyle w:val="Heading1"/>
        <w:numPr>
          <w:ilvl w:val="0"/>
          <w:numId w:val="0"/>
        </w:numPr>
        <w:ind w:left="510" w:hanging="510"/>
      </w:pPr>
      <w:bookmarkStart w:id="0" w:name="_Toc415657658"/>
      <w:bookmarkStart w:id="1" w:name="_Toc403127249"/>
      <w:r>
        <w:lastRenderedPageBreak/>
        <w:t>Acknowledgements</w:t>
      </w:r>
      <w:bookmarkEnd w:id="0"/>
    </w:p>
    <w:p w14:paraId="4C292DC2" w14:textId="77777777" w:rsidR="00023A45" w:rsidRDefault="006A11AA" w:rsidP="00023A45">
      <w:r>
        <w:t xml:space="preserve">We would like to acknowledge the support of the </w:t>
      </w:r>
      <w:r w:rsidR="000562EA">
        <w:t>Very Low Cost Access practices</w:t>
      </w:r>
      <w:r>
        <w:t xml:space="preserve"> that agreed to </w:t>
      </w:r>
      <w:r w:rsidR="00023A45">
        <w:t>take part in</w:t>
      </w:r>
      <w:r>
        <w:t xml:space="preserve"> this evaluation. </w:t>
      </w:r>
      <w:r w:rsidR="00023A45">
        <w:t xml:space="preserve">We would particularly like to thank all the Very Low Cost Access practices involved in the initiative, and the District Health Board and Primary Health Organisation staff for giving their time and insights into the implementation and achievements of the initiative through the online survey. </w:t>
      </w:r>
    </w:p>
    <w:p w14:paraId="62CD5726" w14:textId="77777777" w:rsidR="00087E5F" w:rsidRDefault="00023A45" w:rsidP="00087E5F">
      <w:r>
        <w:t xml:space="preserve">We would also like to acknowledge the support of the five practices that took part in the site visits. </w:t>
      </w:r>
      <w:r w:rsidR="006A11AA">
        <w:t>The</w:t>
      </w:r>
      <w:r>
        <w:t xml:space="preserve"> views and experiences of the staff at these practices </w:t>
      </w:r>
      <w:proofErr w:type="gramStart"/>
      <w:r>
        <w:t>has</w:t>
      </w:r>
      <w:proofErr w:type="gramEnd"/>
      <w:r>
        <w:t xml:space="preserve"> </w:t>
      </w:r>
      <w:r w:rsidR="006A11AA">
        <w:t>enabled the evaluation to provide a</w:t>
      </w:r>
      <w:r>
        <w:t>n in-depth</w:t>
      </w:r>
      <w:r w:rsidR="006A11AA">
        <w:t xml:space="preserve"> insight into the </w:t>
      </w:r>
      <w:r>
        <w:t xml:space="preserve">implementation and achievements </w:t>
      </w:r>
      <w:r w:rsidR="006A11AA">
        <w:t xml:space="preserve">of this initiative. We would particularly like to thank those who took part in </w:t>
      </w:r>
      <w:r>
        <w:t>the interviews and provided practice level data</w:t>
      </w:r>
      <w:r w:rsidR="006A11AA">
        <w:t>.</w:t>
      </w:r>
    </w:p>
    <w:p w14:paraId="7A952751" w14:textId="77777777" w:rsidR="00130F8F" w:rsidRDefault="00130F8F" w:rsidP="00130F8F">
      <w:r>
        <w:t xml:space="preserve">Finally, we would like to acknowledge the support and insights from key stakeholders at the Ministry of Health. </w:t>
      </w:r>
    </w:p>
    <w:p w14:paraId="47123873" w14:textId="77777777" w:rsidR="00B0232E" w:rsidRDefault="00B0232E" w:rsidP="00087E5F"/>
    <w:p w14:paraId="210C6E85" w14:textId="77777777" w:rsidR="00B0232E" w:rsidRDefault="00B0232E">
      <w:pPr>
        <w:spacing w:after="200" w:line="276" w:lineRule="auto"/>
      </w:pPr>
      <w:r>
        <w:br w:type="page"/>
      </w:r>
    </w:p>
    <w:p w14:paraId="74F89684" w14:textId="77777777" w:rsidR="00A171BC" w:rsidRDefault="00A171BC" w:rsidP="00A171BC">
      <w:pPr>
        <w:pStyle w:val="Heading1"/>
        <w:numPr>
          <w:ilvl w:val="0"/>
          <w:numId w:val="0"/>
        </w:numPr>
        <w:ind w:left="510" w:hanging="510"/>
      </w:pPr>
      <w:bookmarkStart w:id="2" w:name="_Toc415657659"/>
      <w:r>
        <w:lastRenderedPageBreak/>
        <w:t>Contents</w:t>
      </w:r>
      <w:bookmarkEnd w:id="2"/>
    </w:p>
    <w:p w14:paraId="7FB33A9D" w14:textId="77777777" w:rsidR="00EB3050" w:rsidRDefault="009B410D">
      <w:pPr>
        <w:pStyle w:val="TOC1"/>
        <w:tabs>
          <w:tab w:val="right" w:leader="dot" w:pos="9016"/>
        </w:tabs>
        <w:rPr>
          <w:rFonts w:asciiTheme="minorHAnsi" w:eastAsiaTheme="minorEastAsia" w:hAnsiTheme="minorHAnsi" w:cstheme="minorBidi"/>
          <w:b w:val="0"/>
          <w:bCs w:val="0"/>
          <w:caps w:val="0"/>
          <w:noProof/>
          <w:szCs w:val="22"/>
        </w:rPr>
      </w:pPr>
      <w:r>
        <w:fldChar w:fldCharType="begin"/>
      </w:r>
      <w:r w:rsidR="00B0232E">
        <w:instrText xml:space="preserve"> TOC \o "1-2" \h \z \u </w:instrText>
      </w:r>
      <w:r>
        <w:fldChar w:fldCharType="separate"/>
      </w:r>
      <w:hyperlink w:anchor="_Toc415657658" w:history="1">
        <w:r w:rsidR="00EB3050" w:rsidRPr="00722FE8">
          <w:rPr>
            <w:rStyle w:val="Hyperlink"/>
            <w:noProof/>
          </w:rPr>
          <w:t>Acknowledgements</w:t>
        </w:r>
        <w:r w:rsidR="00EB3050">
          <w:rPr>
            <w:noProof/>
            <w:webHidden/>
          </w:rPr>
          <w:tab/>
        </w:r>
        <w:r>
          <w:rPr>
            <w:noProof/>
            <w:webHidden/>
          </w:rPr>
          <w:fldChar w:fldCharType="begin"/>
        </w:r>
        <w:r w:rsidR="00EB3050">
          <w:rPr>
            <w:noProof/>
            <w:webHidden/>
          </w:rPr>
          <w:instrText xml:space="preserve"> PAGEREF _Toc415657658 \h </w:instrText>
        </w:r>
        <w:r>
          <w:rPr>
            <w:noProof/>
            <w:webHidden/>
          </w:rPr>
        </w:r>
        <w:r>
          <w:rPr>
            <w:noProof/>
            <w:webHidden/>
          </w:rPr>
          <w:fldChar w:fldCharType="separate"/>
        </w:r>
        <w:r w:rsidR="00307EAC">
          <w:rPr>
            <w:noProof/>
            <w:webHidden/>
          </w:rPr>
          <w:t>2</w:t>
        </w:r>
        <w:r>
          <w:rPr>
            <w:noProof/>
            <w:webHidden/>
          </w:rPr>
          <w:fldChar w:fldCharType="end"/>
        </w:r>
      </w:hyperlink>
    </w:p>
    <w:p w14:paraId="19DC9232" w14:textId="77777777" w:rsidR="00EB3050" w:rsidRDefault="002F571C">
      <w:pPr>
        <w:pStyle w:val="TOC1"/>
        <w:tabs>
          <w:tab w:val="left" w:pos="440"/>
          <w:tab w:val="right" w:leader="dot" w:pos="9016"/>
        </w:tabs>
        <w:rPr>
          <w:rFonts w:asciiTheme="minorHAnsi" w:eastAsiaTheme="minorEastAsia" w:hAnsiTheme="minorHAnsi" w:cstheme="minorBidi"/>
          <w:b w:val="0"/>
          <w:bCs w:val="0"/>
          <w:caps w:val="0"/>
          <w:noProof/>
          <w:szCs w:val="22"/>
        </w:rPr>
      </w:pPr>
      <w:hyperlink w:anchor="_Toc415657660" w:history="1">
        <w:r w:rsidR="00EB3050" w:rsidRPr="00722FE8">
          <w:rPr>
            <w:rStyle w:val="Hyperlink"/>
            <w:noProof/>
            <w:snapToGrid w:val="0"/>
            <w:w w:val="0"/>
          </w:rPr>
          <w:t>1.</w:t>
        </w:r>
        <w:r w:rsidR="00EB3050">
          <w:rPr>
            <w:rFonts w:asciiTheme="minorHAnsi" w:eastAsiaTheme="minorEastAsia" w:hAnsiTheme="minorHAnsi" w:cstheme="minorBidi"/>
            <w:b w:val="0"/>
            <w:bCs w:val="0"/>
            <w:caps w:val="0"/>
            <w:noProof/>
            <w:szCs w:val="22"/>
          </w:rPr>
          <w:tab/>
        </w:r>
        <w:r w:rsidR="00EB3050" w:rsidRPr="00722FE8">
          <w:rPr>
            <w:rStyle w:val="Hyperlink"/>
            <w:noProof/>
          </w:rPr>
          <w:t>Executive Summary</w:t>
        </w:r>
        <w:r w:rsidR="00EB3050">
          <w:rPr>
            <w:noProof/>
            <w:webHidden/>
          </w:rPr>
          <w:tab/>
        </w:r>
        <w:r w:rsidR="009B410D">
          <w:rPr>
            <w:noProof/>
            <w:webHidden/>
          </w:rPr>
          <w:fldChar w:fldCharType="begin"/>
        </w:r>
        <w:r w:rsidR="00EB3050">
          <w:rPr>
            <w:noProof/>
            <w:webHidden/>
          </w:rPr>
          <w:instrText xml:space="preserve"> PAGEREF _Toc415657660 \h </w:instrText>
        </w:r>
        <w:r w:rsidR="009B410D">
          <w:rPr>
            <w:noProof/>
            <w:webHidden/>
          </w:rPr>
        </w:r>
        <w:r w:rsidR="009B410D">
          <w:rPr>
            <w:noProof/>
            <w:webHidden/>
          </w:rPr>
          <w:fldChar w:fldCharType="separate"/>
        </w:r>
        <w:r w:rsidR="00307EAC">
          <w:rPr>
            <w:noProof/>
            <w:webHidden/>
          </w:rPr>
          <w:t>5</w:t>
        </w:r>
        <w:r w:rsidR="009B410D">
          <w:rPr>
            <w:noProof/>
            <w:webHidden/>
          </w:rPr>
          <w:fldChar w:fldCharType="end"/>
        </w:r>
      </w:hyperlink>
    </w:p>
    <w:p w14:paraId="3DE15710" w14:textId="77777777" w:rsidR="00EB3050" w:rsidRDefault="002F571C">
      <w:pPr>
        <w:pStyle w:val="TOC1"/>
        <w:tabs>
          <w:tab w:val="left" w:pos="440"/>
          <w:tab w:val="right" w:leader="dot" w:pos="9016"/>
        </w:tabs>
        <w:rPr>
          <w:rFonts w:asciiTheme="minorHAnsi" w:eastAsiaTheme="minorEastAsia" w:hAnsiTheme="minorHAnsi" w:cstheme="minorBidi"/>
          <w:b w:val="0"/>
          <w:bCs w:val="0"/>
          <w:caps w:val="0"/>
          <w:noProof/>
          <w:szCs w:val="22"/>
        </w:rPr>
      </w:pPr>
      <w:hyperlink w:anchor="_Toc415657668" w:history="1">
        <w:r w:rsidR="00EB3050" w:rsidRPr="00722FE8">
          <w:rPr>
            <w:rStyle w:val="Hyperlink"/>
            <w:noProof/>
            <w:snapToGrid w:val="0"/>
            <w:w w:val="0"/>
          </w:rPr>
          <w:t>2.</w:t>
        </w:r>
        <w:r w:rsidR="00EB3050">
          <w:rPr>
            <w:rFonts w:asciiTheme="minorHAnsi" w:eastAsiaTheme="minorEastAsia" w:hAnsiTheme="minorHAnsi" w:cstheme="minorBidi"/>
            <w:b w:val="0"/>
            <w:bCs w:val="0"/>
            <w:caps w:val="0"/>
            <w:noProof/>
            <w:szCs w:val="22"/>
          </w:rPr>
          <w:tab/>
        </w:r>
        <w:r w:rsidR="00EB3050" w:rsidRPr="00722FE8">
          <w:rPr>
            <w:rStyle w:val="Hyperlink"/>
            <w:noProof/>
          </w:rPr>
          <w:t>Introduction</w:t>
        </w:r>
        <w:r w:rsidR="00EB3050">
          <w:rPr>
            <w:noProof/>
            <w:webHidden/>
          </w:rPr>
          <w:tab/>
        </w:r>
        <w:r w:rsidR="009B410D">
          <w:rPr>
            <w:noProof/>
            <w:webHidden/>
          </w:rPr>
          <w:fldChar w:fldCharType="begin"/>
        </w:r>
        <w:r w:rsidR="00EB3050">
          <w:rPr>
            <w:noProof/>
            <w:webHidden/>
          </w:rPr>
          <w:instrText xml:space="preserve"> PAGEREF _Toc415657668 \h </w:instrText>
        </w:r>
        <w:r w:rsidR="009B410D">
          <w:rPr>
            <w:noProof/>
            <w:webHidden/>
          </w:rPr>
        </w:r>
        <w:r w:rsidR="009B410D">
          <w:rPr>
            <w:noProof/>
            <w:webHidden/>
          </w:rPr>
          <w:fldChar w:fldCharType="separate"/>
        </w:r>
        <w:r w:rsidR="00307EAC">
          <w:rPr>
            <w:noProof/>
            <w:webHidden/>
          </w:rPr>
          <w:t>13</w:t>
        </w:r>
        <w:r w:rsidR="009B410D">
          <w:rPr>
            <w:noProof/>
            <w:webHidden/>
          </w:rPr>
          <w:fldChar w:fldCharType="end"/>
        </w:r>
      </w:hyperlink>
    </w:p>
    <w:p w14:paraId="08D5E4EC" w14:textId="77777777" w:rsidR="00EB3050" w:rsidRDefault="002F571C">
      <w:pPr>
        <w:pStyle w:val="TOC2"/>
        <w:tabs>
          <w:tab w:val="left" w:pos="880"/>
          <w:tab w:val="right" w:leader="dot" w:pos="9016"/>
        </w:tabs>
        <w:rPr>
          <w:rFonts w:asciiTheme="minorHAnsi" w:eastAsiaTheme="minorEastAsia" w:hAnsiTheme="minorHAnsi" w:cstheme="minorBidi"/>
          <w:smallCaps w:val="0"/>
          <w:noProof/>
          <w:szCs w:val="22"/>
        </w:rPr>
      </w:pPr>
      <w:hyperlink w:anchor="_Toc415657669" w:history="1">
        <w:r w:rsidR="00EB3050" w:rsidRPr="00722FE8">
          <w:rPr>
            <w:rStyle w:val="Hyperlink"/>
            <w:noProof/>
          </w:rPr>
          <w:t>2.1</w:t>
        </w:r>
        <w:r w:rsidR="00EB3050">
          <w:rPr>
            <w:rFonts w:asciiTheme="minorHAnsi" w:eastAsiaTheme="minorEastAsia" w:hAnsiTheme="minorHAnsi" w:cstheme="minorBidi"/>
            <w:smallCaps w:val="0"/>
            <w:noProof/>
            <w:szCs w:val="22"/>
          </w:rPr>
          <w:tab/>
        </w:r>
        <w:r w:rsidR="00EB3050" w:rsidRPr="00722FE8">
          <w:rPr>
            <w:rStyle w:val="Hyperlink"/>
            <w:noProof/>
          </w:rPr>
          <w:t>Background</w:t>
        </w:r>
        <w:r w:rsidR="00EB3050">
          <w:rPr>
            <w:noProof/>
            <w:webHidden/>
          </w:rPr>
          <w:tab/>
        </w:r>
        <w:r w:rsidR="009B410D">
          <w:rPr>
            <w:noProof/>
            <w:webHidden/>
          </w:rPr>
          <w:fldChar w:fldCharType="begin"/>
        </w:r>
        <w:r w:rsidR="00EB3050">
          <w:rPr>
            <w:noProof/>
            <w:webHidden/>
          </w:rPr>
          <w:instrText xml:space="preserve"> PAGEREF _Toc415657669 \h </w:instrText>
        </w:r>
        <w:r w:rsidR="009B410D">
          <w:rPr>
            <w:noProof/>
            <w:webHidden/>
          </w:rPr>
        </w:r>
        <w:r w:rsidR="009B410D">
          <w:rPr>
            <w:noProof/>
            <w:webHidden/>
          </w:rPr>
          <w:fldChar w:fldCharType="separate"/>
        </w:r>
        <w:r w:rsidR="00307EAC">
          <w:rPr>
            <w:noProof/>
            <w:webHidden/>
          </w:rPr>
          <w:t>13</w:t>
        </w:r>
        <w:r w:rsidR="009B410D">
          <w:rPr>
            <w:noProof/>
            <w:webHidden/>
          </w:rPr>
          <w:fldChar w:fldCharType="end"/>
        </w:r>
      </w:hyperlink>
    </w:p>
    <w:p w14:paraId="10BBD8A0" w14:textId="77777777" w:rsidR="00EB3050" w:rsidRDefault="002F571C">
      <w:pPr>
        <w:pStyle w:val="TOC2"/>
        <w:tabs>
          <w:tab w:val="left" w:pos="880"/>
          <w:tab w:val="right" w:leader="dot" w:pos="9016"/>
        </w:tabs>
        <w:rPr>
          <w:rFonts w:asciiTheme="minorHAnsi" w:eastAsiaTheme="minorEastAsia" w:hAnsiTheme="minorHAnsi" w:cstheme="minorBidi"/>
          <w:smallCaps w:val="0"/>
          <w:noProof/>
          <w:szCs w:val="22"/>
        </w:rPr>
      </w:pPr>
      <w:hyperlink w:anchor="_Toc415657670" w:history="1">
        <w:r w:rsidR="00EB3050" w:rsidRPr="00722FE8">
          <w:rPr>
            <w:rStyle w:val="Hyperlink"/>
            <w:noProof/>
          </w:rPr>
          <w:t>2.2</w:t>
        </w:r>
        <w:r w:rsidR="00EB3050">
          <w:rPr>
            <w:rFonts w:asciiTheme="minorHAnsi" w:eastAsiaTheme="minorEastAsia" w:hAnsiTheme="minorHAnsi" w:cstheme="minorBidi"/>
            <w:smallCaps w:val="0"/>
            <w:noProof/>
            <w:szCs w:val="22"/>
          </w:rPr>
          <w:tab/>
        </w:r>
        <w:r w:rsidR="00EB3050" w:rsidRPr="00722FE8">
          <w:rPr>
            <w:rStyle w:val="Hyperlink"/>
            <w:noProof/>
          </w:rPr>
          <w:t>The New Graduate Nurse Employment Scheme</w:t>
        </w:r>
        <w:r w:rsidR="00EB3050">
          <w:rPr>
            <w:noProof/>
            <w:webHidden/>
          </w:rPr>
          <w:tab/>
        </w:r>
        <w:r w:rsidR="009B410D">
          <w:rPr>
            <w:noProof/>
            <w:webHidden/>
          </w:rPr>
          <w:fldChar w:fldCharType="begin"/>
        </w:r>
        <w:r w:rsidR="00EB3050">
          <w:rPr>
            <w:noProof/>
            <w:webHidden/>
          </w:rPr>
          <w:instrText xml:space="preserve"> PAGEREF _Toc415657670 \h </w:instrText>
        </w:r>
        <w:r w:rsidR="009B410D">
          <w:rPr>
            <w:noProof/>
            <w:webHidden/>
          </w:rPr>
        </w:r>
        <w:r w:rsidR="009B410D">
          <w:rPr>
            <w:noProof/>
            <w:webHidden/>
          </w:rPr>
          <w:fldChar w:fldCharType="separate"/>
        </w:r>
        <w:r w:rsidR="00307EAC">
          <w:rPr>
            <w:noProof/>
            <w:webHidden/>
          </w:rPr>
          <w:t>13</w:t>
        </w:r>
        <w:r w:rsidR="009B410D">
          <w:rPr>
            <w:noProof/>
            <w:webHidden/>
          </w:rPr>
          <w:fldChar w:fldCharType="end"/>
        </w:r>
      </w:hyperlink>
    </w:p>
    <w:p w14:paraId="11723005" w14:textId="77777777" w:rsidR="00EB3050" w:rsidRDefault="002F571C">
      <w:pPr>
        <w:pStyle w:val="TOC2"/>
        <w:tabs>
          <w:tab w:val="left" w:pos="880"/>
          <w:tab w:val="right" w:leader="dot" w:pos="9016"/>
        </w:tabs>
        <w:rPr>
          <w:rFonts w:asciiTheme="minorHAnsi" w:eastAsiaTheme="minorEastAsia" w:hAnsiTheme="minorHAnsi" w:cstheme="minorBidi"/>
          <w:smallCaps w:val="0"/>
          <w:noProof/>
          <w:szCs w:val="22"/>
        </w:rPr>
      </w:pPr>
      <w:hyperlink w:anchor="_Toc415657671" w:history="1">
        <w:r w:rsidR="00EB3050" w:rsidRPr="00722FE8">
          <w:rPr>
            <w:rStyle w:val="Hyperlink"/>
            <w:noProof/>
          </w:rPr>
          <w:t>2.3</w:t>
        </w:r>
        <w:r w:rsidR="00EB3050">
          <w:rPr>
            <w:rFonts w:asciiTheme="minorHAnsi" w:eastAsiaTheme="minorEastAsia" w:hAnsiTheme="minorHAnsi" w:cstheme="minorBidi"/>
            <w:smallCaps w:val="0"/>
            <w:noProof/>
            <w:szCs w:val="22"/>
          </w:rPr>
          <w:tab/>
        </w:r>
        <w:r w:rsidR="00EB3050" w:rsidRPr="00722FE8">
          <w:rPr>
            <w:rStyle w:val="Hyperlink"/>
            <w:noProof/>
          </w:rPr>
          <w:t>Structure of this report</w:t>
        </w:r>
        <w:r w:rsidR="00EB3050">
          <w:rPr>
            <w:noProof/>
            <w:webHidden/>
          </w:rPr>
          <w:tab/>
        </w:r>
        <w:r w:rsidR="009B410D">
          <w:rPr>
            <w:noProof/>
            <w:webHidden/>
          </w:rPr>
          <w:fldChar w:fldCharType="begin"/>
        </w:r>
        <w:r w:rsidR="00EB3050">
          <w:rPr>
            <w:noProof/>
            <w:webHidden/>
          </w:rPr>
          <w:instrText xml:space="preserve"> PAGEREF _Toc415657671 \h </w:instrText>
        </w:r>
        <w:r w:rsidR="009B410D">
          <w:rPr>
            <w:noProof/>
            <w:webHidden/>
          </w:rPr>
        </w:r>
        <w:r w:rsidR="009B410D">
          <w:rPr>
            <w:noProof/>
            <w:webHidden/>
          </w:rPr>
          <w:fldChar w:fldCharType="separate"/>
        </w:r>
        <w:r w:rsidR="00307EAC">
          <w:rPr>
            <w:noProof/>
            <w:webHidden/>
          </w:rPr>
          <w:t>16</w:t>
        </w:r>
        <w:r w:rsidR="009B410D">
          <w:rPr>
            <w:noProof/>
            <w:webHidden/>
          </w:rPr>
          <w:fldChar w:fldCharType="end"/>
        </w:r>
      </w:hyperlink>
    </w:p>
    <w:p w14:paraId="64A8E4A4" w14:textId="77777777" w:rsidR="00EB3050" w:rsidRDefault="002F571C">
      <w:pPr>
        <w:pStyle w:val="TOC1"/>
        <w:tabs>
          <w:tab w:val="left" w:pos="440"/>
          <w:tab w:val="right" w:leader="dot" w:pos="9016"/>
        </w:tabs>
        <w:rPr>
          <w:rFonts w:asciiTheme="minorHAnsi" w:eastAsiaTheme="minorEastAsia" w:hAnsiTheme="minorHAnsi" w:cstheme="minorBidi"/>
          <w:b w:val="0"/>
          <w:bCs w:val="0"/>
          <w:caps w:val="0"/>
          <w:noProof/>
          <w:szCs w:val="22"/>
        </w:rPr>
      </w:pPr>
      <w:hyperlink w:anchor="_Toc415657672" w:history="1">
        <w:r w:rsidR="00EB3050" w:rsidRPr="00722FE8">
          <w:rPr>
            <w:rStyle w:val="Hyperlink"/>
            <w:noProof/>
            <w:snapToGrid w:val="0"/>
            <w:w w:val="0"/>
          </w:rPr>
          <w:t>3.</w:t>
        </w:r>
        <w:r w:rsidR="00EB3050">
          <w:rPr>
            <w:rFonts w:asciiTheme="minorHAnsi" w:eastAsiaTheme="minorEastAsia" w:hAnsiTheme="minorHAnsi" w:cstheme="minorBidi"/>
            <w:b w:val="0"/>
            <w:bCs w:val="0"/>
            <w:caps w:val="0"/>
            <w:noProof/>
            <w:szCs w:val="22"/>
          </w:rPr>
          <w:tab/>
        </w:r>
        <w:r w:rsidR="00EB3050" w:rsidRPr="00722FE8">
          <w:rPr>
            <w:rStyle w:val="Hyperlink"/>
            <w:noProof/>
          </w:rPr>
          <w:t>Evaluation approach and methods</w:t>
        </w:r>
        <w:r w:rsidR="00EB3050">
          <w:rPr>
            <w:noProof/>
            <w:webHidden/>
          </w:rPr>
          <w:tab/>
        </w:r>
        <w:r w:rsidR="009B410D">
          <w:rPr>
            <w:noProof/>
            <w:webHidden/>
          </w:rPr>
          <w:fldChar w:fldCharType="begin"/>
        </w:r>
        <w:r w:rsidR="00EB3050">
          <w:rPr>
            <w:noProof/>
            <w:webHidden/>
          </w:rPr>
          <w:instrText xml:space="preserve"> PAGEREF _Toc415657672 \h </w:instrText>
        </w:r>
        <w:r w:rsidR="009B410D">
          <w:rPr>
            <w:noProof/>
            <w:webHidden/>
          </w:rPr>
        </w:r>
        <w:r w:rsidR="009B410D">
          <w:rPr>
            <w:noProof/>
            <w:webHidden/>
          </w:rPr>
          <w:fldChar w:fldCharType="separate"/>
        </w:r>
        <w:r w:rsidR="00307EAC">
          <w:rPr>
            <w:noProof/>
            <w:webHidden/>
          </w:rPr>
          <w:t>17</w:t>
        </w:r>
        <w:r w:rsidR="009B410D">
          <w:rPr>
            <w:noProof/>
            <w:webHidden/>
          </w:rPr>
          <w:fldChar w:fldCharType="end"/>
        </w:r>
      </w:hyperlink>
    </w:p>
    <w:p w14:paraId="3E584397" w14:textId="77777777" w:rsidR="00EB3050" w:rsidRDefault="002F571C">
      <w:pPr>
        <w:pStyle w:val="TOC2"/>
        <w:tabs>
          <w:tab w:val="left" w:pos="880"/>
          <w:tab w:val="right" w:leader="dot" w:pos="9016"/>
        </w:tabs>
        <w:rPr>
          <w:rFonts w:asciiTheme="minorHAnsi" w:eastAsiaTheme="minorEastAsia" w:hAnsiTheme="minorHAnsi" w:cstheme="minorBidi"/>
          <w:smallCaps w:val="0"/>
          <w:noProof/>
          <w:szCs w:val="22"/>
        </w:rPr>
      </w:pPr>
      <w:hyperlink w:anchor="_Toc415657673" w:history="1">
        <w:r w:rsidR="00EB3050" w:rsidRPr="00722FE8">
          <w:rPr>
            <w:rStyle w:val="Hyperlink"/>
            <w:noProof/>
          </w:rPr>
          <w:t>3.1</w:t>
        </w:r>
        <w:r w:rsidR="00EB3050">
          <w:rPr>
            <w:rFonts w:asciiTheme="minorHAnsi" w:eastAsiaTheme="minorEastAsia" w:hAnsiTheme="minorHAnsi" w:cstheme="minorBidi"/>
            <w:smallCaps w:val="0"/>
            <w:noProof/>
            <w:szCs w:val="22"/>
          </w:rPr>
          <w:tab/>
        </w:r>
        <w:r w:rsidR="00EB3050" w:rsidRPr="00722FE8">
          <w:rPr>
            <w:rStyle w:val="Hyperlink"/>
            <w:noProof/>
          </w:rPr>
          <w:t>Evaluation aims and objectives</w:t>
        </w:r>
        <w:r w:rsidR="00EB3050">
          <w:rPr>
            <w:noProof/>
            <w:webHidden/>
          </w:rPr>
          <w:tab/>
        </w:r>
        <w:r w:rsidR="009B410D">
          <w:rPr>
            <w:noProof/>
            <w:webHidden/>
          </w:rPr>
          <w:fldChar w:fldCharType="begin"/>
        </w:r>
        <w:r w:rsidR="00EB3050">
          <w:rPr>
            <w:noProof/>
            <w:webHidden/>
          </w:rPr>
          <w:instrText xml:space="preserve"> PAGEREF _Toc415657673 \h </w:instrText>
        </w:r>
        <w:r w:rsidR="009B410D">
          <w:rPr>
            <w:noProof/>
            <w:webHidden/>
          </w:rPr>
        </w:r>
        <w:r w:rsidR="009B410D">
          <w:rPr>
            <w:noProof/>
            <w:webHidden/>
          </w:rPr>
          <w:fldChar w:fldCharType="separate"/>
        </w:r>
        <w:r w:rsidR="00307EAC">
          <w:rPr>
            <w:noProof/>
            <w:webHidden/>
          </w:rPr>
          <w:t>17</w:t>
        </w:r>
        <w:r w:rsidR="009B410D">
          <w:rPr>
            <w:noProof/>
            <w:webHidden/>
          </w:rPr>
          <w:fldChar w:fldCharType="end"/>
        </w:r>
      </w:hyperlink>
    </w:p>
    <w:p w14:paraId="5B25D3CB" w14:textId="77777777" w:rsidR="00EB3050" w:rsidRDefault="002F571C">
      <w:pPr>
        <w:pStyle w:val="TOC2"/>
        <w:tabs>
          <w:tab w:val="left" w:pos="880"/>
          <w:tab w:val="right" w:leader="dot" w:pos="9016"/>
        </w:tabs>
        <w:rPr>
          <w:rFonts w:asciiTheme="minorHAnsi" w:eastAsiaTheme="minorEastAsia" w:hAnsiTheme="minorHAnsi" w:cstheme="minorBidi"/>
          <w:smallCaps w:val="0"/>
          <w:noProof/>
          <w:szCs w:val="22"/>
        </w:rPr>
      </w:pPr>
      <w:hyperlink w:anchor="_Toc415657674" w:history="1">
        <w:r w:rsidR="00EB3050" w:rsidRPr="00722FE8">
          <w:rPr>
            <w:rStyle w:val="Hyperlink"/>
            <w:noProof/>
          </w:rPr>
          <w:t>3.2</w:t>
        </w:r>
        <w:r w:rsidR="00EB3050">
          <w:rPr>
            <w:rFonts w:asciiTheme="minorHAnsi" w:eastAsiaTheme="minorEastAsia" w:hAnsiTheme="minorHAnsi" w:cstheme="minorBidi"/>
            <w:smallCaps w:val="0"/>
            <w:noProof/>
            <w:szCs w:val="22"/>
          </w:rPr>
          <w:tab/>
        </w:r>
        <w:r w:rsidR="00EB3050" w:rsidRPr="00722FE8">
          <w:rPr>
            <w:rStyle w:val="Hyperlink"/>
            <w:noProof/>
          </w:rPr>
          <w:t>Evaluation approach and Framework</w:t>
        </w:r>
        <w:r w:rsidR="00EB3050">
          <w:rPr>
            <w:noProof/>
            <w:webHidden/>
          </w:rPr>
          <w:tab/>
        </w:r>
        <w:r w:rsidR="009B410D">
          <w:rPr>
            <w:noProof/>
            <w:webHidden/>
          </w:rPr>
          <w:fldChar w:fldCharType="begin"/>
        </w:r>
        <w:r w:rsidR="00EB3050">
          <w:rPr>
            <w:noProof/>
            <w:webHidden/>
          </w:rPr>
          <w:instrText xml:space="preserve"> PAGEREF _Toc415657674 \h </w:instrText>
        </w:r>
        <w:r w:rsidR="009B410D">
          <w:rPr>
            <w:noProof/>
            <w:webHidden/>
          </w:rPr>
        </w:r>
        <w:r w:rsidR="009B410D">
          <w:rPr>
            <w:noProof/>
            <w:webHidden/>
          </w:rPr>
          <w:fldChar w:fldCharType="separate"/>
        </w:r>
        <w:r w:rsidR="00307EAC">
          <w:rPr>
            <w:noProof/>
            <w:webHidden/>
          </w:rPr>
          <w:t>17</w:t>
        </w:r>
        <w:r w:rsidR="009B410D">
          <w:rPr>
            <w:noProof/>
            <w:webHidden/>
          </w:rPr>
          <w:fldChar w:fldCharType="end"/>
        </w:r>
      </w:hyperlink>
    </w:p>
    <w:p w14:paraId="553AE7B7" w14:textId="77777777" w:rsidR="00EB3050" w:rsidRDefault="002F571C">
      <w:pPr>
        <w:pStyle w:val="TOC1"/>
        <w:tabs>
          <w:tab w:val="left" w:pos="440"/>
          <w:tab w:val="right" w:leader="dot" w:pos="9016"/>
        </w:tabs>
        <w:rPr>
          <w:rFonts w:asciiTheme="minorHAnsi" w:eastAsiaTheme="minorEastAsia" w:hAnsiTheme="minorHAnsi" w:cstheme="minorBidi"/>
          <w:b w:val="0"/>
          <w:bCs w:val="0"/>
          <w:caps w:val="0"/>
          <w:noProof/>
          <w:szCs w:val="22"/>
        </w:rPr>
      </w:pPr>
      <w:hyperlink w:anchor="_Toc415657675" w:history="1">
        <w:r w:rsidR="00EB3050" w:rsidRPr="00722FE8">
          <w:rPr>
            <w:rStyle w:val="Hyperlink"/>
            <w:noProof/>
            <w:snapToGrid w:val="0"/>
            <w:w w:val="0"/>
          </w:rPr>
          <w:t>4.</w:t>
        </w:r>
        <w:r w:rsidR="00EB3050">
          <w:rPr>
            <w:rFonts w:asciiTheme="minorHAnsi" w:eastAsiaTheme="minorEastAsia" w:hAnsiTheme="minorHAnsi" w:cstheme="minorBidi"/>
            <w:b w:val="0"/>
            <w:bCs w:val="0"/>
            <w:caps w:val="0"/>
            <w:noProof/>
            <w:szCs w:val="22"/>
          </w:rPr>
          <w:tab/>
        </w:r>
        <w:r w:rsidR="00EB3050" w:rsidRPr="00722FE8">
          <w:rPr>
            <w:rStyle w:val="Hyperlink"/>
            <w:noProof/>
          </w:rPr>
          <w:t>Key impacts of the scheme</w:t>
        </w:r>
        <w:r w:rsidR="00EB3050">
          <w:rPr>
            <w:noProof/>
            <w:webHidden/>
          </w:rPr>
          <w:tab/>
        </w:r>
        <w:r w:rsidR="009B410D">
          <w:rPr>
            <w:noProof/>
            <w:webHidden/>
          </w:rPr>
          <w:fldChar w:fldCharType="begin"/>
        </w:r>
        <w:r w:rsidR="00EB3050">
          <w:rPr>
            <w:noProof/>
            <w:webHidden/>
          </w:rPr>
          <w:instrText xml:space="preserve"> PAGEREF _Toc415657675 \h </w:instrText>
        </w:r>
        <w:r w:rsidR="009B410D">
          <w:rPr>
            <w:noProof/>
            <w:webHidden/>
          </w:rPr>
        </w:r>
        <w:r w:rsidR="009B410D">
          <w:rPr>
            <w:noProof/>
            <w:webHidden/>
          </w:rPr>
          <w:fldChar w:fldCharType="separate"/>
        </w:r>
        <w:r w:rsidR="00307EAC">
          <w:rPr>
            <w:noProof/>
            <w:webHidden/>
          </w:rPr>
          <w:t>20</w:t>
        </w:r>
        <w:r w:rsidR="009B410D">
          <w:rPr>
            <w:noProof/>
            <w:webHidden/>
          </w:rPr>
          <w:fldChar w:fldCharType="end"/>
        </w:r>
      </w:hyperlink>
    </w:p>
    <w:p w14:paraId="4FD83092" w14:textId="77777777" w:rsidR="00EB3050" w:rsidRDefault="002F571C">
      <w:pPr>
        <w:pStyle w:val="TOC2"/>
        <w:tabs>
          <w:tab w:val="left" w:pos="880"/>
          <w:tab w:val="right" w:leader="dot" w:pos="9016"/>
        </w:tabs>
        <w:rPr>
          <w:rFonts w:asciiTheme="minorHAnsi" w:eastAsiaTheme="minorEastAsia" w:hAnsiTheme="minorHAnsi" w:cstheme="minorBidi"/>
          <w:smallCaps w:val="0"/>
          <w:noProof/>
          <w:szCs w:val="22"/>
        </w:rPr>
      </w:pPr>
      <w:hyperlink w:anchor="_Toc415657676" w:history="1">
        <w:r w:rsidR="00EB3050" w:rsidRPr="00722FE8">
          <w:rPr>
            <w:rStyle w:val="Hyperlink"/>
            <w:noProof/>
          </w:rPr>
          <w:t>4.1</w:t>
        </w:r>
        <w:r w:rsidR="00EB3050">
          <w:rPr>
            <w:rFonts w:asciiTheme="minorHAnsi" w:eastAsiaTheme="minorEastAsia" w:hAnsiTheme="minorHAnsi" w:cstheme="minorBidi"/>
            <w:smallCaps w:val="0"/>
            <w:noProof/>
            <w:szCs w:val="22"/>
          </w:rPr>
          <w:tab/>
        </w:r>
        <w:r w:rsidR="00EB3050" w:rsidRPr="00722FE8">
          <w:rPr>
            <w:rStyle w:val="Hyperlink"/>
            <w:noProof/>
          </w:rPr>
          <w:t>Impacts on the development of new graduate nurses and their career decisions</w:t>
        </w:r>
        <w:r w:rsidR="00EB3050">
          <w:rPr>
            <w:noProof/>
            <w:webHidden/>
          </w:rPr>
          <w:tab/>
        </w:r>
        <w:r w:rsidR="009B410D">
          <w:rPr>
            <w:noProof/>
            <w:webHidden/>
          </w:rPr>
          <w:fldChar w:fldCharType="begin"/>
        </w:r>
        <w:r w:rsidR="00EB3050">
          <w:rPr>
            <w:noProof/>
            <w:webHidden/>
          </w:rPr>
          <w:instrText xml:space="preserve"> PAGEREF _Toc415657676 \h </w:instrText>
        </w:r>
        <w:r w:rsidR="009B410D">
          <w:rPr>
            <w:noProof/>
            <w:webHidden/>
          </w:rPr>
        </w:r>
        <w:r w:rsidR="009B410D">
          <w:rPr>
            <w:noProof/>
            <w:webHidden/>
          </w:rPr>
          <w:fldChar w:fldCharType="separate"/>
        </w:r>
        <w:r w:rsidR="00307EAC">
          <w:rPr>
            <w:noProof/>
            <w:webHidden/>
          </w:rPr>
          <w:t>20</w:t>
        </w:r>
        <w:r w:rsidR="009B410D">
          <w:rPr>
            <w:noProof/>
            <w:webHidden/>
          </w:rPr>
          <w:fldChar w:fldCharType="end"/>
        </w:r>
      </w:hyperlink>
    </w:p>
    <w:p w14:paraId="33CC29C1" w14:textId="77777777" w:rsidR="00EB3050" w:rsidRDefault="002F571C">
      <w:pPr>
        <w:pStyle w:val="TOC2"/>
        <w:tabs>
          <w:tab w:val="left" w:pos="880"/>
          <w:tab w:val="right" w:leader="dot" w:pos="9016"/>
        </w:tabs>
        <w:rPr>
          <w:rFonts w:asciiTheme="minorHAnsi" w:eastAsiaTheme="minorEastAsia" w:hAnsiTheme="minorHAnsi" w:cstheme="minorBidi"/>
          <w:smallCaps w:val="0"/>
          <w:noProof/>
          <w:szCs w:val="22"/>
        </w:rPr>
      </w:pPr>
      <w:hyperlink w:anchor="_Toc415657677" w:history="1">
        <w:r w:rsidR="00EB3050" w:rsidRPr="00722FE8">
          <w:rPr>
            <w:rStyle w:val="Hyperlink"/>
            <w:noProof/>
          </w:rPr>
          <w:t>4.2</w:t>
        </w:r>
        <w:r w:rsidR="00EB3050">
          <w:rPr>
            <w:rFonts w:asciiTheme="minorHAnsi" w:eastAsiaTheme="minorEastAsia" w:hAnsiTheme="minorHAnsi" w:cstheme="minorBidi"/>
            <w:smallCaps w:val="0"/>
            <w:noProof/>
            <w:szCs w:val="22"/>
          </w:rPr>
          <w:tab/>
        </w:r>
        <w:r w:rsidR="00EB3050" w:rsidRPr="00722FE8">
          <w:rPr>
            <w:rStyle w:val="Hyperlink"/>
            <w:noProof/>
          </w:rPr>
          <w:t>Impacts on service delivery and patient experience</w:t>
        </w:r>
        <w:r w:rsidR="00EB3050">
          <w:rPr>
            <w:noProof/>
            <w:webHidden/>
          </w:rPr>
          <w:tab/>
        </w:r>
        <w:r w:rsidR="009B410D">
          <w:rPr>
            <w:noProof/>
            <w:webHidden/>
          </w:rPr>
          <w:fldChar w:fldCharType="begin"/>
        </w:r>
        <w:r w:rsidR="00EB3050">
          <w:rPr>
            <w:noProof/>
            <w:webHidden/>
          </w:rPr>
          <w:instrText xml:space="preserve"> PAGEREF _Toc415657677 \h </w:instrText>
        </w:r>
        <w:r w:rsidR="009B410D">
          <w:rPr>
            <w:noProof/>
            <w:webHidden/>
          </w:rPr>
        </w:r>
        <w:r w:rsidR="009B410D">
          <w:rPr>
            <w:noProof/>
            <w:webHidden/>
          </w:rPr>
          <w:fldChar w:fldCharType="separate"/>
        </w:r>
        <w:r w:rsidR="00307EAC">
          <w:rPr>
            <w:noProof/>
            <w:webHidden/>
          </w:rPr>
          <w:t>23</w:t>
        </w:r>
        <w:r w:rsidR="009B410D">
          <w:rPr>
            <w:noProof/>
            <w:webHidden/>
          </w:rPr>
          <w:fldChar w:fldCharType="end"/>
        </w:r>
      </w:hyperlink>
    </w:p>
    <w:p w14:paraId="3A6AAD5A" w14:textId="77777777" w:rsidR="00EB3050" w:rsidRDefault="002F571C">
      <w:pPr>
        <w:pStyle w:val="TOC2"/>
        <w:tabs>
          <w:tab w:val="left" w:pos="880"/>
          <w:tab w:val="right" w:leader="dot" w:pos="9016"/>
        </w:tabs>
        <w:rPr>
          <w:rFonts w:asciiTheme="minorHAnsi" w:eastAsiaTheme="minorEastAsia" w:hAnsiTheme="minorHAnsi" w:cstheme="minorBidi"/>
          <w:smallCaps w:val="0"/>
          <w:noProof/>
          <w:szCs w:val="22"/>
        </w:rPr>
      </w:pPr>
      <w:hyperlink w:anchor="_Toc415657678" w:history="1">
        <w:r w:rsidR="00EB3050" w:rsidRPr="00722FE8">
          <w:rPr>
            <w:rStyle w:val="Hyperlink"/>
            <w:noProof/>
          </w:rPr>
          <w:t>4.3</w:t>
        </w:r>
        <w:r w:rsidR="00EB3050">
          <w:rPr>
            <w:rFonts w:asciiTheme="minorHAnsi" w:eastAsiaTheme="minorEastAsia" w:hAnsiTheme="minorHAnsi" w:cstheme="minorBidi"/>
            <w:smallCaps w:val="0"/>
            <w:noProof/>
            <w:szCs w:val="22"/>
          </w:rPr>
          <w:tab/>
        </w:r>
        <w:r w:rsidR="00EB3050" w:rsidRPr="00722FE8">
          <w:rPr>
            <w:rStyle w:val="Hyperlink"/>
            <w:noProof/>
          </w:rPr>
          <w:t>Impacts on the workforce of VLCA practices</w:t>
        </w:r>
        <w:r w:rsidR="00EB3050">
          <w:rPr>
            <w:noProof/>
            <w:webHidden/>
          </w:rPr>
          <w:tab/>
        </w:r>
        <w:r w:rsidR="009B410D">
          <w:rPr>
            <w:noProof/>
            <w:webHidden/>
          </w:rPr>
          <w:fldChar w:fldCharType="begin"/>
        </w:r>
        <w:r w:rsidR="00EB3050">
          <w:rPr>
            <w:noProof/>
            <w:webHidden/>
          </w:rPr>
          <w:instrText xml:space="preserve"> PAGEREF _Toc415657678 \h </w:instrText>
        </w:r>
        <w:r w:rsidR="009B410D">
          <w:rPr>
            <w:noProof/>
            <w:webHidden/>
          </w:rPr>
        </w:r>
        <w:r w:rsidR="009B410D">
          <w:rPr>
            <w:noProof/>
            <w:webHidden/>
          </w:rPr>
          <w:fldChar w:fldCharType="separate"/>
        </w:r>
        <w:r w:rsidR="00307EAC">
          <w:rPr>
            <w:noProof/>
            <w:webHidden/>
          </w:rPr>
          <w:t>25</w:t>
        </w:r>
        <w:r w:rsidR="009B410D">
          <w:rPr>
            <w:noProof/>
            <w:webHidden/>
          </w:rPr>
          <w:fldChar w:fldCharType="end"/>
        </w:r>
      </w:hyperlink>
    </w:p>
    <w:p w14:paraId="2989202D" w14:textId="77777777" w:rsidR="00EB3050" w:rsidRDefault="002F571C">
      <w:pPr>
        <w:pStyle w:val="TOC2"/>
        <w:tabs>
          <w:tab w:val="left" w:pos="880"/>
          <w:tab w:val="right" w:leader="dot" w:pos="9016"/>
        </w:tabs>
        <w:rPr>
          <w:rFonts w:asciiTheme="minorHAnsi" w:eastAsiaTheme="minorEastAsia" w:hAnsiTheme="minorHAnsi" w:cstheme="minorBidi"/>
          <w:smallCaps w:val="0"/>
          <w:noProof/>
          <w:szCs w:val="22"/>
        </w:rPr>
      </w:pPr>
      <w:hyperlink w:anchor="_Toc415657679" w:history="1">
        <w:r w:rsidR="00EB3050" w:rsidRPr="00722FE8">
          <w:rPr>
            <w:rStyle w:val="Hyperlink"/>
            <w:noProof/>
          </w:rPr>
          <w:t>4.4</w:t>
        </w:r>
        <w:r w:rsidR="00EB3050">
          <w:rPr>
            <w:rFonts w:asciiTheme="minorHAnsi" w:eastAsiaTheme="minorEastAsia" w:hAnsiTheme="minorHAnsi" w:cstheme="minorBidi"/>
            <w:smallCaps w:val="0"/>
            <w:noProof/>
            <w:szCs w:val="22"/>
          </w:rPr>
          <w:tab/>
        </w:r>
        <w:r w:rsidR="00EB3050" w:rsidRPr="00722FE8">
          <w:rPr>
            <w:rStyle w:val="Hyperlink"/>
            <w:noProof/>
          </w:rPr>
          <w:t>Impacts on the relationships between the practices, PHOs and DHBs</w:t>
        </w:r>
        <w:r w:rsidR="00EB3050">
          <w:rPr>
            <w:noProof/>
            <w:webHidden/>
          </w:rPr>
          <w:tab/>
        </w:r>
        <w:r w:rsidR="009B410D">
          <w:rPr>
            <w:noProof/>
            <w:webHidden/>
          </w:rPr>
          <w:fldChar w:fldCharType="begin"/>
        </w:r>
        <w:r w:rsidR="00EB3050">
          <w:rPr>
            <w:noProof/>
            <w:webHidden/>
          </w:rPr>
          <w:instrText xml:space="preserve"> PAGEREF _Toc415657679 \h </w:instrText>
        </w:r>
        <w:r w:rsidR="009B410D">
          <w:rPr>
            <w:noProof/>
            <w:webHidden/>
          </w:rPr>
        </w:r>
        <w:r w:rsidR="009B410D">
          <w:rPr>
            <w:noProof/>
            <w:webHidden/>
          </w:rPr>
          <w:fldChar w:fldCharType="separate"/>
        </w:r>
        <w:r w:rsidR="00307EAC">
          <w:rPr>
            <w:noProof/>
            <w:webHidden/>
          </w:rPr>
          <w:t>27</w:t>
        </w:r>
        <w:r w:rsidR="009B410D">
          <w:rPr>
            <w:noProof/>
            <w:webHidden/>
          </w:rPr>
          <w:fldChar w:fldCharType="end"/>
        </w:r>
      </w:hyperlink>
    </w:p>
    <w:p w14:paraId="0CA426F5" w14:textId="77777777" w:rsidR="00EB3050" w:rsidRDefault="002F571C">
      <w:pPr>
        <w:pStyle w:val="TOC2"/>
        <w:tabs>
          <w:tab w:val="left" w:pos="880"/>
          <w:tab w:val="right" w:leader="dot" w:pos="9016"/>
        </w:tabs>
        <w:rPr>
          <w:rFonts w:asciiTheme="minorHAnsi" w:eastAsiaTheme="minorEastAsia" w:hAnsiTheme="minorHAnsi" w:cstheme="minorBidi"/>
          <w:smallCaps w:val="0"/>
          <w:noProof/>
          <w:szCs w:val="22"/>
        </w:rPr>
      </w:pPr>
      <w:hyperlink w:anchor="_Toc415657680" w:history="1">
        <w:r w:rsidR="00EB3050" w:rsidRPr="00722FE8">
          <w:rPr>
            <w:rStyle w:val="Hyperlink"/>
            <w:noProof/>
          </w:rPr>
          <w:t>4.5</w:t>
        </w:r>
        <w:r w:rsidR="00EB3050">
          <w:rPr>
            <w:rFonts w:asciiTheme="minorHAnsi" w:eastAsiaTheme="minorEastAsia" w:hAnsiTheme="minorHAnsi" w:cstheme="minorBidi"/>
            <w:smallCaps w:val="0"/>
            <w:noProof/>
            <w:szCs w:val="22"/>
          </w:rPr>
          <w:tab/>
        </w:r>
        <w:r w:rsidR="00EB3050" w:rsidRPr="00722FE8">
          <w:rPr>
            <w:rStyle w:val="Hyperlink"/>
            <w:noProof/>
          </w:rPr>
          <w:t>Impacts on the sustainability of VLCA practices</w:t>
        </w:r>
        <w:r w:rsidR="00EB3050">
          <w:rPr>
            <w:noProof/>
            <w:webHidden/>
          </w:rPr>
          <w:tab/>
        </w:r>
        <w:r w:rsidR="009B410D">
          <w:rPr>
            <w:noProof/>
            <w:webHidden/>
          </w:rPr>
          <w:fldChar w:fldCharType="begin"/>
        </w:r>
        <w:r w:rsidR="00EB3050">
          <w:rPr>
            <w:noProof/>
            <w:webHidden/>
          </w:rPr>
          <w:instrText xml:space="preserve"> PAGEREF _Toc415657680 \h </w:instrText>
        </w:r>
        <w:r w:rsidR="009B410D">
          <w:rPr>
            <w:noProof/>
            <w:webHidden/>
          </w:rPr>
        </w:r>
        <w:r w:rsidR="009B410D">
          <w:rPr>
            <w:noProof/>
            <w:webHidden/>
          </w:rPr>
          <w:fldChar w:fldCharType="separate"/>
        </w:r>
        <w:r w:rsidR="00307EAC">
          <w:rPr>
            <w:noProof/>
            <w:webHidden/>
          </w:rPr>
          <w:t>28</w:t>
        </w:r>
        <w:r w:rsidR="009B410D">
          <w:rPr>
            <w:noProof/>
            <w:webHidden/>
          </w:rPr>
          <w:fldChar w:fldCharType="end"/>
        </w:r>
      </w:hyperlink>
    </w:p>
    <w:p w14:paraId="107738DC" w14:textId="77777777" w:rsidR="00EB3050" w:rsidRDefault="002F571C">
      <w:pPr>
        <w:pStyle w:val="TOC1"/>
        <w:tabs>
          <w:tab w:val="left" w:pos="440"/>
          <w:tab w:val="right" w:leader="dot" w:pos="9016"/>
        </w:tabs>
        <w:rPr>
          <w:rFonts w:asciiTheme="minorHAnsi" w:eastAsiaTheme="minorEastAsia" w:hAnsiTheme="minorHAnsi" w:cstheme="minorBidi"/>
          <w:b w:val="0"/>
          <w:bCs w:val="0"/>
          <w:caps w:val="0"/>
          <w:noProof/>
          <w:szCs w:val="22"/>
        </w:rPr>
      </w:pPr>
      <w:hyperlink w:anchor="_Toc415657681" w:history="1">
        <w:r w:rsidR="00EB3050" w:rsidRPr="00722FE8">
          <w:rPr>
            <w:rStyle w:val="Hyperlink"/>
            <w:noProof/>
            <w:snapToGrid w:val="0"/>
            <w:w w:val="0"/>
          </w:rPr>
          <w:t>5.</w:t>
        </w:r>
        <w:r w:rsidR="00EB3050">
          <w:rPr>
            <w:rFonts w:asciiTheme="minorHAnsi" w:eastAsiaTheme="minorEastAsia" w:hAnsiTheme="minorHAnsi" w:cstheme="minorBidi"/>
            <w:b w:val="0"/>
            <w:bCs w:val="0"/>
            <w:caps w:val="0"/>
            <w:noProof/>
            <w:szCs w:val="22"/>
          </w:rPr>
          <w:tab/>
        </w:r>
        <w:r w:rsidR="00EB3050" w:rsidRPr="00722FE8">
          <w:rPr>
            <w:rStyle w:val="Hyperlink"/>
            <w:noProof/>
          </w:rPr>
          <w:t>Implementation of the scheme by the VLCA practices, PHOs and DHBs</w:t>
        </w:r>
        <w:r w:rsidR="00EB3050">
          <w:rPr>
            <w:noProof/>
            <w:webHidden/>
          </w:rPr>
          <w:tab/>
        </w:r>
        <w:r w:rsidR="009B410D">
          <w:rPr>
            <w:noProof/>
            <w:webHidden/>
          </w:rPr>
          <w:fldChar w:fldCharType="begin"/>
        </w:r>
        <w:r w:rsidR="00EB3050">
          <w:rPr>
            <w:noProof/>
            <w:webHidden/>
          </w:rPr>
          <w:instrText xml:space="preserve"> PAGEREF _Toc415657681 \h </w:instrText>
        </w:r>
        <w:r w:rsidR="009B410D">
          <w:rPr>
            <w:noProof/>
            <w:webHidden/>
          </w:rPr>
        </w:r>
        <w:r w:rsidR="009B410D">
          <w:rPr>
            <w:noProof/>
            <w:webHidden/>
          </w:rPr>
          <w:fldChar w:fldCharType="separate"/>
        </w:r>
        <w:r w:rsidR="00307EAC">
          <w:rPr>
            <w:noProof/>
            <w:webHidden/>
          </w:rPr>
          <w:t>32</w:t>
        </w:r>
        <w:r w:rsidR="009B410D">
          <w:rPr>
            <w:noProof/>
            <w:webHidden/>
          </w:rPr>
          <w:fldChar w:fldCharType="end"/>
        </w:r>
      </w:hyperlink>
    </w:p>
    <w:p w14:paraId="48CCF7B5" w14:textId="77777777" w:rsidR="00EB3050" w:rsidRDefault="002F571C">
      <w:pPr>
        <w:pStyle w:val="TOC2"/>
        <w:tabs>
          <w:tab w:val="left" w:pos="880"/>
          <w:tab w:val="right" w:leader="dot" w:pos="9016"/>
        </w:tabs>
        <w:rPr>
          <w:rFonts w:asciiTheme="minorHAnsi" w:eastAsiaTheme="minorEastAsia" w:hAnsiTheme="minorHAnsi" w:cstheme="minorBidi"/>
          <w:smallCaps w:val="0"/>
          <w:noProof/>
          <w:szCs w:val="22"/>
        </w:rPr>
      </w:pPr>
      <w:hyperlink w:anchor="_Toc415657682" w:history="1">
        <w:r w:rsidR="00EB3050" w:rsidRPr="00722FE8">
          <w:rPr>
            <w:rStyle w:val="Hyperlink"/>
            <w:noProof/>
          </w:rPr>
          <w:t>5.1</w:t>
        </w:r>
        <w:r w:rsidR="00EB3050">
          <w:rPr>
            <w:rFonts w:asciiTheme="minorHAnsi" w:eastAsiaTheme="minorEastAsia" w:hAnsiTheme="minorHAnsi" w:cstheme="minorBidi"/>
            <w:smallCaps w:val="0"/>
            <w:noProof/>
            <w:szCs w:val="22"/>
          </w:rPr>
          <w:tab/>
        </w:r>
        <w:r w:rsidR="00EB3050" w:rsidRPr="00722FE8">
          <w:rPr>
            <w:rStyle w:val="Hyperlink"/>
            <w:noProof/>
          </w:rPr>
          <w:t>Application Process and Nurse selection</w:t>
        </w:r>
        <w:r w:rsidR="00EB3050">
          <w:rPr>
            <w:noProof/>
            <w:webHidden/>
          </w:rPr>
          <w:tab/>
        </w:r>
        <w:r w:rsidR="009B410D">
          <w:rPr>
            <w:noProof/>
            <w:webHidden/>
          </w:rPr>
          <w:fldChar w:fldCharType="begin"/>
        </w:r>
        <w:r w:rsidR="00EB3050">
          <w:rPr>
            <w:noProof/>
            <w:webHidden/>
          </w:rPr>
          <w:instrText xml:space="preserve"> PAGEREF _Toc415657682 \h </w:instrText>
        </w:r>
        <w:r w:rsidR="009B410D">
          <w:rPr>
            <w:noProof/>
            <w:webHidden/>
          </w:rPr>
        </w:r>
        <w:r w:rsidR="009B410D">
          <w:rPr>
            <w:noProof/>
            <w:webHidden/>
          </w:rPr>
          <w:fldChar w:fldCharType="separate"/>
        </w:r>
        <w:r w:rsidR="00307EAC">
          <w:rPr>
            <w:noProof/>
            <w:webHidden/>
          </w:rPr>
          <w:t>32</w:t>
        </w:r>
        <w:r w:rsidR="009B410D">
          <w:rPr>
            <w:noProof/>
            <w:webHidden/>
          </w:rPr>
          <w:fldChar w:fldCharType="end"/>
        </w:r>
      </w:hyperlink>
    </w:p>
    <w:p w14:paraId="7A47C5E6" w14:textId="77777777" w:rsidR="00EB3050" w:rsidRDefault="002F571C">
      <w:pPr>
        <w:pStyle w:val="TOC2"/>
        <w:tabs>
          <w:tab w:val="left" w:pos="880"/>
          <w:tab w:val="right" w:leader="dot" w:pos="9016"/>
        </w:tabs>
        <w:rPr>
          <w:rFonts w:asciiTheme="minorHAnsi" w:eastAsiaTheme="minorEastAsia" w:hAnsiTheme="minorHAnsi" w:cstheme="minorBidi"/>
          <w:smallCaps w:val="0"/>
          <w:noProof/>
          <w:szCs w:val="22"/>
        </w:rPr>
      </w:pPr>
      <w:hyperlink w:anchor="_Toc415657683" w:history="1">
        <w:r w:rsidR="00EB3050" w:rsidRPr="00722FE8">
          <w:rPr>
            <w:rStyle w:val="Hyperlink"/>
            <w:noProof/>
          </w:rPr>
          <w:t>5.2</w:t>
        </w:r>
        <w:r w:rsidR="00EB3050">
          <w:rPr>
            <w:rFonts w:asciiTheme="minorHAnsi" w:eastAsiaTheme="minorEastAsia" w:hAnsiTheme="minorHAnsi" w:cstheme="minorBidi"/>
            <w:smallCaps w:val="0"/>
            <w:noProof/>
            <w:szCs w:val="22"/>
          </w:rPr>
          <w:tab/>
        </w:r>
        <w:r w:rsidR="00EB3050" w:rsidRPr="00722FE8">
          <w:rPr>
            <w:rStyle w:val="Hyperlink"/>
            <w:noProof/>
          </w:rPr>
          <w:t>Practice readiness and integration of the new graduate nurse</w:t>
        </w:r>
        <w:r w:rsidR="00EB3050">
          <w:rPr>
            <w:noProof/>
            <w:webHidden/>
          </w:rPr>
          <w:tab/>
        </w:r>
        <w:r w:rsidR="009B410D">
          <w:rPr>
            <w:noProof/>
            <w:webHidden/>
          </w:rPr>
          <w:fldChar w:fldCharType="begin"/>
        </w:r>
        <w:r w:rsidR="00EB3050">
          <w:rPr>
            <w:noProof/>
            <w:webHidden/>
          </w:rPr>
          <w:instrText xml:space="preserve"> PAGEREF _Toc415657683 \h </w:instrText>
        </w:r>
        <w:r w:rsidR="009B410D">
          <w:rPr>
            <w:noProof/>
            <w:webHidden/>
          </w:rPr>
        </w:r>
        <w:r w:rsidR="009B410D">
          <w:rPr>
            <w:noProof/>
            <w:webHidden/>
          </w:rPr>
          <w:fldChar w:fldCharType="separate"/>
        </w:r>
        <w:r w:rsidR="00307EAC">
          <w:rPr>
            <w:noProof/>
            <w:webHidden/>
          </w:rPr>
          <w:t>34</w:t>
        </w:r>
        <w:r w:rsidR="009B410D">
          <w:rPr>
            <w:noProof/>
            <w:webHidden/>
          </w:rPr>
          <w:fldChar w:fldCharType="end"/>
        </w:r>
      </w:hyperlink>
    </w:p>
    <w:p w14:paraId="2E7FFF05" w14:textId="77777777" w:rsidR="00EB3050" w:rsidRDefault="002F571C">
      <w:pPr>
        <w:pStyle w:val="TOC2"/>
        <w:tabs>
          <w:tab w:val="left" w:pos="880"/>
          <w:tab w:val="right" w:leader="dot" w:pos="9016"/>
        </w:tabs>
        <w:rPr>
          <w:rFonts w:asciiTheme="minorHAnsi" w:eastAsiaTheme="minorEastAsia" w:hAnsiTheme="minorHAnsi" w:cstheme="minorBidi"/>
          <w:smallCaps w:val="0"/>
          <w:noProof/>
          <w:szCs w:val="22"/>
        </w:rPr>
      </w:pPr>
      <w:hyperlink w:anchor="_Toc415657684" w:history="1">
        <w:r w:rsidR="00EB3050" w:rsidRPr="00722FE8">
          <w:rPr>
            <w:rStyle w:val="Hyperlink"/>
            <w:noProof/>
          </w:rPr>
          <w:t>5.3</w:t>
        </w:r>
        <w:r w:rsidR="00EB3050">
          <w:rPr>
            <w:rFonts w:asciiTheme="minorHAnsi" w:eastAsiaTheme="minorEastAsia" w:hAnsiTheme="minorHAnsi" w:cstheme="minorBidi"/>
            <w:smallCaps w:val="0"/>
            <w:noProof/>
            <w:szCs w:val="22"/>
          </w:rPr>
          <w:tab/>
        </w:r>
        <w:r w:rsidR="00EB3050" w:rsidRPr="00722FE8">
          <w:rPr>
            <w:rStyle w:val="Hyperlink"/>
            <w:noProof/>
          </w:rPr>
          <w:t>DHB and PHO involvement</w:t>
        </w:r>
        <w:r w:rsidR="00EB3050">
          <w:rPr>
            <w:noProof/>
            <w:webHidden/>
          </w:rPr>
          <w:tab/>
        </w:r>
        <w:r w:rsidR="009B410D">
          <w:rPr>
            <w:noProof/>
            <w:webHidden/>
          </w:rPr>
          <w:fldChar w:fldCharType="begin"/>
        </w:r>
        <w:r w:rsidR="00EB3050">
          <w:rPr>
            <w:noProof/>
            <w:webHidden/>
          </w:rPr>
          <w:instrText xml:space="preserve"> PAGEREF _Toc415657684 \h </w:instrText>
        </w:r>
        <w:r w:rsidR="009B410D">
          <w:rPr>
            <w:noProof/>
            <w:webHidden/>
          </w:rPr>
        </w:r>
        <w:r w:rsidR="009B410D">
          <w:rPr>
            <w:noProof/>
            <w:webHidden/>
          </w:rPr>
          <w:fldChar w:fldCharType="separate"/>
        </w:r>
        <w:r w:rsidR="00307EAC">
          <w:rPr>
            <w:noProof/>
            <w:webHidden/>
          </w:rPr>
          <w:t>39</w:t>
        </w:r>
        <w:r w:rsidR="009B410D">
          <w:rPr>
            <w:noProof/>
            <w:webHidden/>
          </w:rPr>
          <w:fldChar w:fldCharType="end"/>
        </w:r>
      </w:hyperlink>
    </w:p>
    <w:p w14:paraId="7F671D08" w14:textId="77777777" w:rsidR="00EB3050" w:rsidRDefault="002F571C">
      <w:pPr>
        <w:pStyle w:val="TOC2"/>
        <w:tabs>
          <w:tab w:val="left" w:pos="880"/>
          <w:tab w:val="right" w:leader="dot" w:pos="9016"/>
        </w:tabs>
        <w:rPr>
          <w:rFonts w:asciiTheme="minorHAnsi" w:eastAsiaTheme="minorEastAsia" w:hAnsiTheme="minorHAnsi" w:cstheme="minorBidi"/>
          <w:smallCaps w:val="0"/>
          <w:noProof/>
          <w:szCs w:val="22"/>
        </w:rPr>
      </w:pPr>
      <w:hyperlink w:anchor="_Toc415657685" w:history="1">
        <w:r w:rsidR="00EB3050" w:rsidRPr="00722FE8">
          <w:rPr>
            <w:rStyle w:val="Hyperlink"/>
            <w:noProof/>
          </w:rPr>
          <w:t>5.4</w:t>
        </w:r>
        <w:r w:rsidR="00EB3050">
          <w:rPr>
            <w:rFonts w:asciiTheme="minorHAnsi" w:eastAsiaTheme="minorEastAsia" w:hAnsiTheme="minorHAnsi" w:cstheme="minorBidi"/>
            <w:smallCaps w:val="0"/>
            <w:noProof/>
            <w:szCs w:val="22"/>
          </w:rPr>
          <w:tab/>
        </w:r>
        <w:r w:rsidR="00EB3050" w:rsidRPr="00722FE8">
          <w:rPr>
            <w:rStyle w:val="Hyperlink"/>
            <w:noProof/>
          </w:rPr>
          <w:t>New graduate nurse development and support</w:t>
        </w:r>
        <w:r w:rsidR="00EB3050">
          <w:rPr>
            <w:noProof/>
            <w:webHidden/>
          </w:rPr>
          <w:tab/>
        </w:r>
        <w:r w:rsidR="009B410D">
          <w:rPr>
            <w:noProof/>
            <w:webHidden/>
          </w:rPr>
          <w:fldChar w:fldCharType="begin"/>
        </w:r>
        <w:r w:rsidR="00EB3050">
          <w:rPr>
            <w:noProof/>
            <w:webHidden/>
          </w:rPr>
          <w:instrText xml:space="preserve"> PAGEREF _Toc415657685 \h </w:instrText>
        </w:r>
        <w:r w:rsidR="009B410D">
          <w:rPr>
            <w:noProof/>
            <w:webHidden/>
          </w:rPr>
        </w:r>
        <w:r w:rsidR="009B410D">
          <w:rPr>
            <w:noProof/>
            <w:webHidden/>
          </w:rPr>
          <w:fldChar w:fldCharType="separate"/>
        </w:r>
        <w:r w:rsidR="00307EAC">
          <w:rPr>
            <w:noProof/>
            <w:webHidden/>
          </w:rPr>
          <w:t>40</w:t>
        </w:r>
        <w:r w:rsidR="009B410D">
          <w:rPr>
            <w:noProof/>
            <w:webHidden/>
          </w:rPr>
          <w:fldChar w:fldCharType="end"/>
        </w:r>
      </w:hyperlink>
    </w:p>
    <w:p w14:paraId="31D1C148" w14:textId="77777777" w:rsidR="00EB3050" w:rsidRDefault="002F571C">
      <w:pPr>
        <w:pStyle w:val="TOC1"/>
        <w:tabs>
          <w:tab w:val="left" w:pos="440"/>
          <w:tab w:val="right" w:leader="dot" w:pos="9016"/>
        </w:tabs>
        <w:rPr>
          <w:rFonts w:asciiTheme="minorHAnsi" w:eastAsiaTheme="minorEastAsia" w:hAnsiTheme="minorHAnsi" w:cstheme="minorBidi"/>
          <w:b w:val="0"/>
          <w:bCs w:val="0"/>
          <w:caps w:val="0"/>
          <w:noProof/>
          <w:szCs w:val="22"/>
        </w:rPr>
      </w:pPr>
      <w:hyperlink w:anchor="_Toc415657686" w:history="1">
        <w:r w:rsidR="00EB3050" w:rsidRPr="00722FE8">
          <w:rPr>
            <w:rStyle w:val="Hyperlink"/>
            <w:noProof/>
            <w:snapToGrid w:val="0"/>
            <w:w w:val="0"/>
          </w:rPr>
          <w:t>6.</w:t>
        </w:r>
        <w:r w:rsidR="00EB3050">
          <w:rPr>
            <w:rFonts w:asciiTheme="minorHAnsi" w:eastAsiaTheme="minorEastAsia" w:hAnsiTheme="minorHAnsi" w:cstheme="minorBidi"/>
            <w:b w:val="0"/>
            <w:bCs w:val="0"/>
            <w:caps w:val="0"/>
            <w:noProof/>
            <w:szCs w:val="22"/>
          </w:rPr>
          <w:tab/>
        </w:r>
        <w:r w:rsidR="00EB3050" w:rsidRPr="00722FE8">
          <w:rPr>
            <w:rStyle w:val="Hyperlink"/>
            <w:noProof/>
          </w:rPr>
          <w:t>Ideas for modifications and improvements</w:t>
        </w:r>
        <w:r w:rsidR="00EB3050">
          <w:rPr>
            <w:noProof/>
            <w:webHidden/>
          </w:rPr>
          <w:tab/>
        </w:r>
        <w:r w:rsidR="009B410D">
          <w:rPr>
            <w:noProof/>
            <w:webHidden/>
          </w:rPr>
          <w:fldChar w:fldCharType="begin"/>
        </w:r>
        <w:r w:rsidR="00EB3050">
          <w:rPr>
            <w:noProof/>
            <w:webHidden/>
          </w:rPr>
          <w:instrText xml:space="preserve"> PAGEREF _Toc415657686 \h </w:instrText>
        </w:r>
        <w:r w:rsidR="009B410D">
          <w:rPr>
            <w:noProof/>
            <w:webHidden/>
          </w:rPr>
        </w:r>
        <w:r w:rsidR="009B410D">
          <w:rPr>
            <w:noProof/>
            <w:webHidden/>
          </w:rPr>
          <w:fldChar w:fldCharType="separate"/>
        </w:r>
        <w:r w:rsidR="00307EAC">
          <w:rPr>
            <w:noProof/>
            <w:webHidden/>
          </w:rPr>
          <w:t>44</w:t>
        </w:r>
        <w:r w:rsidR="009B410D">
          <w:rPr>
            <w:noProof/>
            <w:webHidden/>
          </w:rPr>
          <w:fldChar w:fldCharType="end"/>
        </w:r>
      </w:hyperlink>
    </w:p>
    <w:p w14:paraId="56F0A6EB" w14:textId="77777777" w:rsidR="00EB3050" w:rsidRDefault="002F571C">
      <w:pPr>
        <w:pStyle w:val="TOC2"/>
        <w:tabs>
          <w:tab w:val="left" w:pos="880"/>
          <w:tab w:val="right" w:leader="dot" w:pos="9016"/>
        </w:tabs>
        <w:rPr>
          <w:rFonts w:asciiTheme="minorHAnsi" w:eastAsiaTheme="minorEastAsia" w:hAnsiTheme="minorHAnsi" w:cstheme="minorBidi"/>
          <w:smallCaps w:val="0"/>
          <w:noProof/>
          <w:szCs w:val="22"/>
        </w:rPr>
      </w:pPr>
      <w:hyperlink w:anchor="_Toc415657687" w:history="1">
        <w:r w:rsidR="00EB3050" w:rsidRPr="00722FE8">
          <w:rPr>
            <w:rStyle w:val="Hyperlink"/>
            <w:noProof/>
          </w:rPr>
          <w:t>6.1</w:t>
        </w:r>
        <w:r w:rsidR="00EB3050">
          <w:rPr>
            <w:rFonts w:asciiTheme="minorHAnsi" w:eastAsiaTheme="minorEastAsia" w:hAnsiTheme="minorHAnsi" w:cstheme="minorBidi"/>
            <w:smallCaps w:val="0"/>
            <w:noProof/>
            <w:szCs w:val="22"/>
          </w:rPr>
          <w:tab/>
        </w:r>
        <w:r w:rsidR="00EB3050" w:rsidRPr="00722FE8">
          <w:rPr>
            <w:rStyle w:val="Hyperlink"/>
            <w:noProof/>
          </w:rPr>
          <w:t>Practice eligibility</w:t>
        </w:r>
        <w:r w:rsidR="00EB3050">
          <w:rPr>
            <w:noProof/>
            <w:webHidden/>
          </w:rPr>
          <w:tab/>
        </w:r>
        <w:r w:rsidR="009B410D">
          <w:rPr>
            <w:noProof/>
            <w:webHidden/>
          </w:rPr>
          <w:fldChar w:fldCharType="begin"/>
        </w:r>
        <w:r w:rsidR="00EB3050">
          <w:rPr>
            <w:noProof/>
            <w:webHidden/>
          </w:rPr>
          <w:instrText xml:space="preserve"> PAGEREF _Toc415657687 \h </w:instrText>
        </w:r>
        <w:r w:rsidR="009B410D">
          <w:rPr>
            <w:noProof/>
            <w:webHidden/>
          </w:rPr>
        </w:r>
        <w:r w:rsidR="009B410D">
          <w:rPr>
            <w:noProof/>
            <w:webHidden/>
          </w:rPr>
          <w:fldChar w:fldCharType="separate"/>
        </w:r>
        <w:r w:rsidR="00307EAC">
          <w:rPr>
            <w:noProof/>
            <w:webHidden/>
          </w:rPr>
          <w:t>44</w:t>
        </w:r>
        <w:r w:rsidR="009B410D">
          <w:rPr>
            <w:noProof/>
            <w:webHidden/>
          </w:rPr>
          <w:fldChar w:fldCharType="end"/>
        </w:r>
      </w:hyperlink>
    </w:p>
    <w:p w14:paraId="69407550" w14:textId="77777777" w:rsidR="00EB3050" w:rsidRDefault="002F571C">
      <w:pPr>
        <w:pStyle w:val="TOC2"/>
        <w:tabs>
          <w:tab w:val="left" w:pos="880"/>
          <w:tab w:val="right" w:leader="dot" w:pos="9016"/>
        </w:tabs>
        <w:rPr>
          <w:rFonts w:asciiTheme="minorHAnsi" w:eastAsiaTheme="minorEastAsia" w:hAnsiTheme="minorHAnsi" w:cstheme="minorBidi"/>
          <w:smallCaps w:val="0"/>
          <w:noProof/>
          <w:szCs w:val="22"/>
        </w:rPr>
      </w:pPr>
      <w:hyperlink w:anchor="_Toc415657688" w:history="1">
        <w:r w:rsidR="00EB3050" w:rsidRPr="00722FE8">
          <w:rPr>
            <w:rStyle w:val="Hyperlink"/>
            <w:noProof/>
          </w:rPr>
          <w:t>6.2</w:t>
        </w:r>
        <w:r w:rsidR="00EB3050">
          <w:rPr>
            <w:rFonts w:asciiTheme="minorHAnsi" w:eastAsiaTheme="minorEastAsia" w:hAnsiTheme="minorHAnsi" w:cstheme="minorBidi"/>
            <w:smallCaps w:val="0"/>
            <w:noProof/>
            <w:szCs w:val="22"/>
          </w:rPr>
          <w:tab/>
        </w:r>
        <w:r w:rsidR="00EB3050" w:rsidRPr="00722FE8">
          <w:rPr>
            <w:rStyle w:val="Hyperlink"/>
            <w:noProof/>
          </w:rPr>
          <w:t>Improved application process</w:t>
        </w:r>
        <w:r w:rsidR="00EB3050">
          <w:rPr>
            <w:noProof/>
            <w:webHidden/>
          </w:rPr>
          <w:tab/>
        </w:r>
        <w:r w:rsidR="009B410D">
          <w:rPr>
            <w:noProof/>
            <w:webHidden/>
          </w:rPr>
          <w:fldChar w:fldCharType="begin"/>
        </w:r>
        <w:r w:rsidR="00EB3050">
          <w:rPr>
            <w:noProof/>
            <w:webHidden/>
          </w:rPr>
          <w:instrText xml:space="preserve"> PAGEREF _Toc415657688 \h </w:instrText>
        </w:r>
        <w:r w:rsidR="009B410D">
          <w:rPr>
            <w:noProof/>
            <w:webHidden/>
          </w:rPr>
        </w:r>
        <w:r w:rsidR="009B410D">
          <w:rPr>
            <w:noProof/>
            <w:webHidden/>
          </w:rPr>
          <w:fldChar w:fldCharType="separate"/>
        </w:r>
        <w:r w:rsidR="00307EAC">
          <w:rPr>
            <w:noProof/>
            <w:webHidden/>
          </w:rPr>
          <w:t>44</w:t>
        </w:r>
        <w:r w:rsidR="009B410D">
          <w:rPr>
            <w:noProof/>
            <w:webHidden/>
          </w:rPr>
          <w:fldChar w:fldCharType="end"/>
        </w:r>
      </w:hyperlink>
    </w:p>
    <w:p w14:paraId="68E16623" w14:textId="77777777" w:rsidR="00EB3050" w:rsidRDefault="002F571C">
      <w:pPr>
        <w:pStyle w:val="TOC2"/>
        <w:tabs>
          <w:tab w:val="left" w:pos="880"/>
          <w:tab w:val="right" w:leader="dot" w:pos="9016"/>
        </w:tabs>
        <w:rPr>
          <w:rFonts w:asciiTheme="minorHAnsi" w:eastAsiaTheme="minorEastAsia" w:hAnsiTheme="minorHAnsi" w:cstheme="minorBidi"/>
          <w:smallCaps w:val="0"/>
          <w:noProof/>
          <w:szCs w:val="22"/>
        </w:rPr>
      </w:pPr>
      <w:hyperlink w:anchor="_Toc415657689" w:history="1">
        <w:r w:rsidR="00EB3050" w:rsidRPr="00722FE8">
          <w:rPr>
            <w:rStyle w:val="Hyperlink"/>
            <w:noProof/>
          </w:rPr>
          <w:t>6.3</w:t>
        </w:r>
        <w:r w:rsidR="00EB3050">
          <w:rPr>
            <w:rFonts w:asciiTheme="minorHAnsi" w:eastAsiaTheme="minorEastAsia" w:hAnsiTheme="minorHAnsi" w:cstheme="minorBidi"/>
            <w:smallCaps w:val="0"/>
            <w:noProof/>
            <w:szCs w:val="22"/>
          </w:rPr>
          <w:tab/>
        </w:r>
        <w:r w:rsidR="00EB3050" w:rsidRPr="00722FE8">
          <w:rPr>
            <w:rStyle w:val="Hyperlink"/>
            <w:noProof/>
          </w:rPr>
          <w:t>Role sharing</w:t>
        </w:r>
        <w:r w:rsidR="00EB3050">
          <w:rPr>
            <w:noProof/>
            <w:webHidden/>
          </w:rPr>
          <w:tab/>
        </w:r>
        <w:r w:rsidR="009B410D">
          <w:rPr>
            <w:noProof/>
            <w:webHidden/>
          </w:rPr>
          <w:fldChar w:fldCharType="begin"/>
        </w:r>
        <w:r w:rsidR="00EB3050">
          <w:rPr>
            <w:noProof/>
            <w:webHidden/>
          </w:rPr>
          <w:instrText xml:space="preserve"> PAGEREF _Toc415657689 \h </w:instrText>
        </w:r>
        <w:r w:rsidR="009B410D">
          <w:rPr>
            <w:noProof/>
            <w:webHidden/>
          </w:rPr>
        </w:r>
        <w:r w:rsidR="009B410D">
          <w:rPr>
            <w:noProof/>
            <w:webHidden/>
          </w:rPr>
          <w:fldChar w:fldCharType="separate"/>
        </w:r>
        <w:r w:rsidR="00307EAC">
          <w:rPr>
            <w:noProof/>
            <w:webHidden/>
          </w:rPr>
          <w:t>45</w:t>
        </w:r>
        <w:r w:rsidR="009B410D">
          <w:rPr>
            <w:noProof/>
            <w:webHidden/>
          </w:rPr>
          <w:fldChar w:fldCharType="end"/>
        </w:r>
      </w:hyperlink>
    </w:p>
    <w:p w14:paraId="2A183205" w14:textId="77777777" w:rsidR="00EB3050" w:rsidRDefault="002F571C">
      <w:pPr>
        <w:pStyle w:val="TOC2"/>
        <w:tabs>
          <w:tab w:val="left" w:pos="880"/>
          <w:tab w:val="right" w:leader="dot" w:pos="9016"/>
        </w:tabs>
        <w:rPr>
          <w:rFonts w:asciiTheme="minorHAnsi" w:eastAsiaTheme="minorEastAsia" w:hAnsiTheme="minorHAnsi" w:cstheme="minorBidi"/>
          <w:smallCaps w:val="0"/>
          <w:noProof/>
          <w:szCs w:val="22"/>
        </w:rPr>
      </w:pPr>
      <w:hyperlink w:anchor="_Toc415657690" w:history="1">
        <w:r w:rsidR="00EB3050" w:rsidRPr="00722FE8">
          <w:rPr>
            <w:rStyle w:val="Hyperlink"/>
            <w:noProof/>
          </w:rPr>
          <w:t>6.4</w:t>
        </w:r>
        <w:r w:rsidR="00EB3050">
          <w:rPr>
            <w:rFonts w:asciiTheme="minorHAnsi" w:eastAsiaTheme="minorEastAsia" w:hAnsiTheme="minorHAnsi" w:cstheme="minorBidi"/>
            <w:smallCaps w:val="0"/>
            <w:noProof/>
            <w:szCs w:val="22"/>
          </w:rPr>
          <w:tab/>
        </w:r>
        <w:r w:rsidR="00EB3050" w:rsidRPr="00722FE8">
          <w:rPr>
            <w:rStyle w:val="Hyperlink"/>
            <w:noProof/>
          </w:rPr>
          <w:t>Sharing learning</w:t>
        </w:r>
        <w:r w:rsidR="00EB3050">
          <w:rPr>
            <w:noProof/>
            <w:webHidden/>
          </w:rPr>
          <w:tab/>
        </w:r>
        <w:r w:rsidR="009B410D">
          <w:rPr>
            <w:noProof/>
            <w:webHidden/>
          </w:rPr>
          <w:fldChar w:fldCharType="begin"/>
        </w:r>
        <w:r w:rsidR="00EB3050">
          <w:rPr>
            <w:noProof/>
            <w:webHidden/>
          </w:rPr>
          <w:instrText xml:space="preserve"> PAGEREF _Toc415657690 \h </w:instrText>
        </w:r>
        <w:r w:rsidR="009B410D">
          <w:rPr>
            <w:noProof/>
            <w:webHidden/>
          </w:rPr>
        </w:r>
        <w:r w:rsidR="009B410D">
          <w:rPr>
            <w:noProof/>
            <w:webHidden/>
          </w:rPr>
          <w:fldChar w:fldCharType="separate"/>
        </w:r>
        <w:r w:rsidR="00307EAC">
          <w:rPr>
            <w:noProof/>
            <w:webHidden/>
          </w:rPr>
          <w:t>45</w:t>
        </w:r>
        <w:r w:rsidR="009B410D">
          <w:rPr>
            <w:noProof/>
            <w:webHidden/>
          </w:rPr>
          <w:fldChar w:fldCharType="end"/>
        </w:r>
      </w:hyperlink>
    </w:p>
    <w:p w14:paraId="7D43B378" w14:textId="77777777" w:rsidR="00EB3050" w:rsidRDefault="002F571C">
      <w:pPr>
        <w:pStyle w:val="TOC2"/>
        <w:tabs>
          <w:tab w:val="left" w:pos="880"/>
          <w:tab w:val="right" w:leader="dot" w:pos="9016"/>
        </w:tabs>
        <w:rPr>
          <w:rFonts w:asciiTheme="minorHAnsi" w:eastAsiaTheme="minorEastAsia" w:hAnsiTheme="minorHAnsi" w:cstheme="minorBidi"/>
          <w:smallCaps w:val="0"/>
          <w:noProof/>
          <w:szCs w:val="22"/>
        </w:rPr>
      </w:pPr>
      <w:hyperlink w:anchor="_Toc415657691" w:history="1">
        <w:r w:rsidR="00EB3050" w:rsidRPr="00722FE8">
          <w:rPr>
            <w:rStyle w:val="Hyperlink"/>
            <w:noProof/>
          </w:rPr>
          <w:t>6.5</w:t>
        </w:r>
        <w:r w:rsidR="00EB3050">
          <w:rPr>
            <w:rFonts w:asciiTheme="minorHAnsi" w:eastAsiaTheme="minorEastAsia" w:hAnsiTheme="minorHAnsi" w:cstheme="minorBidi"/>
            <w:smallCaps w:val="0"/>
            <w:noProof/>
            <w:szCs w:val="22"/>
          </w:rPr>
          <w:tab/>
        </w:r>
        <w:r w:rsidR="00EB3050" w:rsidRPr="00722FE8">
          <w:rPr>
            <w:rStyle w:val="Hyperlink"/>
            <w:noProof/>
          </w:rPr>
          <w:t>Extending the scheme</w:t>
        </w:r>
        <w:r w:rsidR="00EB3050">
          <w:rPr>
            <w:noProof/>
            <w:webHidden/>
          </w:rPr>
          <w:tab/>
        </w:r>
        <w:r w:rsidR="009B410D">
          <w:rPr>
            <w:noProof/>
            <w:webHidden/>
          </w:rPr>
          <w:fldChar w:fldCharType="begin"/>
        </w:r>
        <w:r w:rsidR="00EB3050">
          <w:rPr>
            <w:noProof/>
            <w:webHidden/>
          </w:rPr>
          <w:instrText xml:space="preserve"> PAGEREF _Toc415657691 \h </w:instrText>
        </w:r>
        <w:r w:rsidR="009B410D">
          <w:rPr>
            <w:noProof/>
            <w:webHidden/>
          </w:rPr>
        </w:r>
        <w:r w:rsidR="009B410D">
          <w:rPr>
            <w:noProof/>
            <w:webHidden/>
          </w:rPr>
          <w:fldChar w:fldCharType="separate"/>
        </w:r>
        <w:r w:rsidR="00307EAC">
          <w:rPr>
            <w:noProof/>
            <w:webHidden/>
          </w:rPr>
          <w:t>46</w:t>
        </w:r>
        <w:r w:rsidR="009B410D">
          <w:rPr>
            <w:noProof/>
            <w:webHidden/>
          </w:rPr>
          <w:fldChar w:fldCharType="end"/>
        </w:r>
      </w:hyperlink>
    </w:p>
    <w:p w14:paraId="2948F1A4" w14:textId="77777777" w:rsidR="00EB3050" w:rsidRDefault="002F571C">
      <w:pPr>
        <w:pStyle w:val="TOC2"/>
        <w:tabs>
          <w:tab w:val="left" w:pos="880"/>
          <w:tab w:val="right" w:leader="dot" w:pos="9016"/>
        </w:tabs>
        <w:rPr>
          <w:rFonts w:asciiTheme="minorHAnsi" w:eastAsiaTheme="minorEastAsia" w:hAnsiTheme="minorHAnsi" w:cstheme="minorBidi"/>
          <w:smallCaps w:val="0"/>
          <w:noProof/>
          <w:szCs w:val="22"/>
        </w:rPr>
      </w:pPr>
      <w:hyperlink w:anchor="_Toc415657692" w:history="1">
        <w:r w:rsidR="00EB3050" w:rsidRPr="00722FE8">
          <w:rPr>
            <w:rStyle w:val="Hyperlink"/>
            <w:noProof/>
          </w:rPr>
          <w:t>6.6</w:t>
        </w:r>
        <w:r w:rsidR="00EB3050">
          <w:rPr>
            <w:rFonts w:asciiTheme="minorHAnsi" w:eastAsiaTheme="minorEastAsia" w:hAnsiTheme="minorHAnsi" w:cstheme="minorBidi"/>
            <w:smallCaps w:val="0"/>
            <w:noProof/>
            <w:szCs w:val="22"/>
          </w:rPr>
          <w:tab/>
        </w:r>
        <w:r w:rsidR="00EB3050" w:rsidRPr="00722FE8">
          <w:rPr>
            <w:rStyle w:val="Hyperlink"/>
            <w:noProof/>
          </w:rPr>
          <w:t>Promoting primary care</w:t>
        </w:r>
        <w:r w:rsidR="00EB3050">
          <w:rPr>
            <w:noProof/>
            <w:webHidden/>
          </w:rPr>
          <w:tab/>
        </w:r>
        <w:r w:rsidR="009B410D">
          <w:rPr>
            <w:noProof/>
            <w:webHidden/>
          </w:rPr>
          <w:fldChar w:fldCharType="begin"/>
        </w:r>
        <w:r w:rsidR="00EB3050">
          <w:rPr>
            <w:noProof/>
            <w:webHidden/>
          </w:rPr>
          <w:instrText xml:space="preserve"> PAGEREF _Toc415657692 \h </w:instrText>
        </w:r>
        <w:r w:rsidR="009B410D">
          <w:rPr>
            <w:noProof/>
            <w:webHidden/>
          </w:rPr>
        </w:r>
        <w:r w:rsidR="009B410D">
          <w:rPr>
            <w:noProof/>
            <w:webHidden/>
          </w:rPr>
          <w:fldChar w:fldCharType="separate"/>
        </w:r>
        <w:r w:rsidR="00307EAC">
          <w:rPr>
            <w:noProof/>
            <w:webHidden/>
          </w:rPr>
          <w:t>46</w:t>
        </w:r>
        <w:r w:rsidR="009B410D">
          <w:rPr>
            <w:noProof/>
            <w:webHidden/>
          </w:rPr>
          <w:fldChar w:fldCharType="end"/>
        </w:r>
      </w:hyperlink>
    </w:p>
    <w:p w14:paraId="6E6ADB8B" w14:textId="77777777" w:rsidR="00EB3050" w:rsidRDefault="002F571C">
      <w:pPr>
        <w:pStyle w:val="TOC1"/>
        <w:tabs>
          <w:tab w:val="left" w:pos="440"/>
          <w:tab w:val="right" w:leader="dot" w:pos="9016"/>
        </w:tabs>
        <w:rPr>
          <w:rFonts w:asciiTheme="minorHAnsi" w:eastAsiaTheme="minorEastAsia" w:hAnsiTheme="minorHAnsi" w:cstheme="minorBidi"/>
          <w:b w:val="0"/>
          <w:bCs w:val="0"/>
          <w:caps w:val="0"/>
          <w:noProof/>
          <w:szCs w:val="22"/>
        </w:rPr>
      </w:pPr>
      <w:hyperlink w:anchor="_Toc415657693" w:history="1">
        <w:r w:rsidR="00EB3050" w:rsidRPr="00722FE8">
          <w:rPr>
            <w:rStyle w:val="Hyperlink"/>
            <w:noProof/>
            <w:snapToGrid w:val="0"/>
            <w:w w:val="0"/>
          </w:rPr>
          <w:t>7.</w:t>
        </w:r>
        <w:r w:rsidR="00EB3050">
          <w:rPr>
            <w:rFonts w:asciiTheme="minorHAnsi" w:eastAsiaTheme="minorEastAsia" w:hAnsiTheme="minorHAnsi" w:cstheme="minorBidi"/>
            <w:b w:val="0"/>
            <w:bCs w:val="0"/>
            <w:caps w:val="0"/>
            <w:noProof/>
            <w:szCs w:val="22"/>
          </w:rPr>
          <w:tab/>
        </w:r>
        <w:r w:rsidR="00EB3050" w:rsidRPr="00722FE8">
          <w:rPr>
            <w:rStyle w:val="Hyperlink"/>
            <w:noProof/>
          </w:rPr>
          <w:t>Conclusions</w:t>
        </w:r>
        <w:r w:rsidR="00EB3050">
          <w:rPr>
            <w:noProof/>
            <w:webHidden/>
          </w:rPr>
          <w:tab/>
        </w:r>
        <w:r w:rsidR="009B410D">
          <w:rPr>
            <w:noProof/>
            <w:webHidden/>
          </w:rPr>
          <w:fldChar w:fldCharType="begin"/>
        </w:r>
        <w:r w:rsidR="00EB3050">
          <w:rPr>
            <w:noProof/>
            <w:webHidden/>
          </w:rPr>
          <w:instrText xml:space="preserve"> PAGEREF _Toc415657693 \h </w:instrText>
        </w:r>
        <w:r w:rsidR="009B410D">
          <w:rPr>
            <w:noProof/>
            <w:webHidden/>
          </w:rPr>
        </w:r>
        <w:r w:rsidR="009B410D">
          <w:rPr>
            <w:noProof/>
            <w:webHidden/>
          </w:rPr>
          <w:fldChar w:fldCharType="separate"/>
        </w:r>
        <w:r w:rsidR="00307EAC">
          <w:rPr>
            <w:noProof/>
            <w:webHidden/>
          </w:rPr>
          <w:t>47</w:t>
        </w:r>
        <w:r w:rsidR="009B410D">
          <w:rPr>
            <w:noProof/>
            <w:webHidden/>
          </w:rPr>
          <w:fldChar w:fldCharType="end"/>
        </w:r>
      </w:hyperlink>
    </w:p>
    <w:p w14:paraId="147561D4" w14:textId="77777777" w:rsidR="00EB3050" w:rsidRDefault="002F571C">
      <w:pPr>
        <w:pStyle w:val="TOC1"/>
        <w:tabs>
          <w:tab w:val="left" w:pos="440"/>
          <w:tab w:val="right" w:leader="dot" w:pos="9016"/>
        </w:tabs>
        <w:rPr>
          <w:rFonts w:asciiTheme="minorHAnsi" w:eastAsiaTheme="minorEastAsia" w:hAnsiTheme="minorHAnsi" w:cstheme="minorBidi"/>
          <w:b w:val="0"/>
          <w:bCs w:val="0"/>
          <w:caps w:val="0"/>
          <w:noProof/>
          <w:szCs w:val="22"/>
        </w:rPr>
      </w:pPr>
      <w:hyperlink w:anchor="_Toc415657694" w:history="1">
        <w:r w:rsidR="00EB3050" w:rsidRPr="00722FE8">
          <w:rPr>
            <w:rStyle w:val="Hyperlink"/>
            <w:noProof/>
            <w:snapToGrid w:val="0"/>
            <w:w w:val="0"/>
          </w:rPr>
          <w:t>8.</w:t>
        </w:r>
        <w:r w:rsidR="00EB3050">
          <w:rPr>
            <w:rFonts w:asciiTheme="minorHAnsi" w:eastAsiaTheme="minorEastAsia" w:hAnsiTheme="minorHAnsi" w:cstheme="minorBidi"/>
            <w:b w:val="0"/>
            <w:bCs w:val="0"/>
            <w:caps w:val="0"/>
            <w:noProof/>
            <w:szCs w:val="22"/>
          </w:rPr>
          <w:tab/>
        </w:r>
        <w:r w:rsidR="00EB3050" w:rsidRPr="00722FE8">
          <w:rPr>
            <w:rStyle w:val="Hyperlink"/>
            <w:noProof/>
          </w:rPr>
          <w:t>References</w:t>
        </w:r>
        <w:r w:rsidR="00EB3050">
          <w:rPr>
            <w:noProof/>
            <w:webHidden/>
          </w:rPr>
          <w:tab/>
        </w:r>
        <w:r w:rsidR="009B410D">
          <w:rPr>
            <w:noProof/>
            <w:webHidden/>
          </w:rPr>
          <w:fldChar w:fldCharType="begin"/>
        </w:r>
        <w:r w:rsidR="00EB3050">
          <w:rPr>
            <w:noProof/>
            <w:webHidden/>
          </w:rPr>
          <w:instrText xml:space="preserve"> PAGEREF _Toc415657694 \h </w:instrText>
        </w:r>
        <w:r w:rsidR="009B410D">
          <w:rPr>
            <w:noProof/>
            <w:webHidden/>
          </w:rPr>
        </w:r>
        <w:r w:rsidR="009B410D">
          <w:rPr>
            <w:noProof/>
            <w:webHidden/>
          </w:rPr>
          <w:fldChar w:fldCharType="separate"/>
        </w:r>
        <w:r w:rsidR="00307EAC">
          <w:rPr>
            <w:noProof/>
            <w:webHidden/>
          </w:rPr>
          <w:t>51</w:t>
        </w:r>
        <w:r w:rsidR="009B410D">
          <w:rPr>
            <w:noProof/>
            <w:webHidden/>
          </w:rPr>
          <w:fldChar w:fldCharType="end"/>
        </w:r>
      </w:hyperlink>
    </w:p>
    <w:p w14:paraId="7636BF14" w14:textId="77777777" w:rsidR="00EB3050" w:rsidRDefault="002F571C">
      <w:pPr>
        <w:pStyle w:val="TOC1"/>
        <w:tabs>
          <w:tab w:val="left" w:pos="440"/>
          <w:tab w:val="right" w:leader="dot" w:pos="9016"/>
        </w:tabs>
        <w:rPr>
          <w:rFonts w:asciiTheme="minorHAnsi" w:eastAsiaTheme="minorEastAsia" w:hAnsiTheme="minorHAnsi" w:cstheme="minorBidi"/>
          <w:b w:val="0"/>
          <w:bCs w:val="0"/>
          <w:caps w:val="0"/>
          <w:noProof/>
          <w:szCs w:val="22"/>
        </w:rPr>
      </w:pPr>
      <w:hyperlink w:anchor="_Toc415657695" w:history="1">
        <w:r w:rsidR="00EB3050" w:rsidRPr="00722FE8">
          <w:rPr>
            <w:rStyle w:val="Hyperlink"/>
            <w:noProof/>
            <w:snapToGrid w:val="0"/>
            <w:w w:val="0"/>
          </w:rPr>
          <w:t>9.</w:t>
        </w:r>
        <w:r w:rsidR="00EB3050">
          <w:rPr>
            <w:rFonts w:asciiTheme="minorHAnsi" w:eastAsiaTheme="minorEastAsia" w:hAnsiTheme="minorHAnsi" w:cstheme="minorBidi"/>
            <w:b w:val="0"/>
            <w:bCs w:val="0"/>
            <w:caps w:val="0"/>
            <w:noProof/>
            <w:szCs w:val="22"/>
          </w:rPr>
          <w:tab/>
        </w:r>
        <w:r w:rsidR="00EB3050" w:rsidRPr="00722FE8">
          <w:rPr>
            <w:rStyle w:val="Hyperlink"/>
            <w:noProof/>
          </w:rPr>
          <w:t>Appendix One: Data collection and analysis</w:t>
        </w:r>
        <w:r w:rsidR="00EB3050">
          <w:rPr>
            <w:noProof/>
            <w:webHidden/>
          </w:rPr>
          <w:tab/>
        </w:r>
        <w:r w:rsidR="009B410D">
          <w:rPr>
            <w:noProof/>
            <w:webHidden/>
          </w:rPr>
          <w:fldChar w:fldCharType="begin"/>
        </w:r>
        <w:r w:rsidR="00EB3050">
          <w:rPr>
            <w:noProof/>
            <w:webHidden/>
          </w:rPr>
          <w:instrText xml:space="preserve"> PAGEREF _Toc415657695 \h </w:instrText>
        </w:r>
        <w:r w:rsidR="009B410D">
          <w:rPr>
            <w:noProof/>
            <w:webHidden/>
          </w:rPr>
        </w:r>
        <w:r w:rsidR="009B410D">
          <w:rPr>
            <w:noProof/>
            <w:webHidden/>
          </w:rPr>
          <w:fldChar w:fldCharType="separate"/>
        </w:r>
        <w:r w:rsidR="00307EAC">
          <w:rPr>
            <w:noProof/>
            <w:webHidden/>
          </w:rPr>
          <w:t>52</w:t>
        </w:r>
        <w:r w:rsidR="009B410D">
          <w:rPr>
            <w:noProof/>
            <w:webHidden/>
          </w:rPr>
          <w:fldChar w:fldCharType="end"/>
        </w:r>
      </w:hyperlink>
    </w:p>
    <w:p w14:paraId="2D4D63E5" w14:textId="77777777" w:rsidR="00EB3050" w:rsidRDefault="002F571C">
      <w:pPr>
        <w:pStyle w:val="TOC1"/>
        <w:tabs>
          <w:tab w:val="left" w:pos="660"/>
          <w:tab w:val="right" w:leader="dot" w:pos="9016"/>
        </w:tabs>
        <w:rPr>
          <w:rFonts w:asciiTheme="minorHAnsi" w:eastAsiaTheme="minorEastAsia" w:hAnsiTheme="minorHAnsi" w:cstheme="minorBidi"/>
          <w:b w:val="0"/>
          <w:bCs w:val="0"/>
          <w:caps w:val="0"/>
          <w:noProof/>
          <w:szCs w:val="22"/>
        </w:rPr>
      </w:pPr>
      <w:hyperlink w:anchor="_Toc415657702" w:history="1">
        <w:r w:rsidR="00EB3050" w:rsidRPr="00722FE8">
          <w:rPr>
            <w:rStyle w:val="Hyperlink"/>
            <w:noProof/>
            <w:snapToGrid w:val="0"/>
            <w:w w:val="0"/>
          </w:rPr>
          <w:t>10.</w:t>
        </w:r>
        <w:r w:rsidR="00BF561B">
          <w:rPr>
            <w:rFonts w:asciiTheme="minorHAnsi" w:eastAsiaTheme="minorEastAsia" w:hAnsiTheme="minorHAnsi" w:cstheme="minorBidi"/>
            <w:b w:val="0"/>
            <w:bCs w:val="0"/>
            <w:caps w:val="0"/>
            <w:noProof/>
            <w:szCs w:val="22"/>
          </w:rPr>
          <w:t xml:space="preserve">   </w:t>
        </w:r>
        <w:r w:rsidR="00EB3050" w:rsidRPr="00722FE8">
          <w:rPr>
            <w:rStyle w:val="Hyperlink"/>
            <w:noProof/>
          </w:rPr>
          <w:t>Appendix Two: Retention of NGNs</w:t>
        </w:r>
        <w:r w:rsidR="00EB3050">
          <w:rPr>
            <w:noProof/>
            <w:webHidden/>
          </w:rPr>
          <w:tab/>
        </w:r>
        <w:r w:rsidR="009B410D">
          <w:rPr>
            <w:noProof/>
            <w:webHidden/>
          </w:rPr>
          <w:fldChar w:fldCharType="begin"/>
        </w:r>
        <w:r w:rsidR="00EB3050">
          <w:rPr>
            <w:noProof/>
            <w:webHidden/>
          </w:rPr>
          <w:instrText xml:space="preserve"> PAGEREF _Toc415657702 \h </w:instrText>
        </w:r>
        <w:r w:rsidR="009B410D">
          <w:rPr>
            <w:noProof/>
            <w:webHidden/>
          </w:rPr>
        </w:r>
        <w:r w:rsidR="009B410D">
          <w:rPr>
            <w:noProof/>
            <w:webHidden/>
          </w:rPr>
          <w:fldChar w:fldCharType="separate"/>
        </w:r>
        <w:r w:rsidR="00307EAC">
          <w:rPr>
            <w:noProof/>
            <w:webHidden/>
          </w:rPr>
          <w:t>58</w:t>
        </w:r>
        <w:r w:rsidR="009B410D">
          <w:rPr>
            <w:noProof/>
            <w:webHidden/>
          </w:rPr>
          <w:fldChar w:fldCharType="end"/>
        </w:r>
      </w:hyperlink>
    </w:p>
    <w:p w14:paraId="0CFE04F6" w14:textId="77777777" w:rsidR="00361255" w:rsidRDefault="009B410D" w:rsidP="00087E5F">
      <w:r>
        <w:fldChar w:fldCharType="end"/>
      </w:r>
    </w:p>
    <w:p w14:paraId="081110C3" w14:textId="77777777" w:rsidR="00361255" w:rsidRDefault="00361255">
      <w:pPr>
        <w:spacing w:after="200" w:line="276" w:lineRule="auto"/>
      </w:pPr>
      <w:r>
        <w:br w:type="page"/>
      </w:r>
    </w:p>
    <w:p w14:paraId="11BCAF95" w14:textId="77777777" w:rsidR="00EB3050" w:rsidRDefault="00EB3050" w:rsidP="00EB3050">
      <w:pPr>
        <w:pStyle w:val="Heading1"/>
      </w:pPr>
      <w:bookmarkStart w:id="3" w:name="_Toc415217456"/>
      <w:bookmarkStart w:id="4" w:name="_Toc415657660"/>
      <w:r>
        <w:lastRenderedPageBreak/>
        <w:t>Executive Summary</w:t>
      </w:r>
      <w:bookmarkEnd w:id="3"/>
      <w:bookmarkEnd w:id="4"/>
    </w:p>
    <w:p w14:paraId="0EA89716" w14:textId="77777777" w:rsidR="00EB3050" w:rsidRDefault="00EB3050" w:rsidP="00EB3050">
      <w:pPr>
        <w:pStyle w:val="dummyheading"/>
      </w:pPr>
      <w:bookmarkStart w:id="5" w:name="_Toc415217457"/>
      <w:bookmarkStart w:id="6" w:name="_Toc415657661"/>
      <w:r>
        <w:t>Introduction</w:t>
      </w:r>
      <w:bookmarkEnd w:id="5"/>
      <w:bookmarkEnd w:id="6"/>
    </w:p>
    <w:p w14:paraId="74B8E40E" w14:textId="77777777" w:rsidR="00EB3050" w:rsidRDefault="00EB3050" w:rsidP="00EB3050">
      <w:pPr>
        <w:rPr>
          <w:szCs w:val="22"/>
          <w:lang w:val="en-AU"/>
        </w:rPr>
      </w:pPr>
      <w:r>
        <w:t xml:space="preserve">The New Graduate Nurse (NGN) employment scheme is </w:t>
      </w:r>
      <w:r w:rsidRPr="00277B33">
        <w:rPr>
          <w:szCs w:val="22"/>
          <w:lang w:val="en-AU"/>
        </w:rPr>
        <w:t>part of the Very Low Cost Access (VLCA) Practice Sustainability initiative that provided additional funding for qualifying general practices serving high needs populations</w:t>
      </w:r>
      <w:r>
        <w:rPr>
          <w:szCs w:val="22"/>
          <w:lang w:val="en-AU"/>
        </w:rPr>
        <w:t xml:space="preserve">. </w:t>
      </w:r>
      <w:r w:rsidRPr="00277B33">
        <w:rPr>
          <w:szCs w:val="22"/>
          <w:lang w:val="en-AU"/>
        </w:rPr>
        <w:t>The initiative was introduced by the Ministry of Health</w:t>
      </w:r>
      <w:r>
        <w:rPr>
          <w:szCs w:val="22"/>
          <w:lang w:val="en-AU"/>
        </w:rPr>
        <w:t xml:space="preserve"> (</w:t>
      </w:r>
      <w:proofErr w:type="spellStart"/>
      <w:r>
        <w:rPr>
          <w:szCs w:val="22"/>
          <w:lang w:val="en-AU"/>
        </w:rPr>
        <w:t>MoH</w:t>
      </w:r>
      <w:proofErr w:type="spellEnd"/>
      <w:r>
        <w:rPr>
          <w:szCs w:val="22"/>
          <w:lang w:val="en-AU"/>
        </w:rPr>
        <w:t>)</w:t>
      </w:r>
      <w:r w:rsidRPr="00277B33">
        <w:rPr>
          <w:szCs w:val="22"/>
          <w:lang w:val="en-AU"/>
        </w:rPr>
        <w:t xml:space="preserve"> in 2013/2014</w:t>
      </w:r>
      <w:r w:rsidR="00022401">
        <w:rPr>
          <w:szCs w:val="22"/>
          <w:lang w:val="en-AU"/>
        </w:rPr>
        <w:t>,</w:t>
      </w:r>
      <w:r w:rsidRPr="00277B33">
        <w:rPr>
          <w:szCs w:val="22"/>
          <w:lang w:val="en-AU"/>
        </w:rPr>
        <w:t xml:space="preserve"> partly in response to evidence suggesting that some VLCA practices with high proportions of high needs enrolees were experiencing sustainability issues due to a mix of financial, workforce, clinical and social complexity issues</w:t>
      </w:r>
      <w:r>
        <w:rPr>
          <w:szCs w:val="22"/>
          <w:lang w:val="en-AU"/>
        </w:rPr>
        <w:t>.</w:t>
      </w:r>
      <w:r w:rsidRPr="00034031">
        <w:rPr>
          <w:szCs w:val="22"/>
          <w:lang w:val="en-AU"/>
        </w:rPr>
        <w:t xml:space="preserve"> </w:t>
      </w:r>
      <w:r>
        <w:rPr>
          <w:szCs w:val="22"/>
          <w:lang w:val="en-AU"/>
        </w:rPr>
        <w:t xml:space="preserve">The NGN employment scheme involved one-off supplemental funding of $2.4 million </w:t>
      </w:r>
      <w:r w:rsidRPr="00277B33">
        <w:rPr>
          <w:szCs w:val="22"/>
        </w:rPr>
        <w:t>to employ and pay salaries for 48</w:t>
      </w:r>
      <w:r>
        <w:rPr>
          <w:szCs w:val="22"/>
        </w:rPr>
        <w:t xml:space="preserve"> new graduate nurses</w:t>
      </w:r>
      <w:r w:rsidRPr="00277B33">
        <w:rPr>
          <w:szCs w:val="22"/>
        </w:rPr>
        <w:t xml:space="preserve"> </w:t>
      </w:r>
      <w:r>
        <w:rPr>
          <w:szCs w:val="22"/>
        </w:rPr>
        <w:t>(</w:t>
      </w:r>
      <w:r w:rsidRPr="00277B33">
        <w:rPr>
          <w:szCs w:val="22"/>
        </w:rPr>
        <w:t>NGNs</w:t>
      </w:r>
      <w:r>
        <w:rPr>
          <w:szCs w:val="22"/>
        </w:rPr>
        <w:t>)</w:t>
      </w:r>
      <w:r w:rsidRPr="00277B33">
        <w:rPr>
          <w:szCs w:val="22"/>
        </w:rPr>
        <w:t xml:space="preserve"> for 12 months in qualifying practices.</w:t>
      </w:r>
    </w:p>
    <w:p w14:paraId="7411EEB6" w14:textId="77777777" w:rsidR="00801DB3" w:rsidRDefault="00EB3050" w:rsidP="00EB3050">
      <w:pPr>
        <w:rPr>
          <w:szCs w:val="22"/>
          <w:lang w:val="en-AU"/>
        </w:rPr>
      </w:pPr>
      <w:proofErr w:type="spellStart"/>
      <w:r>
        <w:rPr>
          <w:szCs w:val="22"/>
          <w:lang w:val="en-AU"/>
        </w:rPr>
        <w:t>Synergia</w:t>
      </w:r>
      <w:proofErr w:type="spellEnd"/>
      <w:r>
        <w:rPr>
          <w:szCs w:val="22"/>
          <w:lang w:val="en-AU"/>
        </w:rPr>
        <w:t xml:space="preserve"> was commissioned by the </w:t>
      </w:r>
      <w:proofErr w:type="spellStart"/>
      <w:r>
        <w:rPr>
          <w:szCs w:val="22"/>
          <w:lang w:val="en-AU"/>
        </w:rPr>
        <w:t>MoH</w:t>
      </w:r>
      <w:proofErr w:type="spellEnd"/>
      <w:r>
        <w:rPr>
          <w:szCs w:val="22"/>
          <w:lang w:val="en-AU"/>
        </w:rPr>
        <w:t xml:space="preserve"> to conduct a process and impact evaluation of the NGN employment scheme with the following objectives</w:t>
      </w:r>
      <w:r w:rsidR="00D377D0">
        <w:rPr>
          <w:szCs w:val="22"/>
          <w:lang w:val="en-AU"/>
        </w:rPr>
        <w:t>:</w:t>
      </w:r>
    </w:p>
    <w:p w14:paraId="6EFF9F3F" w14:textId="77777777" w:rsidR="00EB3050" w:rsidRDefault="00187D36" w:rsidP="00EB3050">
      <w:pPr>
        <w:rPr>
          <w:bCs/>
        </w:rPr>
      </w:pPr>
      <w:r>
        <w:object w:dxaOrig="17808" w:dyaOrig="4572" w14:anchorId="037E27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6pt;height:116.4pt" o:ole="">
            <v:imagedata r:id="rId18" o:title=""/>
          </v:shape>
          <o:OLEObject Type="Embed" ProgID="Visio.Drawing.15" ShapeID="_x0000_i1025" DrawAspect="Content" ObjectID="_1496838884" r:id="rId19"/>
        </w:object>
      </w:r>
      <w:r>
        <w:object w:dxaOrig="17808" w:dyaOrig="4572" w14:anchorId="19C1C0F9">
          <v:shape id="_x0000_i1026" type="#_x0000_t75" style="width:450.6pt;height:116.4pt" o:ole="">
            <v:imagedata r:id="rId20" o:title=""/>
          </v:shape>
          <o:OLEObject Type="Embed" ProgID="Visio.Drawing.15" ShapeID="_x0000_i1026" DrawAspect="Content" ObjectID="_1496838885" r:id="rId21"/>
        </w:object>
      </w:r>
    </w:p>
    <w:p w14:paraId="5F8D19B6" w14:textId="77777777" w:rsidR="00EB3050" w:rsidRDefault="00EB3050" w:rsidP="00EB3050">
      <w:pPr>
        <w:rPr>
          <w:rFonts w:cs="Arial"/>
        </w:rPr>
      </w:pPr>
      <w:r>
        <w:t>The evaluation utilised the principles of Realistic Evaluation</w:t>
      </w:r>
      <w:r w:rsidR="00022401">
        <w:t xml:space="preserve"> that</w:t>
      </w:r>
      <w:r>
        <w:t xml:space="preserve"> looks for regularity in outcomes and mechanisms</w:t>
      </w:r>
      <w:r w:rsidR="00022401">
        <w:t>,</w:t>
      </w:r>
      <w:r>
        <w:t xml:space="preserve"> as well as understanding the role of context and exploring differences. This </w:t>
      </w:r>
      <w:r>
        <w:rPr>
          <w:rFonts w:cs="Arial"/>
        </w:rPr>
        <w:t>type of evaluation is best implemented through a mixed methods approach.</w:t>
      </w:r>
    </w:p>
    <w:p w14:paraId="432055A0" w14:textId="77777777" w:rsidR="00EB3050" w:rsidRPr="00EB2A2A" w:rsidRDefault="00EB3050" w:rsidP="00EB2A2A">
      <w:pPr>
        <w:pStyle w:val="Heading2"/>
        <w:numPr>
          <w:ilvl w:val="0"/>
          <w:numId w:val="0"/>
        </w:numPr>
        <w:spacing w:before="0" w:after="120"/>
        <w:ind w:left="652" w:hanging="652"/>
        <w:rPr>
          <w:lang w:val="en-AU"/>
        </w:rPr>
      </w:pPr>
      <w:r w:rsidRPr="00EB2A2A">
        <w:rPr>
          <w:lang w:val="en-AU"/>
        </w:rPr>
        <w:lastRenderedPageBreak/>
        <w:t xml:space="preserve">Evaluation approach and methods </w:t>
      </w:r>
    </w:p>
    <w:p w14:paraId="4A81B44A" w14:textId="77777777" w:rsidR="00EB3050" w:rsidRDefault="00EB3050" w:rsidP="00EB3050">
      <w:bookmarkStart w:id="7" w:name="_GoBack"/>
      <w:r w:rsidRPr="00FF11DB">
        <w:rPr>
          <w:rFonts w:cs="Arial"/>
          <w:noProof/>
        </w:rPr>
        <w:drawing>
          <wp:inline distT="0" distB="0" distL="0" distR="0" wp14:anchorId="3914C043" wp14:editId="6C209FD5">
            <wp:extent cx="5731510" cy="3177540"/>
            <wp:effectExtent l="0" t="0" r="0" b="381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2" cstate="print"/>
                    <a:stretch>
                      <a:fillRect/>
                    </a:stretch>
                  </pic:blipFill>
                  <pic:spPr>
                    <a:xfrm>
                      <a:off x="0" y="0"/>
                      <a:ext cx="5731510" cy="3177540"/>
                    </a:xfrm>
                    <a:prstGeom prst="rect">
                      <a:avLst/>
                    </a:prstGeom>
                  </pic:spPr>
                </pic:pic>
              </a:graphicData>
            </a:graphic>
          </wp:inline>
        </w:drawing>
      </w:r>
      <w:bookmarkEnd w:id="7"/>
    </w:p>
    <w:p w14:paraId="6CEE5A90" w14:textId="77777777" w:rsidR="00EB3050" w:rsidRDefault="00EB3050" w:rsidP="00EB3050">
      <w:pPr>
        <w:rPr>
          <w:szCs w:val="22"/>
          <w:lang w:val="en-AU"/>
        </w:rPr>
      </w:pPr>
      <w:r>
        <w:rPr>
          <w:szCs w:val="22"/>
          <w:lang w:val="en-AU"/>
        </w:rPr>
        <w:t xml:space="preserve">This report builds on the mid-point report and integrates findings from the methods in both the across and within-site analysis to address the impact and process evaluation objectives. </w:t>
      </w:r>
    </w:p>
    <w:p w14:paraId="0F1544CB" w14:textId="77777777" w:rsidR="00E84E98" w:rsidRDefault="00E84E98" w:rsidP="005A62AD">
      <w:pPr>
        <w:pStyle w:val="Heading2"/>
        <w:numPr>
          <w:ilvl w:val="0"/>
          <w:numId w:val="0"/>
        </w:numPr>
        <w:spacing w:before="320"/>
        <w:ind w:left="652" w:hanging="652"/>
        <w:rPr>
          <w:lang w:val="en-AU"/>
        </w:rPr>
      </w:pPr>
      <w:bookmarkStart w:id="8" w:name="_Toc415657662"/>
      <w:r>
        <w:rPr>
          <w:lang w:val="en-AU"/>
        </w:rPr>
        <w:t>Profile of the VLCA practices and NGNs</w:t>
      </w:r>
    </w:p>
    <w:p w14:paraId="565AE320" w14:textId="17F4361C" w:rsidR="003943DA" w:rsidRPr="003943DA" w:rsidRDefault="003943DA" w:rsidP="003943DA">
      <w:pPr>
        <w:rPr>
          <w:lang w:val="en-AU"/>
        </w:rPr>
      </w:pPr>
      <w:r>
        <w:object w:dxaOrig="17840" w:dyaOrig="9693" w14:anchorId="2509860E">
          <v:shape id="_x0000_i1027" type="#_x0000_t75" style="width:450.6pt;height:244.2pt" o:ole="">
            <v:imagedata r:id="rId23" o:title=""/>
          </v:shape>
          <o:OLEObject Type="Embed" ProgID="Visio.Drawing.11" ShapeID="_x0000_i1027" DrawAspect="Content" ObjectID="_1496838886" r:id="rId24"/>
        </w:object>
      </w:r>
    </w:p>
    <w:p w14:paraId="2AC0DB08" w14:textId="77777777" w:rsidR="005A62AD" w:rsidRDefault="002642FD" w:rsidP="00E84E98">
      <w:r>
        <w:rPr>
          <w:lang w:val="en-AU"/>
        </w:rPr>
        <w:t>Most</w:t>
      </w:r>
      <w:r w:rsidR="00DB7AA8">
        <w:rPr>
          <w:lang w:val="en-AU"/>
        </w:rPr>
        <w:t xml:space="preserve"> of the VLCA</w:t>
      </w:r>
      <w:r>
        <w:rPr>
          <w:lang w:val="en-AU"/>
        </w:rPr>
        <w:t xml:space="preserve"> practices were of reasonable size</w:t>
      </w:r>
      <w:r w:rsidR="00DB7AA8">
        <w:rPr>
          <w:lang w:val="en-AU"/>
        </w:rPr>
        <w:t>,</w:t>
      </w:r>
      <w:r>
        <w:rPr>
          <w:lang w:val="en-AU"/>
        </w:rPr>
        <w:t xml:space="preserve"> with 71% having between 2 and 9 GPs and 73% </w:t>
      </w:r>
      <w:r w:rsidR="00DE36B9">
        <w:rPr>
          <w:lang w:val="en-AU"/>
        </w:rPr>
        <w:t>had an enrolled population between 2,000 and 10,000.</w:t>
      </w:r>
      <w:r w:rsidR="00DB7AA8">
        <w:rPr>
          <w:lang w:val="en-AU"/>
        </w:rPr>
        <w:t xml:space="preserve"> </w:t>
      </w:r>
      <w:r w:rsidR="004B0C7A">
        <w:t xml:space="preserve">Ten of the 48 VLCA practices had previously </w:t>
      </w:r>
      <w:r w:rsidR="004B0C7A">
        <w:lastRenderedPageBreak/>
        <w:t>employed a NGN before the</w:t>
      </w:r>
      <w:r w:rsidR="000B139E">
        <w:t>ir involvement in the</w:t>
      </w:r>
      <w:r w:rsidR="004B0C7A">
        <w:t xml:space="preserve"> </w:t>
      </w:r>
      <w:r w:rsidR="000B139E">
        <w:t>employment scheme (21%)</w:t>
      </w:r>
      <w:r w:rsidR="005246B3">
        <w:t>,</w:t>
      </w:r>
      <w:r w:rsidR="000B139E">
        <w:t xml:space="preserve"> and 11 had previous experience with medical or nursing students (23%).</w:t>
      </w:r>
      <w:r w:rsidR="00DB7AA8">
        <w:t xml:space="preserve"> </w:t>
      </w:r>
    </w:p>
    <w:p w14:paraId="439F8784" w14:textId="77777777" w:rsidR="00EB3050" w:rsidRDefault="00EB3050" w:rsidP="00EB3050">
      <w:pPr>
        <w:pStyle w:val="dummyheading"/>
      </w:pPr>
      <w:r w:rsidRPr="00EB0650">
        <w:t>Workforce sustainability</w:t>
      </w:r>
      <w:bookmarkEnd w:id="8"/>
    </w:p>
    <w:p w14:paraId="5A1EA2FA" w14:textId="77777777" w:rsidR="00EB3050" w:rsidRPr="00673A2D" w:rsidRDefault="00187D36" w:rsidP="00EB3050">
      <w:r>
        <w:object w:dxaOrig="17810" w:dyaOrig="7225" w14:anchorId="3D096D55">
          <v:shape id="_x0000_i1028" type="#_x0000_t75" style="width:450.6pt;height:183pt" o:ole="">
            <v:imagedata r:id="rId25" o:title=""/>
          </v:shape>
          <o:OLEObject Type="Embed" ProgID="Visio.Drawing.15" ShapeID="_x0000_i1028" DrawAspect="Content" ObjectID="_1496838887" r:id="rId26"/>
        </w:object>
      </w:r>
      <w:r>
        <w:object w:dxaOrig="17821" w:dyaOrig="3937" w14:anchorId="2DB434BD">
          <v:shape id="_x0000_i1029" type="#_x0000_t75" style="width:450.6pt;height:99.6pt" o:ole="">
            <v:imagedata r:id="rId27" o:title=""/>
          </v:shape>
          <o:OLEObject Type="Embed" ProgID="Visio.Drawing.15" ShapeID="_x0000_i1029" DrawAspect="Content" ObjectID="_1496838888" r:id="rId28"/>
        </w:object>
      </w:r>
      <w:r>
        <w:object w:dxaOrig="17810" w:dyaOrig="5844" w14:anchorId="75580ED9">
          <v:shape id="_x0000_i1030" type="#_x0000_t75" style="width:450.6pt;height:148.2pt" o:ole="">
            <v:imagedata r:id="rId29" o:title=""/>
          </v:shape>
          <o:OLEObject Type="Embed" ProgID="Visio.Drawing.15" ShapeID="_x0000_i1030" DrawAspect="Content" ObjectID="_1496838889" r:id="rId30"/>
        </w:object>
      </w:r>
      <w:r>
        <w:object w:dxaOrig="17810" w:dyaOrig="3649" w14:anchorId="4E3E9304">
          <v:shape id="_x0000_i1031" type="#_x0000_t75" style="width:450.6pt;height:92.4pt" o:ole="">
            <v:imagedata r:id="rId31" o:title=""/>
          </v:shape>
          <o:OLEObject Type="Embed" ProgID="Visio.Drawing.15" ShapeID="_x0000_i1031" DrawAspect="Content" ObjectID="_1496838890" r:id="rId32"/>
        </w:object>
      </w:r>
    </w:p>
    <w:p w14:paraId="645F2A5C" w14:textId="77777777" w:rsidR="00EB3050" w:rsidRDefault="00EB3050" w:rsidP="00F858B3">
      <w:pPr>
        <w:pStyle w:val="Heading2"/>
        <w:numPr>
          <w:ilvl w:val="0"/>
          <w:numId w:val="0"/>
        </w:numPr>
        <w:ind w:left="4536" w:hanging="4536"/>
      </w:pPr>
      <w:bookmarkStart w:id="9" w:name="_Toc415657663"/>
      <w:r w:rsidRPr="00EB0650">
        <w:rPr>
          <w:bCs/>
        </w:rPr>
        <w:lastRenderedPageBreak/>
        <w:t>Financial sustainability</w:t>
      </w:r>
      <w:r>
        <w:rPr>
          <w:bCs/>
        </w:rPr>
        <w:tab/>
      </w:r>
      <w:r w:rsidRPr="00EB0650">
        <w:rPr>
          <w:bCs/>
        </w:rPr>
        <w:t xml:space="preserve">Clinical and Social </w:t>
      </w:r>
      <w:bookmarkEnd w:id="9"/>
      <w:r w:rsidR="00F858B3">
        <w:rPr>
          <w:bCs/>
        </w:rPr>
        <w:t>S</w:t>
      </w:r>
      <w:r w:rsidRPr="00EB0650">
        <w:rPr>
          <w:bCs/>
        </w:rPr>
        <w:t>ustainability</w:t>
      </w:r>
    </w:p>
    <w:bookmarkStart w:id="10" w:name="_Toc415657664"/>
    <w:p w14:paraId="31E8E796" w14:textId="77777777" w:rsidR="00F858B3" w:rsidRDefault="00187D36" w:rsidP="00EB3050">
      <w:r>
        <w:object w:dxaOrig="17905" w:dyaOrig="11629" w14:anchorId="519AE7C7">
          <v:shape id="_x0000_i1032" type="#_x0000_t75" style="width:447.6pt;height:291pt" o:ole="">
            <v:imagedata r:id="rId33" o:title=""/>
          </v:shape>
          <o:OLEObject Type="Embed" ProgID="Visio.Drawing.15" ShapeID="_x0000_i1032" DrawAspect="Content" ObjectID="_1496838891" r:id="rId34"/>
        </w:object>
      </w:r>
    </w:p>
    <w:bookmarkEnd w:id="10"/>
    <w:p w14:paraId="4F092901" w14:textId="77777777" w:rsidR="00EB3050" w:rsidRDefault="00C01E21" w:rsidP="00EB3050">
      <w:pPr>
        <w:pStyle w:val="Heading2"/>
        <w:numPr>
          <w:ilvl w:val="0"/>
          <w:numId w:val="0"/>
        </w:numPr>
        <w:ind w:left="5040" w:hanging="5040"/>
        <w:rPr>
          <w:bCs/>
        </w:rPr>
      </w:pPr>
      <w:r w:rsidRPr="00EB0650">
        <w:rPr>
          <w:bCs/>
        </w:rPr>
        <w:t>Patient Care and Safety</w:t>
      </w:r>
    </w:p>
    <w:p w14:paraId="2D76D817" w14:textId="657475EF" w:rsidR="00C01E21" w:rsidRDefault="00187D36" w:rsidP="00EB3050">
      <w:r>
        <w:object w:dxaOrig="17893" w:dyaOrig="8940" w14:anchorId="3EBAA9A4">
          <v:shape id="_x0000_i1033" type="#_x0000_t75" style="width:447.6pt;height:223.8pt" o:ole="">
            <v:imagedata r:id="rId35" o:title=""/>
          </v:shape>
          <o:OLEObject Type="Embed" ProgID="Visio.Drawing.15" ShapeID="_x0000_i1033" DrawAspect="Content" ObjectID="_1496838892" r:id="rId36"/>
        </w:object>
      </w:r>
      <w:r w:rsidR="008131E5">
        <w:t xml:space="preserve"> </w:t>
      </w:r>
    </w:p>
    <w:p w14:paraId="434CC432" w14:textId="77777777" w:rsidR="00C01E21" w:rsidRDefault="00C01E21" w:rsidP="00C01E21">
      <w:pPr>
        <w:pStyle w:val="Heading2"/>
        <w:numPr>
          <w:ilvl w:val="0"/>
          <w:numId w:val="0"/>
        </w:numPr>
        <w:ind w:left="5040" w:hanging="5040"/>
        <w:rPr>
          <w:bCs/>
        </w:rPr>
      </w:pPr>
      <w:r w:rsidRPr="00893A38">
        <w:rPr>
          <w:bCs/>
        </w:rPr>
        <w:lastRenderedPageBreak/>
        <w:t xml:space="preserve">Key </w:t>
      </w:r>
      <w:r>
        <w:rPr>
          <w:bCs/>
        </w:rPr>
        <w:t>factors and supports</w:t>
      </w:r>
      <w:r w:rsidRPr="00893A38">
        <w:rPr>
          <w:bCs/>
        </w:rPr>
        <w:t xml:space="preserve"> for implementation</w:t>
      </w:r>
    </w:p>
    <w:p w14:paraId="730F83D5" w14:textId="77777777" w:rsidR="00EB3050" w:rsidRDefault="003A3D13" w:rsidP="00EB3050">
      <w:r>
        <w:object w:dxaOrig="17905" w:dyaOrig="14977" w14:anchorId="1A0AC515">
          <v:shape id="_x0000_i1034" type="#_x0000_t75" style="width:447.6pt;height:343.2pt" o:ole="">
            <v:imagedata r:id="rId37" o:title=""/>
          </v:shape>
          <o:OLEObject Type="Embed" ProgID="Visio.Drawing.15" ShapeID="_x0000_i1034" DrawAspect="Content" ObjectID="_1496838893" r:id="rId38"/>
        </w:object>
      </w:r>
    </w:p>
    <w:p w14:paraId="35418222" w14:textId="77777777" w:rsidR="00EB3050" w:rsidRDefault="00EB3050" w:rsidP="00EB3050">
      <w:pPr>
        <w:pStyle w:val="Heading2"/>
        <w:numPr>
          <w:ilvl w:val="0"/>
          <w:numId w:val="0"/>
        </w:numPr>
        <w:ind w:left="652" w:hanging="652"/>
      </w:pPr>
      <w:bookmarkStart w:id="11" w:name="_Toc415657666"/>
      <w:r w:rsidRPr="00893A38">
        <w:rPr>
          <w:bCs/>
        </w:rPr>
        <w:t>Ideas going forward</w:t>
      </w:r>
      <w:bookmarkEnd w:id="11"/>
    </w:p>
    <w:p w14:paraId="2D2A20A7" w14:textId="77777777" w:rsidR="00EB3050" w:rsidRDefault="003A3D13" w:rsidP="00EB3050">
      <w:r>
        <w:object w:dxaOrig="18768" w:dyaOrig="12120" w14:anchorId="2A377B91">
          <v:shape id="_x0000_i1035" type="#_x0000_t75" style="width:453pt;height:256.2pt" o:ole="">
            <v:imagedata r:id="rId39" o:title=""/>
          </v:shape>
          <o:OLEObject Type="Embed" ProgID="Visio.Drawing.11" ShapeID="_x0000_i1035" DrawAspect="Content" ObjectID="_1496838894" r:id="rId40"/>
        </w:object>
      </w:r>
    </w:p>
    <w:p w14:paraId="44337964" w14:textId="77777777" w:rsidR="00EB3050" w:rsidRDefault="00EB3050" w:rsidP="00EB3050">
      <w:pPr>
        <w:pStyle w:val="Heading2"/>
        <w:numPr>
          <w:ilvl w:val="0"/>
          <w:numId w:val="0"/>
        </w:numPr>
        <w:ind w:left="652" w:hanging="652"/>
      </w:pPr>
      <w:bookmarkStart w:id="12" w:name="_Toc415657667"/>
      <w:r>
        <w:lastRenderedPageBreak/>
        <w:t>Conclusions</w:t>
      </w:r>
      <w:bookmarkEnd w:id="12"/>
    </w:p>
    <w:p w14:paraId="05C4B930" w14:textId="77777777" w:rsidR="00EB3050" w:rsidRDefault="00EB3050" w:rsidP="00EB3050">
      <w:r>
        <w:t xml:space="preserve">The evaluation of the first round of the one-off funding scheme was designed to evaluate </w:t>
      </w:r>
      <w:r w:rsidR="00E75F27">
        <w:t>its</w:t>
      </w:r>
      <w:r>
        <w:t xml:space="preserve"> implementation and its impacts on the new graduate nurses and the practices. Drawing on the insights from the mixed methods data integration, the findings suggest that:</w:t>
      </w:r>
    </w:p>
    <w:p w14:paraId="4F0BA83C" w14:textId="0436E6A5" w:rsidR="00C826F1" w:rsidRDefault="00C826F1" w:rsidP="00C826F1">
      <w:pPr>
        <w:pStyle w:val="ListParagraph"/>
        <w:numPr>
          <w:ilvl w:val="0"/>
          <w:numId w:val="35"/>
        </w:numPr>
      </w:pPr>
      <w:r>
        <w:t xml:space="preserve">The scheme has provided a valuable pathway for supporting </w:t>
      </w:r>
      <w:r w:rsidR="0059556C">
        <w:t xml:space="preserve">local </w:t>
      </w:r>
      <w:r>
        <w:t>NGNs into primary care, resulting in a nursing workforce that better matches the demographics of the VLCA population</w:t>
      </w:r>
      <w:r w:rsidR="00BF0D02">
        <w:t xml:space="preserve"> in most practices</w:t>
      </w:r>
      <w:r>
        <w:t>.</w:t>
      </w:r>
    </w:p>
    <w:p w14:paraId="0D41D826" w14:textId="77777777" w:rsidR="00C826F1" w:rsidRDefault="00C826F1" w:rsidP="00C826F1">
      <w:pPr>
        <w:pStyle w:val="ListParagraph"/>
        <w:numPr>
          <w:ilvl w:val="0"/>
          <w:numId w:val="35"/>
        </w:numPr>
      </w:pPr>
      <w:r>
        <w:t>Most practices were able to sustain the NGN role beyond the initial twelve months of funding, identifying the value of the scheme in supporting NGNs into primary care.</w:t>
      </w:r>
    </w:p>
    <w:p w14:paraId="320DCED2" w14:textId="77777777" w:rsidR="00C826F1" w:rsidRDefault="00C826F1" w:rsidP="00C826F1">
      <w:pPr>
        <w:pStyle w:val="ListParagraph"/>
        <w:numPr>
          <w:ilvl w:val="0"/>
          <w:numId w:val="35"/>
        </w:numPr>
      </w:pPr>
      <w:r>
        <w:t xml:space="preserve">The integration of NGNs into primary care had positive impacts on service delivery and patient experience. This included increasing time available for appointments, time spent with patients and support for existing clinical staff. </w:t>
      </w:r>
    </w:p>
    <w:p w14:paraId="56C41DC9" w14:textId="4DAAD377" w:rsidR="00C826F1" w:rsidRDefault="00C826F1" w:rsidP="00C826F1">
      <w:pPr>
        <w:pStyle w:val="ListParagraph"/>
        <w:numPr>
          <w:ilvl w:val="0"/>
          <w:numId w:val="35"/>
        </w:numPr>
      </w:pPr>
      <w:r>
        <w:t xml:space="preserve">The NGNs supported practices performance towards targets, and in many cases were considered to improve performance. The scheme has increased the motivations for NGNs involved to pursue a career in primary care. </w:t>
      </w:r>
    </w:p>
    <w:p w14:paraId="3CB79D82" w14:textId="77777777" w:rsidR="00C826F1" w:rsidRDefault="00C826F1" w:rsidP="00C826F1">
      <w:pPr>
        <w:pStyle w:val="ListParagraph"/>
        <w:numPr>
          <w:ilvl w:val="0"/>
          <w:numId w:val="35"/>
        </w:numPr>
      </w:pPr>
      <w:r>
        <w:t>The scheme has provided a positive learning experience for most NGNs, and has supported their professional development through increasing their clinical skills and experience.</w:t>
      </w:r>
    </w:p>
    <w:p w14:paraId="6B2256DF" w14:textId="77777777" w:rsidR="00C826F1" w:rsidRDefault="00C826F1" w:rsidP="00C826F1">
      <w:pPr>
        <w:pStyle w:val="ListParagraph"/>
        <w:numPr>
          <w:ilvl w:val="0"/>
          <w:numId w:val="35"/>
        </w:numPr>
      </w:pPr>
      <w:r>
        <w:t xml:space="preserve">The NGNs often increased staff satisfaction, particularly when </w:t>
      </w:r>
      <w:proofErr w:type="gramStart"/>
      <w:r>
        <w:t>staff were</w:t>
      </w:r>
      <w:proofErr w:type="gramEnd"/>
      <w:r>
        <w:t xml:space="preserve"> involved in training the NGNs. For staff with less experience in providing this training and support however, this was not always the case.</w:t>
      </w:r>
    </w:p>
    <w:p w14:paraId="1A1662FE" w14:textId="77777777" w:rsidR="00EB3050" w:rsidRDefault="00EB3050" w:rsidP="00EB3050">
      <w:pPr>
        <w:pStyle w:val="ListParagraph"/>
        <w:numPr>
          <w:ilvl w:val="0"/>
          <w:numId w:val="35"/>
        </w:numPr>
      </w:pPr>
      <w:r>
        <w:t xml:space="preserve">The NGNs brought new skills and experience to the practice that was valued by the staff and patients, who enjoyed the enthusiasm and energy of the younger nurses. </w:t>
      </w:r>
    </w:p>
    <w:p w14:paraId="67E05E92" w14:textId="77777777" w:rsidR="00EB3050" w:rsidRDefault="00EB3050" w:rsidP="00EB3050">
      <w:pPr>
        <w:pStyle w:val="ListParagraph"/>
        <w:numPr>
          <w:ilvl w:val="0"/>
          <w:numId w:val="35"/>
        </w:numPr>
      </w:pPr>
      <w:r>
        <w:t xml:space="preserve">The scheme was supported by and bolstered the existing relationships between some of the PHOs and practices. It did appear to increase connections between some DHBs and PHOs, and in fewer instances DHBs and practices. </w:t>
      </w:r>
    </w:p>
    <w:p w14:paraId="2598FF00" w14:textId="77777777" w:rsidR="00EB3050" w:rsidRDefault="00EB3050" w:rsidP="00EB3050">
      <w:pPr>
        <w:pStyle w:val="ListParagraph"/>
        <w:numPr>
          <w:ilvl w:val="0"/>
          <w:numId w:val="35"/>
        </w:numPr>
      </w:pPr>
      <w:r>
        <w:t>Impacts of the scheme on financial sustainability were less likely to be experienced by all of the practices, although this influence may change over time in practices that have sustained the role.</w:t>
      </w:r>
    </w:p>
    <w:p w14:paraId="797B756B" w14:textId="6C6D6AB9" w:rsidR="00EB3050" w:rsidRDefault="00EB3050" w:rsidP="00EB3050">
      <w:pPr>
        <w:pStyle w:val="ListParagraph"/>
        <w:numPr>
          <w:ilvl w:val="0"/>
          <w:numId w:val="35"/>
        </w:numPr>
      </w:pPr>
      <w:r>
        <w:t xml:space="preserve">The scheme did have positive impacts on the sustainability of the workforce, with the consistency of the NGN role valued over the use of more casual staff. </w:t>
      </w:r>
    </w:p>
    <w:p w14:paraId="10548295" w14:textId="77777777" w:rsidR="00EB3050" w:rsidRDefault="00EB3050" w:rsidP="00863423">
      <w:pPr>
        <w:pStyle w:val="ListParagraph"/>
        <w:numPr>
          <w:ilvl w:val="0"/>
          <w:numId w:val="35"/>
        </w:numPr>
      </w:pPr>
      <w:r>
        <w:t xml:space="preserve">Clinical and social impacts were also identified. </w:t>
      </w:r>
      <w:r w:rsidR="00863423">
        <w:t xml:space="preserve">Clinicians often described the ability to focus on tasks more specifically related to their scope after the arrival of the NGN, and the increased time available for patients was noted for its value in supporting </w:t>
      </w:r>
      <w:r>
        <w:t xml:space="preserve">patients’ health and social care needs. </w:t>
      </w:r>
    </w:p>
    <w:p w14:paraId="15225996" w14:textId="77777777" w:rsidR="00EB3050" w:rsidRDefault="00EB3050" w:rsidP="00EB3050">
      <w:pPr>
        <w:pStyle w:val="ListParagraph"/>
        <w:numPr>
          <w:ilvl w:val="0"/>
          <w:numId w:val="35"/>
        </w:numPr>
      </w:pPr>
      <w:r>
        <w:lastRenderedPageBreak/>
        <w:t>The impacts of the scheme are affected by its implementation. Key success factors for the implementation of the scheme include:</w:t>
      </w:r>
    </w:p>
    <w:p w14:paraId="61D37F98" w14:textId="77777777" w:rsidR="00EB3050" w:rsidRDefault="00EB3050" w:rsidP="00EB3050">
      <w:pPr>
        <w:pStyle w:val="ListParagraph"/>
        <w:numPr>
          <w:ilvl w:val="1"/>
          <w:numId w:val="35"/>
        </w:numPr>
      </w:pPr>
      <w:r>
        <w:t xml:space="preserve">A good induction process, both for the NGN and for the clinical and non-clinical staff. This is important for managing the expectations of the NGN role and ensuring that </w:t>
      </w:r>
      <w:r w:rsidR="00402B05">
        <w:t>their knowledge and skills were appropriately developed and utilised at the practice</w:t>
      </w:r>
      <w:r>
        <w:t xml:space="preserve">. </w:t>
      </w:r>
    </w:p>
    <w:p w14:paraId="09D2DB97" w14:textId="77777777" w:rsidR="00530966" w:rsidRDefault="00530966" w:rsidP="00530966">
      <w:pPr>
        <w:pStyle w:val="ListParagraph"/>
        <w:numPr>
          <w:ilvl w:val="1"/>
          <w:numId w:val="35"/>
        </w:numPr>
      </w:pPr>
      <w:r>
        <w:t>Previous experience with a NGN maximised the value of the NGN role. For example, knowing the supports that a NGN needs and when to train them in which courses maximised the value of the role for some practices.</w:t>
      </w:r>
    </w:p>
    <w:p w14:paraId="793EDC82" w14:textId="35A34A74" w:rsidR="00530966" w:rsidRDefault="00530966" w:rsidP="00530966">
      <w:pPr>
        <w:pStyle w:val="ListParagraph"/>
        <w:numPr>
          <w:ilvl w:val="1"/>
          <w:numId w:val="35"/>
        </w:numPr>
      </w:pPr>
      <w:r>
        <w:t xml:space="preserve">Appropriate level of support for the NGN; nurse preceptor, </w:t>
      </w:r>
      <w:r w:rsidR="00CA1ACB">
        <w:t xml:space="preserve">Nurse Entry to Practice (NETP) programme </w:t>
      </w:r>
      <w:r>
        <w:t xml:space="preserve">coordinator and support from other practice staff are crucial. The support of the nurse preceptor was particularly important to the NGNs. </w:t>
      </w:r>
    </w:p>
    <w:p w14:paraId="7B9E7151" w14:textId="77777777" w:rsidR="00266391" w:rsidRDefault="00530966" w:rsidP="00530966">
      <w:pPr>
        <w:pStyle w:val="ListParagraph"/>
        <w:numPr>
          <w:ilvl w:val="1"/>
          <w:numId w:val="35"/>
        </w:numPr>
      </w:pPr>
      <w:r>
        <w:t xml:space="preserve">The recruitment of local NGNs who understood the local patient populations. </w:t>
      </w:r>
    </w:p>
    <w:p w14:paraId="086E27A4" w14:textId="77777777" w:rsidR="00EB3050" w:rsidRDefault="00266391" w:rsidP="00EB3050">
      <w:pPr>
        <w:pStyle w:val="ListParagraph"/>
        <w:numPr>
          <w:ilvl w:val="1"/>
          <w:numId w:val="35"/>
        </w:numPr>
      </w:pPr>
      <w:r>
        <w:t>C</w:t>
      </w:r>
      <w:r w:rsidR="00EB3050">
        <w:t xml:space="preserve">larity on the level of work and study load that is required for </w:t>
      </w:r>
      <w:r w:rsidR="00E62B10">
        <w:t>a NGN</w:t>
      </w:r>
      <w:r w:rsidR="00EB3050">
        <w:t xml:space="preserve">. The </w:t>
      </w:r>
      <w:r w:rsidR="00AE5ED6">
        <w:t>NGNs were employed at different</w:t>
      </w:r>
      <w:r w:rsidR="002C7303">
        <w:t xml:space="preserve"> </w:t>
      </w:r>
      <w:r w:rsidR="008A3EDE">
        <w:t xml:space="preserve">FTE </w:t>
      </w:r>
      <w:r w:rsidR="00EB3050">
        <w:t>levels</w:t>
      </w:r>
      <w:r w:rsidR="00402B05">
        <w:t xml:space="preserve"> (between 0.8 and 1.0)</w:t>
      </w:r>
      <w:r w:rsidR="00EB3050">
        <w:t xml:space="preserve"> and this meant some felt the burden of work and study commitments more than others.</w:t>
      </w:r>
    </w:p>
    <w:p w14:paraId="04F371C2" w14:textId="77777777" w:rsidR="00530966" w:rsidRDefault="00530966" w:rsidP="00EB3050">
      <w:pPr>
        <w:pStyle w:val="ListParagraph"/>
        <w:numPr>
          <w:ilvl w:val="1"/>
          <w:numId w:val="35"/>
        </w:numPr>
      </w:pPr>
      <w:r>
        <w:t xml:space="preserve">The NETP programme supported connections with other NGNs and professional development. The NGNs suggested that the value of the NETP programme could be enhanced by increasing the relevance to primary care settings. </w:t>
      </w:r>
    </w:p>
    <w:p w14:paraId="0A5FD547" w14:textId="77777777" w:rsidR="00EB3050" w:rsidRDefault="00266391" w:rsidP="00EB3050">
      <w:pPr>
        <w:pStyle w:val="ListParagraph"/>
        <w:numPr>
          <w:ilvl w:val="1"/>
          <w:numId w:val="35"/>
        </w:numPr>
      </w:pPr>
      <w:r>
        <w:t>Valuable external support from</w:t>
      </w:r>
      <w:r w:rsidR="00EB3050">
        <w:t xml:space="preserve"> </w:t>
      </w:r>
      <w:r w:rsidR="00530966">
        <w:t>the DHB (</w:t>
      </w:r>
      <w:r w:rsidR="00EB3050">
        <w:t>NETP Coordinators</w:t>
      </w:r>
      <w:r w:rsidR="00530966">
        <w:t>)</w:t>
      </w:r>
      <w:r w:rsidR="00EB3050">
        <w:t xml:space="preserve"> and PHO </w:t>
      </w:r>
      <w:r w:rsidR="00530966">
        <w:t>(</w:t>
      </w:r>
      <w:r w:rsidR="00EB3050">
        <w:t>Nursing Leaders</w:t>
      </w:r>
      <w:r w:rsidR="00530966">
        <w:t>)</w:t>
      </w:r>
      <w:r>
        <w:t>. This was particularly important when the practices had little previous experience of a NGN. S</w:t>
      </w:r>
      <w:r w:rsidR="00EB3050">
        <w:t xml:space="preserve">ome practices </w:t>
      </w:r>
      <w:r>
        <w:t xml:space="preserve">however, </w:t>
      </w:r>
      <w:r w:rsidR="00EB3050">
        <w:t>suggested that greater coordination between th</w:t>
      </w:r>
      <w:r>
        <w:t>ose supporting the NGN would be valuable</w:t>
      </w:r>
      <w:r w:rsidR="00EB3050">
        <w:t xml:space="preserve">. </w:t>
      </w:r>
    </w:p>
    <w:p w14:paraId="1985C84E" w14:textId="77777777" w:rsidR="00863423" w:rsidRDefault="00863423" w:rsidP="00EF7763">
      <w:pPr>
        <w:pStyle w:val="ListParagraph"/>
      </w:pPr>
    </w:p>
    <w:p w14:paraId="3C622510" w14:textId="6C1F9F5E" w:rsidR="009A1AF2" w:rsidRDefault="00E92B07" w:rsidP="009A1AF2">
      <w:r w:rsidRPr="0083018C">
        <w:t>The conclusions from this evaluation highlight the value of the scheme</w:t>
      </w:r>
      <w:r w:rsidRPr="00C436E6">
        <w:t xml:space="preserve"> </w:t>
      </w:r>
      <w:r>
        <w:t xml:space="preserve">in </w:t>
      </w:r>
      <w:r w:rsidRPr="0083018C">
        <w:t xml:space="preserve">supporting VLCA practices </w:t>
      </w:r>
      <w:r>
        <w:t xml:space="preserve">and </w:t>
      </w:r>
      <w:r w:rsidRPr="0083018C">
        <w:t xml:space="preserve">in supporting NGNs into primary care. </w:t>
      </w:r>
      <w:r w:rsidR="00745A45" w:rsidRPr="0083018C">
        <w:t xml:space="preserve">When considering the future implementation of the scheme, the findings </w:t>
      </w:r>
      <w:r w:rsidR="00EB3050" w:rsidRPr="0083018C">
        <w:t xml:space="preserve">suggest that </w:t>
      </w:r>
      <w:r w:rsidR="00FF2AFB" w:rsidRPr="0083018C">
        <w:t>practices</w:t>
      </w:r>
      <w:r w:rsidR="00EB3050" w:rsidRPr="0083018C">
        <w:t xml:space="preserve"> with </w:t>
      </w:r>
      <w:r w:rsidR="009A1AF2" w:rsidRPr="0083018C">
        <w:t>previous</w:t>
      </w:r>
      <w:r w:rsidR="00EB3050" w:rsidRPr="0083018C">
        <w:t xml:space="preserve"> experience </w:t>
      </w:r>
      <w:r w:rsidR="009A1AF2" w:rsidRPr="0083018C">
        <w:t>of</w:t>
      </w:r>
      <w:r w:rsidR="00EB3050" w:rsidRPr="0083018C">
        <w:t xml:space="preserve"> NGNs provided better induction and support processes</w:t>
      </w:r>
      <w:r w:rsidR="009A1AF2" w:rsidRPr="0083018C">
        <w:t>. However, a</w:t>
      </w:r>
      <w:r w:rsidR="00EB3050" w:rsidRPr="0083018C">
        <w:t xml:space="preserve">ll practices reported some value and benefit from having </w:t>
      </w:r>
      <w:r w:rsidR="00E62B10" w:rsidRPr="0083018C">
        <w:t>a NGN</w:t>
      </w:r>
      <w:r w:rsidR="00EB3050" w:rsidRPr="0083018C">
        <w:t xml:space="preserve"> and most sustained the role. While it might be tempting to support those practices </w:t>
      </w:r>
      <w:r w:rsidR="009A1AF2" w:rsidRPr="0083018C">
        <w:t>with</w:t>
      </w:r>
      <w:r w:rsidR="00EB3050" w:rsidRPr="0083018C">
        <w:t xml:space="preserve"> previous experience </w:t>
      </w:r>
      <w:r w:rsidR="002858C3" w:rsidRPr="0083018C">
        <w:t>of</w:t>
      </w:r>
      <w:r w:rsidR="00EB3050" w:rsidRPr="0083018C">
        <w:t xml:space="preserve"> developing NGNs, </w:t>
      </w:r>
      <w:r w:rsidR="009A1AF2" w:rsidRPr="0083018C">
        <w:t xml:space="preserve">these practices were often larger and in more urban locations. Implementing the scheme through these practices would provide a </w:t>
      </w:r>
      <w:r w:rsidR="002858C3" w:rsidRPr="0083018C">
        <w:t xml:space="preserve">more </w:t>
      </w:r>
      <w:r w:rsidR="009A1AF2" w:rsidRPr="0083018C">
        <w:t xml:space="preserve">systematic approach to developing the nursing workforce in primary care. However, this would reduce the value of the scheme for smaller practices and/or those </w:t>
      </w:r>
      <w:r w:rsidR="002858C3" w:rsidRPr="0083018C">
        <w:t xml:space="preserve">practices </w:t>
      </w:r>
      <w:r w:rsidR="009A1AF2" w:rsidRPr="0083018C">
        <w:t>experiencing difficulties with recruitment</w:t>
      </w:r>
      <w:r w:rsidR="002858C3" w:rsidRPr="0083018C">
        <w:t xml:space="preserve"> and succession planning</w:t>
      </w:r>
      <w:r w:rsidR="009A1AF2" w:rsidRPr="0083018C">
        <w:t xml:space="preserve">, such as those in more rural areas. The value of the scheme in </w:t>
      </w:r>
      <w:r w:rsidR="009A1AF2" w:rsidRPr="0083018C">
        <w:lastRenderedPageBreak/>
        <w:t>supporting practices to develop a sustainable local nursing workforce may also be challenged if the availability of the scheme was restricted to specific practices.</w:t>
      </w:r>
      <w:r w:rsidR="009A1AF2">
        <w:t xml:space="preserve"> </w:t>
      </w:r>
    </w:p>
    <w:p w14:paraId="1C34B0A7" w14:textId="77777777" w:rsidR="00680809" w:rsidRDefault="00EB3050" w:rsidP="00680809">
      <w:r>
        <w:t xml:space="preserve">What is needed </w:t>
      </w:r>
      <w:proofErr w:type="gramStart"/>
      <w:r>
        <w:t>however,</w:t>
      </w:r>
      <w:proofErr w:type="gramEnd"/>
      <w:r>
        <w:t xml:space="preserve"> is greater consideration of the support that is needed for those practices who are less experienced </w:t>
      </w:r>
      <w:r w:rsidR="004432CC">
        <w:t>with</w:t>
      </w:r>
      <w:r>
        <w:t xml:space="preserve"> NGNs. This is important not only for the development of the NGN, but for the practice to maximise the value of the NGN from the start. For some </w:t>
      </w:r>
      <w:r w:rsidR="009A1AF2">
        <w:t xml:space="preserve">of the </w:t>
      </w:r>
      <w:r>
        <w:t>practices</w:t>
      </w:r>
      <w:r w:rsidR="009A1AF2">
        <w:t xml:space="preserve"> with little previous NGN experience</w:t>
      </w:r>
      <w:r>
        <w:t xml:space="preserve">, success was </w:t>
      </w:r>
      <w:r w:rsidR="00FF2AFB">
        <w:t xml:space="preserve">enabled by </w:t>
      </w:r>
      <w:r w:rsidR="00402B05">
        <w:t>extensive</w:t>
      </w:r>
      <w:r>
        <w:t xml:space="preserve"> additional support from the DHB and the PHO. </w:t>
      </w:r>
      <w:r w:rsidR="00680809">
        <w:t xml:space="preserve">When integrating NGNs in this context it is important for the PHO and the DHB to consider the additional supports and challenges that this may bring to their current roles and the level of support that they can provide. The joint application process provides a means of supporting this process. </w:t>
      </w:r>
    </w:p>
    <w:p w14:paraId="2C69C857" w14:textId="77777777" w:rsidR="009A1AF2" w:rsidRDefault="00EB3050" w:rsidP="009A1AF2">
      <w:r>
        <w:t xml:space="preserve">Drawing on the evidence in this evaluation report, the expertise of nurse preceptors, NETP Coordinators and PHO Nurse Leaders could support the development of a resource </w:t>
      </w:r>
      <w:r w:rsidR="00F75306">
        <w:t>that would enable practices</w:t>
      </w:r>
      <w:r>
        <w:t xml:space="preserve"> to </w:t>
      </w:r>
      <w:r w:rsidR="00F75306">
        <w:t xml:space="preserve">better </w:t>
      </w:r>
      <w:r>
        <w:t xml:space="preserve">support </w:t>
      </w:r>
      <w:r w:rsidR="00E62B10">
        <w:t>a NGN</w:t>
      </w:r>
      <w:r>
        <w:t xml:space="preserve">. </w:t>
      </w:r>
      <w:r w:rsidR="003A6DE7">
        <w:t>Specifically, this resource</w:t>
      </w:r>
      <w:r w:rsidR="00680809">
        <w:t xml:space="preserve"> could identify </w:t>
      </w:r>
      <w:r w:rsidR="009A1AF2">
        <w:t xml:space="preserve">what it means to have a NGN in their practice, </w:t>
      </w:r>
      <w:r w:rsidR="00680809">
        <w:t xml:space="preserve">the level of support needed, </w:t>
      </w:r>
      <w:r w:rsidR="009A1AF2">
        <w:t xml:space="preserve">as well as the value and benefits that they can expect to achieve. </w:t>
      </w:r>
      <w:r w:rsidR="00680809">
        <w:t xml:space="preserve">The development of this resource could also help to clarify the roles and responsibilities of the DHB, PHO and practice in supporting the integration of NGNs into primary care. This should enhance the coordination and integration of the supports available for the NGNs. </w:t>
      </w:r>
    </w:p>
    <w:p w14:paraId="71378AFE" w14:textId="77777777" w:rsidR="00680809" w:rsidRDefault="00680809" w:rsidP="00EB3050"/>
    <w:p w14:paraId="7ADC26DC" w14:textId="77777777" w:rsidR="00EB3050" w:rsidRPr="001058B1" w:rsidRDefault="00EB3050" w:rsidP="00EB3050"/>
    <w:p w14:paraId="6ACBB809" w14:textId="77777777" w:rsidR="00680809" w:rsidRDefault="00680809">
      <w:pPr>
        <w:spacing w:after="200" w:line="276" w:lineRule="auto"/>
        <w:rPr>
          <w:rFonts w:cs="Arial"/>
          <w:b/>
          <w:smallCaps/>
          <w:color w:val="006E95"/>
          <w:spacing w:val="20"/>
          <w:kern w:val="28"/>
          <w:sz w:val="32"/>
          <w:szCs w:val="28"/>
        </w:rPr>
      </w:pPr>
      <w:bookmarkStart w:id="13" w:name="_Toc415657668"/>
      <w:r>
        <w:br w:type="page"/>
      </w:r>
    </w:p>
    <w:p w14:paraId="246023B0" w14:textId="77777777" w:rsidR="00AA11FF" w:rsidRDefault="00AA11FF" w:rsidP="00AA11FF">
      <w:pPr>
        <w:pStyle w:val="Heading1"/>
      </w:pPr>
      <w:r>
        <w:lastRenderedPageBreak/>
        <w:t>Introduction</w:t>
      </w:r>
      <w:bookmarkEnd w:id="1"/>
      <w:bookmarkEnd w:id="13"/>
    </w:p>
    <w:p w14:paraId="1745D881" w14:textId="77777777" w:rsidR="00644EA5" w:rsidRDefault="00644EA5" w:rsidP="00644EA5">
      <w:pPr>
        <w:pStyle w:val="Heading2"/>
      </w:pPr>
      <w:bookmarkStart w:id="14" w:name="_Toc415657669"/>
      <w:r w:rsidRPr="00644EA5">
        <w:t>Background</w:t>
      </w:r>
      <w:bookmarkEnd w:id="14"/>
    </w:p>
    <w:p w14:paraId="6D8F7DDD" w14:textId="77777777" w:rsidR="000562EA" w:rsidRDefault="000562EA" w:rsidP="000562EA">
      <w:r>
        <w:t>This report presents the evaluation of the n</w:t>
      </w:r>
      <w:r w:rsidRPr="000562EA">
        <w:t xml:space="preserve">ew </w:t>
      </w:r>
      <w:r>
        <w:t>g</w:t>
      </w:r>
      <w:r w:rsidRPr="000562EA">
        <w:t xml:space="preserve">raduate </w:t>
      </w:r>
      <w:r>
        <w:t>n</w:t>
      </w:r>
      <w:r w:rsidRPr="000562EA">
        <w:t>urse employment scheme through the Very Low Cost Access initiative</w:t>
      </w:r>
      <w:r w:rsidR="004F5E92">
        <w:t xml:space="preserve">. </w:t>
      </w:r>
      <w:proofErr w:type="spellStart"/>
      <w:r w:rsidR="00361255">
        <w:t>Synergia</w:t>
      </w:r>
      <w:proofErr w:type="spellEnd"/>
      <w:r w:rsidR="00361255">
        <w:t xml:space="preserve"> was commissioned to conduct the evaluation between May 2014 and April 2015. </w:t>
      </w:r>
      <w:r w:rsidR="006115D5">
        <w:t>The aim of the evaluation was to conduct a process and impact evaluation of the N</w:t>
      </w:r>
      <w:r w:rsidR="00116AED">
        <w:t xml:space="preserve">ew </w:t>
      </w:r>
      <w:r w:rsidR="006115D5">
        <w:t>G</w:t>
      </w:r>
      <w:r w:rsidR="00116AED">
        <w:t xml:space="preserve">raduate </w:t>
      </w:r>
      <w:r w:rsidR="006115D5">
        <w:t>N</w:t>
      </w:r>
      <w:r w:rsidR="00116AED">
        <w:t>urse</w:t>
      </w:r>
      <w:r w:rsidR="006115D5">
        <w:t xml:space="preserve"> </w:t>
      </w:r>
      <w:r w:rsidR="008B69CD">
        <w:t xml:space="preserve">(NGN) </w:t>
      </w:r>
      <w:r w:rsidR="006115D5">
        <w:t>employment scheme in V</w:t>
      </w:r>
      <w:r w:rsidR="00116AED">
        <w:t xml:space="preserve">ery </w:t>
      </w:r>
      <w:r w:rsidR="006115D5">
        <w:t>L</w:t>
      </w:r>
      <w:r w:rsidR="00116AED">
        <w:t xml:space="preserve">ow </w:t>
      </w:r>
      <w:r w:rsidR="006115D5">
        <w:t>C</w:t>
      </w:r>
      <w:r w:rsidR="00116AED">
        <w:t xml:space="preserve">ost </w:t>
      </w:r>
      <w:r w:rsidR="006115D5">
        <w:t>A</w:t>
      </w:r>
      <w:r w:rsidR="00116AED">
        <w:t>ccess</w:t>
      </w:r>
      <w:r w:rsidR="006115D5">
        <w:t xml:space="preserve"> </w:t>
      </w:r>
      <w:r w:rsidR="008B69CD">
        <w:t xml:space="preserve">(VLCA) </w:t>
      </w:r>
      <w:r w:rsidR="006115D5">
        <w:t xml:space="preserve">practices. </w:t>
      </w:r>
      <w:r w:rsidR="0095313A">
        <w:t xml:space="preserve">This report integrates findings from the across-site and within-site </w:t>
      </w:r>
      <w:r w:rsidR="006115D5">
        <w:t>evaluation phas</w:t>
      </w:r>
      <w:r w:rsidR="0095313A">
        <w:t>e</w:t>
      </w:r>
      <w:r w:rsidR="006115D5">
        <w:t xml:space="preserve">s to </w:t>
      </w:r>
      <w:r w:rsidR="00116AED">
        <w:t>identify the key learnings from the first year of implementing the scheme along with key considerations for future implementation</w:t>
      </w:r>
      <w:r w:rsidR="0095313A">
        <w:t>.</w:t>
      </w:r>
      <w:r w:rsidR="00241074">
        <w:t xml:space="preserve"> </w:t>
      </w:r>
    </w:p>
    <w:p w14:paraId="34DC7F8C" w14:textId="77777777" w:rsidR="000F387B" w:rsidRDefault="000F387B" w:rsidP="000562EA"/>
    <w:p w14:paraId="0A15E5DE" w14:textId="77777777" w:rsidR="0095313A" w:rsidRDefault="00241074" w:rsidP="00241074">
      <w:pPr>
        <w:pStyle w:val="Heading2"/>
      </w:pPr>
      <w:bookmarkStart w:id="15" w:name="_Toc415657670"/>
      <w:r>
        <w:t>The New Graduate Nurse Employment Scheme</w:t>
      </w:r>
      <w:bookmarkEnd w:id="15"/>
    </w:p>
    <w:p w14:paraId="05203E7C" w14:textId="6D774EB2" w:rsidR="004F5E92" w:rsidRPr="00277B33" w:rsidRDefault="004F5E92" w:rsidP="004F5E92">
      <w:pPr>
        <w:rPr>
          <w:szCs w:val="22"/>
        </w:rPr>
      </w:pPr>
      <w:r w:rsidRPr="00277B33">
        <w:rPr>
          <w:szCs w:val="22"/>
          <w:lang w:val="en-AU"/>
        </w:rPr>
        <w:t>The</w:t>
      </w:r>
      <w:r w:rsidR="00241074">
        <w:rPr>
          <w:szCs w:val="22"/>
          <w:lang w:val="en-AU"/>
        </w:rPr>
        <w:t xml:space="preserve"> NGN</w:t>
      </w:r>
      <w:r w:rsidRPr="00277B33">
        <w:rPr>
          <w:szCs w:val="22"/>
          <w:lang w:val="en-AU"/>
        </w:rPr>
        <w:t xml:space="preserve"> </w:t>
      </w:r>
      <w:r>
        <w:rPr>
          <w:szCs w:val="22"/>
          <w:lang w:val="en-AU"/>
        </w:rPr>
        <w:t>employment scheme</w:t>
      </w:r>
      <w:r w:rsidRPr="00277B33">
        <w:rPr>
          <w:szCs w:val="22"/>
          <w:lang w:val="en-AU"/>
        </w:rPr>
        <w:t xml:space="preserve"> is part of the VLCA Practice Sustainability initiative that provided additional funding for qualifying general practices serving </w:t>
      </w:r>
      <w:r w:rsidR="00912905">
        <w:rPr>
          <w:szCs w:val="22"/>
          <w:lang w:val="en-AU"/>
        </w:rPr>
        <w:t xml:space="preserve">50 percent or more </w:t>
      </w:r>
      <w:r w:rsidRPr="00277B33">
        <w:rPr>
          <w:szCs w:val="22"/>
          <w:lang w:val="en-AU"/>
        </w:rPr>
        <w:t xml:space="preserve">high needs populations (defined as </w:t>
      </w:r>
      <w:r>
        <w:rPr>
          <w:szCs w:val="22"/>
          <w:lang w:val="en-AU"/>
        </w:rPr>
        <w:t>Māori</w:t>
      </w:r>
      <w:r w:rsidRPr="00277B33">
        <w:rPr>
          <w:szCs w:val="22"/>
          <w:lang w:val="en-AU"/>
        </w:rPr>
        <w:t>, Pacific, or Quintile 5 populations). The initiative was introduced by the Ministry of Health</w:t>
      </w:r>
      <w:r w:rsidR="006323A6">
        <w:rPr>
          <w:szCs w:val="22"/>
          <w:lang w:val="en-AU"/>
        </w:rPr>
        <w:t xml:space="preserve"> (</w:t>
      </w:r>
      <w:proofErr w:type="spellStart"/>
      <w:r w:rsidR="006323A6">
        <w:rPr>
          <w:szCs w:val="22"/>
          <w:lang w:val="en-AU"/>
        </w:rPr>
        <w:t>MoH</w:t>
      </w:r>
      <w:proofErr w:type="spellEnd"/>
      <w:r w:rsidR="006323A6">
        <w:rPr>
          <w:szCs w:val="22"/>
          <w:lang w:val="en-AU"/>
        </w:rPr>
        <w:t>)</w:t>
      </w:r>
      <w:r w:rsidRPr="00277B33">
        <w:rPr>
          <w:szCs w:val="22"/>
          <w:lang w:val="en-AU"/>
        </w:rPr>
        <w:t xml:space="preserve"> in 2013/2014 partly in response to evidence suggesting that some VLCA practices with high proportions of high needs enrolees were experiencing sustainability issues due to a mix of financial, workforce, clinical and social complexity issues </w:t>
      </w:r>
      <w:r w:rsidR="009B410D">
        <w:rPr>
          <w:szCs w:val="22"/>
          <w:lang w:val="en-AU"/>
        </w:rPr>
        <w:fldChar w:fldCharType="begin"/>
      </w:r>
      <w:r w:rsidR="00F21F41">
        <w:rPr>
          <w:szCs w:val="22"/>
          <w:lang w:val="en-AU"/>
        </w:rPr>
        <w:instrText>ADDIN RW.CITE{{369 Brown,M. 2013}}</w:instrText>
      </w:r>
      <w:r w:rsidR="009B410D">
        <w:rPr>
          <w:szCs w:val="22"/>
          <w:lang w:val="en-AU"/>
        </w:rPr>
        <w:fldChar w:fldCharType="separate"/>
      </w:r>
      <w:r w:rsidR="00F21F41" w:rsidRPr="00F21F41">
        <w:rPr>
          <w:szCs w:val="22"/>
          <w:lang w:val="en-AU"/>
        </w:rPr>
        <w:t>(1)</w:t>
      </w:r>
      <w:r w:rsidR="009B410D">
        <w:rPr>
          <w:szCs w:val="22"/>
          <w:lang w:val="en-AU"/>
        </w:rPr>
        <w:fldChar w:fldCharType="end"/>
      </w:r>
      <w:r w:rsidR="00F21F41">
        <w:rPr>
          <w:szCs w:val="22"/>
        </w:rPr>
        <w:t>.</w:t>
      </w:r>
    </w:p>
    <w:p w14:paraId="4109BD70" w14:textId="77777777" w:rsidR="004F5E92" w:rsidRPr="00277B33" w:rsidRDefault="004F5E92" w:rsidP="004F5E92">
      <w:pPr>
        <w:rPr>
          <w:szCs w:val="22"/>
        </w:rPr>
      </w:pPr>
      <w:r w:rsidRPr="00277B33">
        <w:rPr>
          <w:szCs w:val="22"/>
        </w:rPr>
        <w:t>The VLCA Practice Sustainability Initiative involves two components. The first provides ongoing funding of $4 million per annum for VLCA practices with 50% or more high needs enrolees. The second component involves one-off supplemental funding of $2.4 million to employ and pay salaries for 48</w:t>
      </w:r>
      <w:r>
        <w:rPr>
          <w:szCs w:val="22"/>
        </w:rPr>
        <w:t xml:space="preserve"> new graduate nurses</w:t>
      </w:r>
      <w:r w:rsidRPr="00277B33">
        <w:rPr>
          <w:szCs w:val="22"/>
        </w:rPr>
        <w:t xml:space="preserve"> </w:t>
      </w:r>
      <w:r>
        <w:rPr>
          <w:szCs w:val="22"/>
        </w:rPr>
        <w:t>(</w:t>
      </w:r>
      <w:r w:rsidRPr="00277B33">
        <w:rPr>
          <w:szCs w:val="22"/>
        </w:rPr>
        <w:t>NGNs</w:t>
      </w:r>
      <w:r>
        <w:rPr>
          <w:szCs w:val="22"/>
        </w:rPr>
        <w:t>)</w:t>
      </w:r>
      <w:r w:rsidRPr="00277B33">
        <w:rPr>
          <w:szCs w:val="22"/>
        </w:rPr>
        <w:t xml:space="preserve"> for 12 months in qualifying practices. This one-off funding was intended to support VLCA practices to:</w:t>
      </w:r>
    </w:p>
    <w:p w14:paraId="2DB559D7" w14:textId="411166D5" w:rsidR="004F5E92" w:rsidRPr="00D20D81" w:rsidRDefault="004F5E92" w:rsidP="00481E6E">
      <w:pPr>
        <w:pStyle w:val="ListParagraph"/>
        <w:numPr>
          <w:ilvl w:val="0"/>
          <w:numId w:val="3"/>
        </w:numPr>
        <w:tabs>
          <w:tab w:val="num" w:pos="709"/>
        </w:tabs>
      </w:pPr>
      <w:r w:rsidRPr="00D20D81">
        <w:t>Address some of their ongoing workforce issues e.g. ageing workforce</w:t>
      </w:r>
      <w:r w:rsidR="00912905">
        <w:t>, recruitment difficulties</w:t>
      </w:r>
      <w:r w:rsidRPr="00D20D81">
        <w:t xml:space="preserve"> and poor alignment between patients and nursing workforce demographics.</w:t>
      </w:r>
    </w:p>
    <w:p w14:paraId="21445304" w14:textId="6B2A8C49" w:rsidR="004F5E92" w:rsidRPr="00D20D81" w:rsidRDefault="004F5E92" w:rsidP="00481E6E">
      <w:pPr>
        <w:pStyle w:val="ListParagraph"/>
        <w:numPr>
          <w:ilvl w:val="0"/>
          <w:numId w:val="3"/>
        </w:numPr>
        <w:tabs>
          <w:tab w:val="num" w:pos="709"/>
        </w:tabs>
      </w:pPr>
      <w:r w:rsidRPr="00D20D81">
        <w:t xml:space="preserve">Support graduate nurses to transition to primary healthcare practices in a planned programme associated with </w:t>
      </w:r>
      <w:r w:rsidR="00912905">
        <w:t>NETP</w:t>
      </w:r>
      <w:r w:rsidR="007D07C8">
        <w:t xml:space="preserve"> programme</w:t>
      </w:r>
      <w:r w:rsidRPr="00D20D81">
        <w:t>.</w:t>
      </w:r>
    </w:p>
    <w:p w14:paraId="553185FC" w14:textId="77777777" w:rsidR="004F5E92" w:rsidRPr="00277B33" w:rsidRDefault="004F5E92" w:rsidP="004F5E92">
      <w:pPr>
        <w:rPr>
          <w:szCs w:val="22"/>
        </w:rPr>
      </w:pPr>
      <w:r w:rsidRPr="00277B33">
        <w:rPr>
          <w:szCs w:val="22"/>
        </w:rPr>
        <w:t xml:space="preserve">In the longer term the </w:t>
      </w:r>
      <w:r w:rsidR="006323A6">
        <w:rPr>
          <w:szCs w:val="22"/>
        </w:rPr>
        <w:t>schem</w:t>
      </w:r>
      <w:r w:rsidR="006323A6" w:rsidRPr="00277B33">
        <w:rPr>
          <w:szCs w:val="22"/>
        </w:rPr>
        <w:t xml:space="preserve">e </w:t>
      </w:r>
      <w:r w:rsidRPr="00277B33">
        <w:rPr>
          <w:szCs w:val="22"/>
        </w:rPr>
        <w:t>was designed support VLCA practices to:</w:t>
      </w:r>
    </w:p>
    <w:p w14:paraId="67EE03F7" w14:textId="77777777" w:rsidR="004F5E92" w:rsidRPr="00D20D81" w:rsidRDefault="004F5E92" w:rsidP="00481E6E">
      <w:pPr>
        <w:pStyle w:val="ListParagraph"/>
        <w:numPr>
          <w:ilvl w:val="0"/>
          <w:numId w:val="3"/>
        </w:numPr>
        <w:tabs>
          <w:tab w:val="num" w:pos="709"/>
        </w:tabs>
      </w:pPr>
      <w:r w:rsidRPr="00D20D81">
        <w:t>Implement additional service provision.</w:t>
      </w:r>
    </w:p>
    <w:p w14:paraId="311AF864" w14:textId="77777777" w:rsidR="004F5E92" w:rsidRPr="00D20D81" w:rsidRDefault="004F5E92" w:rsidP="00481E6E">
      <w:pPr>
        <w:pStyle w:val="ListParagraph"/>
        <w:numPr>
          <w:ilvl w:val="0"/>
          <w:numId w:val="3"/>
        </w:numPr>
        <w:tabs>
          <w:tab w:val="num" w:pos="709"/>
        </w:tabs>
      </w:pPr>
      <w:r w:rsidRPr="00D20D81">
        <w:t>Expand patient care.</w:t>
      </w:r>
    </w:p>
    <w:p w14:paraId="72B7F01D" w14:textId="77777777" w:rsidR="004F5E92" w:rsidRDefault="004F5E92" w:rsidP="00481E6E">
      <w:pPr>
        <w:pStyle w:val="ListParagraph"/>
        <w:numPr>
          <w:ilvl w:val="0"/>
          <w:numId w:val="3"/>
        </w:numPr>
        <w:tabs>
          <w:tab w:val="num" w:pos="709"/>
        </w:tabs>
      </w:pPr>
      <w:r w:rsidRPr="00D20D81">
        <w:t>Enhance workforce sustainability.</w:t>
      </w:r>
    </w:p>
    <w:p w14:paraId="158375EF" w14:textId="04348D34" w:rsidR="002B7B48" w:rsidRDefault="002B7B48" w:rsidP="00C20992">
      <w:pPr>
        <w:tabs>
          <w:tab w:val="num" w:pos="709"/>
        </w:tabs>
      </w:pPr>
      <w:r>
        <w:lastRenderedPageBreak/>
        <w:t xml:space="preserve">Eligible practices were required to fill in an application in collaboration with their PHO and DHB which </w:t>
      </w:r>
      <w:r w:rsidR="00817B9C">
        <w:t xml:space="preserve">outlined </w:t>
      </w:r>
      <w:r>
        <w:t xml:space="preserve">their sustainability issues and capacity to support a NGN. </w:t>
      </w:r>
      <w:r>
        <w:rPr>
          <w:szCs w:val="22"/>
          <w:lang w:val="en-AU"/>
        </w:rPr>
        <w:t xml:space="preserve">Applications were reviewed by the </w:t>
      </w:r>
      <w:proofErr w:type="spellStart"/>
      <w:r>
        <w:rPr>
          <w:szCs w:val="22"/>
          <w:lang w:val="en-AU"/>
        </w:rPr>
        <w:t>MoH</w:t>
      </w:r>
      <w:proofErr w:type="spellEnd"/>
      <w:r>
        <w:rPr>
          <w:szCs w:val="22"/>
          <w:lang w:val="en-AU"/>
        </w:rPr>
        <w:t xml:space="preserve"> and 48 </w:t>
      </w:r>
      <w:r w:rsidR="001236A9">
        <w:rPr>
          <w:szCs w:val="22"/>
          <w:lang w:val="en-AU"/>
        </w:rPr>
        <w:t>practices</w:t>
      </w:r>
      <w:r w:rsidR="001236A9">
        <w:rPr>
          <w:rStyle w:val="FootnoteReference"/>
          <w:szCs w:val="22"/>
          <w:lang w:val="en-AU"/>
        </w:rPr>
        <w:footnoteReference w:id="2"/>
      </w:r>
      <w:r w:rsidR="001236A9">
        <w:rPr>
          <w:szCs w:val="22"/>
          <w:lang w:val="en-AU"/>
        </w:rPr>
        <w:t xml:space="preserve"> </w:t>
      </w:r>
      <w:r>
        <w:rPr>
          <w:szCs w:val="22"/>
          <w:lang w:val="en-AU"/>
        </w:rPr>
        <w:t xml:space="preserve">were approved to receive funding under the new graduate nurse employment scheme. </w:t>
      </w:r>
      <w:r>
        <w:t xml:space="preserve">As part of the NGN employment scheme, </w:t>
      </w:r>
      <w:r w:rsidR="008B69CD">
        <w:rPr>
          <w:szCs w:val="22"/>
          <w:lang w:val="en-AU"/>
        </w:rPr>
        <w:t>successful</w:t>
      </w:r>
      <w:r>
        <w:rPr>
          <w:szCs w:val="22"/>
          <w:lang w:val="en-AU"/>
        </w:rPr>
        <w:t xml:space="preserve"> practices were required to: have a trained preceptor, maintain the position as supernumerary for the first six weeks, have an intention to sustain their employment beyond the one year funded through the scheme, and employ a NGN befor</w:t>
      </w:r>
      <w:r w:rsidR="00912905">
        <w:rPr>
          <w:szCs w:val="22"/>
          <w:lang w:val="en-AU"/>
        </w:rPr>
        <w:t>e the commencement of the NETP</w:t>
      </w:r>
      <w:r w:rsidR="007D07C8">
        <w:rPr>
          <w:szCs w:val="22"/>
          <w:lang w:val="en-AU"/>
        </w:rPr>
        <w:t xml:space="preserve"> programme</w:t>
      </w:r>
      <w:r>
        <w:rPr>
          <w:szCs w:val="22"/>
          <w:lang w:val="en-AU"/>
        </w:rPr>
        <w:t>.</w:t>
      </w:r>
    </w:p>
    <w:p w14:paraId="6F500CCA" w14:textId="77777777" w:rsidR="00C20992" w:rsidRDefault="00C20992" w:rsidP="00C20992">
      <w:pPr>
        <w:tabs>
          <w:tab w:val="num" w:pos="709"/>
        </w:tabs>
        <w:rPr>
          <w:szCs w:val="22"/>
        </w:rPr>
      </w:pPr>
      <w:r>
        <w:t xml:space="preserve">The first round of the employment scheme saw </w:t>
      </w:r>
      <w:r w:rsidR="008B69CD" w:rsidRPr="001659DB">
        <w:t>48</w:t>
      </w:r>
      <w:r w:rsidR="008B69CD">
        <w:t xml:space="preserve"> </w:t>
      </w:r>
      <w:r>
        <w:t xml:space="preserve">new graduate nurses employed </w:t>
      </w:r>
      <w:r w:rsidR="008B69CD">
        <w:t>for a 12 month period from</w:t>
      </w:r>
      <w:r>
        <w:t xml:space="preserve"> February 2014</w:t>
      </w:r>
      <w:r w:rsidR="008B69CD">
        <w:t xml:space="preserve">, </w:t>
      </w:r>
      <w:r>
        <w:t>a second round of new</w:t>
      </w:r>
      <w:r w:rsidR="00273FE5">
        <w:t xml:space="preserve"> graduate nurses have been employed</w:t>
      </w:r>
      <w:r>
        <w:t xml:space="preserve"> </w:t>
      </w:r>
      <w:r w:rsidR="008B69CD">
        <w:t xml:space="preserve">in February </w:t>
      </w:r>
      <w:r>
        <w:t xml:space="preserve">2015. </w:t>
      </w:r>
      <w:r w:rsidR="008B69CD">
        <w:t xml:space="preserve">It is useful to note, that the second round of funding was provided to practices that did not receive funding through the first round. </w:t>
      </w:r>
      <w:r>
        <w:t xml:space="preserve">This evaluation </w:t>
      </w:r>
      <w:r w:rsidR="008B69CD">
        <w:t>focuses on the</w:t>
      </w:r>
      <w:r>
        <w:t xml:space="preserve"> first </w:t>
      </w:r>
      <w:r w:rsidR="00B23D3B">
        <w:t>round of the scheme</w:t>
      </w:r>
      <w:r>
        <w:t xml:space="preserve">. </w:t>
      </w:r>
      <w:r w:rsidR="00B23D3B">
        <w:t xml:space="preserve">Specifically, a process and impact evaluation of the scheme was conducted. This included </w:t>
      </w:r>
      <w:r>
        <w:t xml:space="preserve">an across site analysis </w:t>
      </w:r>
      <w:r w:rsidRPr="00277B33">
        <w:rPr>
          <w:szCs w:val="22"/>
        </w:rPr>
        <w:t xml:space="preserve">to evaluate the implementation and impacts of the </w:t>
      </w:r>
      <w:r w:rsidR="00273FE5">
        <w:rPr>
          <w:szCs w:val="22"/>
        </w:rPr>
        <w:t>scheme</w:t>
      </w:r>
      <w:r w:rsidRPr="00277B33">
        <w:rPr>
          <w:szCs w:val="22"/>
        </w:rPr>
        <w:t xml:space="preserve"> acro</w:t>
      </w:r>
      <w:r>
        <w:rPr>
          <w:szCs w:val="22"/>
        </w:rPr>
        <w:t xml:space="preserve">ss </w:t>
      </w:r>
      <w:r w:rsidR="00B23D3B">
        <w:rPr>
          <w:szCs w:val="22"/>
        </w:rPr>
        <w:t xml:space="preserve">all </w:t>
      </w:r>
      <w:r>
        <w:rPr>
          <w:szCs w:val="22"/>
        </w:rPr>
        <w:t>participating VLCA practices</w:t>
      </w:r>
      <w:r w:rsidR="00B23D3B">
        <w:rPr>
          <w:szCs w:val="22"/>
        </w:rPr>
        <w:t>,</w:t>
      </w:r>
      <w:r>
        <w:rPr>
          <w:szCs w:val="22"/>
        </w:rPr>
        <w:t xml:space="preserve"> and a within site analysis of </w:t>
      </w:r>
      <w:r w:rsidR="005F50F6">
        <w:rPr>
          <w:szCs w:val="22"/>
        </w:rPr>
        <w:t xml:space="preserve">a selection of </w:t>
      </w:r>
      <w:r>
        <w:rPr>
          <w:szCs w:val="22"/>
        </w:rPr>
        <w:t xml:space="preserve">five </w:t>
      </w:r>
      <w:r w:rsidR="00273FE5">
        <w:rPr>
          <w:szCs w:val="22"/>
        </w:rPr>
        <w:t>VLCA</w:t>
      </w:r>
      <w:r>
        <w:rPr>
          <w:szCs w:val="22"/>
        </w:rPr>
        <w:t xml:space="preserve"> practices </w:t>
      </w:r>
      <w:r w:rsidR="00B23D3B">
        <w:rPr>
          <w:szCs w:val="22"/>
        </w:rPr>
        <w:t>to provide a</w:t>
      </w:r>
      <w:r>
        <w:rPr>
          <w:szCs w:val="22"/>
        </w:rPr>
        <w:t xml:space="preserve"> deeper insight into </w:t>
      </w:r>
      <w:r w:rsidR="00116975">
        <w:rPr>
          <w:szCs w:val="22"/>
        </w:rPr>
        <w:t>the scheme.</w:t>
      </w:r>
      <w:r w:rsidR="00B23D3B">
        <w:rPr>
          <w:szCs w:val="22"/>
        </w:rPr>
        <w:t xml:space="preserve"> The findings from the across site analysis were presented in a mid-point evaluation report in October 2014</w:t>
      </w:r>
      <w:r w:rsidR="00146C56">
        <w:rPr>
          <w:szCs w:val="22"/>
        </w:rPr>
        <w:t xml:space="preserve"> </w:t>
      </w:r>
      <w:r w:rsidR="009B410D">
        <w:rPr>
          <w:szCs w:val="22"/>
        </w:rPr>
        <w:fldChar w:fldCharType="begin"/>
      </w:r>
      <w:r w:rsidR="00146C56">
        <w:rPr>
          <w:szCs w:val="22"/>
        </w:rPr>
        <w:instrText>ADDIN RW.CITE{{371 Appleton-Dyer,S. 2014}}</w:instrText>
      </w:r>
      <w:r w:rsidR="009B410D">
        <w:rPr>
          <w:szCs w:val="22"/>
        </w:rPr>
        <w:fldChar w:fldCharType="separate"/>
      </w:r>
      <w:r w:rsidR="00146C56" w:rsidRPr="00146C56">
        <w:rPr>
          <w:szCs w:val="22"/>
        </w:rPr>
        <w:t>(2)</w:t>
      </w:r>
      <w:r w:rsidR="009B410D">
        <w:rPr>
          <w:szCs w:val="22"/>
        </w:rPr>
        <w:fldChar w:fldCharType="end"/>
      </w:r>
      <w:r w:rsidR="00B23D3B">
        <w:rPr>
          <w:szCs w:val="22"/>
        </w:rPr>
        <w:t>. This report integrates</w:t>
      </w:r>
      <w:r w:rsidR="005F50F6">
        <w:rPr>
          <w:szCs w:val="22"/>
        </w:rPr>
        <w:t xml:space="preserve"> the</w:t>
      </w:r>
      <w:r w:rsidR="00B23D3B">
        <w:rPr>
          <w:szCs w:val="22"/>
        </w:rPr>
        <w:t xml:space="preserve"> key findings from th</w:t>
      </w:r>
      <w:r w:rsidR="005F50F6">
        <w:rPr>
          <w:szCs w:val="22"/>
        </w:rPr>
        <w:t xml:space="preserve">e mid-point report </w:t>
      </w:r>
      <w:r w:rsidR="00B23D3B">
        <w:rPr>
          <w:szCs w:val="22"/>
        </w:rPr>
        <w:t xml:space="preserve">with the findings from the within site analysis to provide a comprehensive insight into the implementation and impacts of the scheme.  </w:t>
      </w:r>
    </w:p>
    <w:p w14:paraId="6D079FB6" w14:textId="77777777" w:rsidR="00290555" w:rsidRDefault="00290555" w:rsidP="00290555">
      <w:pPr>
        <w:pStyle w:val="Heading2"/>
      </w:pPr>
      <w:r>
        <w:t>Profile of the VLCA practices and New Graduate Nurses</w:t>
      </w:r>
    </w:p>
    <w:p w14:paraId="5886EC8C" w14:textId="77777777" w:rsidR="00290555" w:rsidRDefault="00290555" w:rsidP="00290555">
      <w:pPr>
        <w:pStyle w:val="Heading3"/>
      </w:pPr>
      <w:r>
        <w:t xml:space="preserve">Very Low Cost Access </w:t>
      </w:r>
      <w:r w:rsidR="00D65273">
        <w:t>p</w:t>
      </w:r>
      <w:r>
        <w:t>ractices</w:t>
      </w:r>
    </w:p>
    <w:p w14:paraId="4B2D9232" w14:textId="77777777" w:rsidR="00290555" w:rsidRDefault="00290555" w:rsidP="00290555">
      <w:r>
        <w:t xml:space="preserve">A quarter of the VLCA practices </w:t>
      </w:r>
      <w:r w:rsidR="00DB37BB">
        <w:t>in the NGN employment scheme</w:t>
      </w:r>
      <w:r>
        <w:t xml:space="preserve"> were located in Counties </w:t>
      </w:r>
      <w:proofErr w:type="spellStart"/>
      <w:r>
        <w:t>Manukau</w:t>
      </w:r>
      <w:proofErr w:type="spellEnd"/>
      <w:r>
        <w:t xml:space="preserve"> DHB (25% or 12 practices), and almost half of the practices were located in an upper North Island DHB (46% across Northland, Auckland, </w:t>
      </w:r>
      <w:proofErr w:type="spellStart"/>
      <w:r>
        <w:t>Waitemata</w:t>
      </w:r>
      <w:proofErr w:type="spellEnd"/>
      <w:r>
        <w:t xml:space="preserve">, and Counties </w:t>
      </w:r>
      <w:proofErr w:type="spellStart"/>
      <w:r>
        <w:t>Manukau</w:t>
      </w:r>
      <w:proofErr w:type="spellEnd"/>
      <w:r>
        <w:t xml:space="preserve"> DHB).</w:t>
      </w:r>
    </w:p>
    <w:p w14:paraId="2E4E721D" w14:textId="77777777" w:rsidR="00290555" w:rsidRDefault="00290555" w:rsidP="00290555">
      <w:r>
        <w:t xml:space="preserve">Most of the VLCA practices had between 2 and 9 GPs, with 38% of practices having 2-4 GPs (18) and 33% having 5-9 GPs. Two-fifths of the VLCA practices had an enrolled population of between 2,000 to 5,000 patients (40% or 19 practices), and a third of practices had between 5,000 and 10,000 enrolled patients (33% or 16). </w:t>
      </w:r>
    </w:p>
    <w:p w14:paraId="127C963C" w14:textId="77777777" w:rsidR="00290555" w:rsidRDefault="00290555" w:rsidP="00290555">
      <w:r>
        <w:lastRenderedPageBreak/>
        <w:t>As per the VLCA requirements, at least 50%</w:t>
      </w:r>
      <w:r w:rsidR="00364EAA">
        <w:t xml:space="preserve"> of</w:t>
      </w:r>
      <w:r>
        <w:t xml:space="preserve"> all of the practice</w:t>
      </w:r>
      <w:r w:rsidR="00364EAA">
        <w:t>’</w:t>
      </w:r>
      <w:r>
        <w:t xml:space="preserve">s enrolled populations were classified as High Needs. Two-fifths of the VLCA practices had a very high proportion of High Needs enrolled population, with over 80% of their patients in this group (42% of practices had 80%+ </w:t>
      </w:r>
      <w:proofErr w:type="gramStart"/>
      <w:r>
        <w:t>High</w:t>
      </w:r>
      <w:proofErr w:type="gramEnd"/>
      <w:r>
        <w:t xml:space="preserve"> Needs patients). </w:t>
      </w:r>
    </w:p>
    <w:p w14:paraId="509C2B27" w14:textId="77777777" w:rsidR="00290555" w:rsidRDefault="00290555" w:rsidP="00290555">
      <w:pPr>
        <w:pStyle w:val="Caption"/>
        <w:keepNext/>
      </w:pPr>
      <w:r>
        <w:t xml:space="preserve">Figure </w:t>
      </w:r>
      <w:r w:rsidR="009B410D">
        <w:fldChar w:fldCharType="begin"/>
      </w:r>
      <w:r w:rsidR="007801DA">
        <w:instrText xml:space="preserve"> SEQ Figure \* ARABIC </w:instrText>
      </w:r>
      <w:r w:rsidR="009B410D">
        <w:fldChar w:fldCharType="separate"/>
      </w:r>
      <w:r w:rsidR="00307EAC">
        <w:rPr>
          <w:noProof/>
        </w:rPr>
        <w:t>1</w:t>
      </w:r>
      <w:r w:rsidR="009B410D">
        <w:rPr>
          <w:noProof/>
        </w:rPr>
        <w:fldChar w:fldCharType="end"/>
      </w:r>
      <w:r>
        <w:t>: Proportion of enrolled population characterised as High Needs (n=48)</w:t>
      </w:r>
    </w:p>
    <w:p w14:paraId="12304938" w14:textId="77777777" w:rsidR="00290555" w:rsidRDefault="00290555" w:rsidP="00290555">
      <w:r>
        <w:rPr>
          <w:noProof/>
        </w:rPr>
        <w:drawing>
          <wp:inline distT="0" distB="0" distL="0" distR="0" wp14:anchorId="2D8C2159" wp14:editId="73E82B98">
            <wp:extent cx="5731510" cy="2623931"/>
            <wp:effectExtent l="0" t="0" r="2540" b="508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17598D9" w14:textId="77777777" w:rsidR="00290555" w:rsidRDefault="00936A28" w:rsidP="00290555">
      <w:r>
        <w:t>A</w:t>
      </w:r>
      <w:r w:rsidR="00290555">
        <w:t xml:space="preserve"> third of </w:t>
      </w:r>
      <w:r>
        <w:t xml:space="preserve">the 48 VLCA </w:t>
      </w:r>
      <w:r w:rsidR="00290555">
        <w:t xml:space="preserve">practices had less than 30% </w:t>
      </w:r>
      <w:r w:rsidR="00290555" w:rsidRPr="001D2933">
        <w:t xml:space="preserve">Māori </w:t>
      </w:r>
      <w:r w:rsidR="00290555">
        <w:t>patients</w:t>
      </w:r>
      <w:r>
        <w:t xml:space="preserve">, </w:t>
      </w:r>
      <w:r w:rsidR="00290555">
        <w:t xml:space="preserve">a third had between 30-60% </w:t>
      </w:r>
      <w:r w:rsidR="00290555" w:rsidRPr="001D2933">
        <w:t xml:space="preserve">Māori </w:t>
      </w:r>
      <w:r w:rsidR="00290555">
        <w:t xml:space="preserve">patients, and a third had more than 60% of their enrolled population identifying as </w:t>
      </w:r>
      <w:r w:rsidR="00290555" w:rsidRPr="001D2933">
        <w:t>Māori</w:t>
      </w:r>
      <w:r w:rsidR="00290555">
        <w:t>. Almost half of the practices had less than 10% of their population identifying as Pacific (46% or 22 practices), although seven</w:t>
      </w:r>
      <w:r>
        <w:t xml:space="preserve"> VLCA practices</w:t>
      </w:r>
      <w:r w:rsidR="00290555">
        <w:t xml:space="preserve"> had over 70%. </w:t>
      </w:r>
    </w:p>
    <w:p w14:paraId="77759CD0" w14:textId="77777777" w:rsidR="00290555" w:rsidRDefault="00936A28" w:rsidP="00290555">
      <w:r>
        <w:t>Of the 48 VLCA practices, ten had previously employed a new graduate nurse before the VLCA initiative took place (21%). Eleven practices had previously taught a medical student or a nursing student (23%).</w:t>
      </w:r>
      <w:r w:rsidRPr="00936A28">
        <w:t xml:space="preserve"> </w:t>
      </w:r>
    </w:p>
    <w:p w14:paraId="760DCB8C" w14:textId="77777777" w:rsidR="00CC0D96" w:rsidRDefault="00CC0D96" w:rsidP="00CC0D96">
      <w:pPr>
        <w:pStyle w:val="Heading3"/>
      </w:pPr>
      <w:r>
        <w:t>New Graduate Nurse</w:t>
      </w:r>
    </w:p>
    <w:p w14:paraId="0A46C0F5" w14:textId="77777777" w:rsidR="00CC0D96" w:rsidRDefault="00CC0D96" w:rsidP="00CC0D96">
      <w:r>
        <w:t>The VLCA initiative provided funding for 48 New Graduate Nurses.</w:t>
      </w:r>
    </w:p>
    <w:p w14:paraId="57653DA9" w14:textId="77777777" w:rsidR="00CC0D96" w:rsidRDefault="00CC0D96" w:rsidP="00CC0D96">
      <w:r>
        <w:t>Almost half of the NGNs involved in the initiative identified as NZ European (46% or 22 NGNs). A quarter identified as Māori (25% or 12) and 17% identified as Pacific (8 NGNs).</w:t>
      </w:r>
    </w:p>
    <w:p w14:paraId="61FB613F" w14:textId="77777777" w:rsidR="00CC0D96" w:rsidRDefault="00CC0D96" w:rsidP="00CC0D96">
      <w:pPr>
        <w:pStyle w:val="Caption"/>
        <w:keepNext/>
      </w:pPr>
      <w:r>
        <w:lastRenderedPageBreak/>
        <w:t xml:space="preserve">Figure </w:t>
      </w:r>
      <w:r w:rsidR="009B410D">
        <w:fldChar w:fldCharType="begin"/>
      </w:r>
      <w:r w:rsidR="007801DA">
        <w:instrText xml:space="preserve"> SEQ Figure \* ARABIC </w:instrText>
      </w:r>
      <w:r w:rsidR="009B410D">
        <w:fldChar w:fldCharType="separate"/>
      </w:r>
      <w:r w:rsidR="00307EAC">
        <w:rPr>
          <w:noProof/>
        </w:rPr>
        <w:t>2</w:t>
      </w:r>
      <w:r w:rsidR="009B410D">
        <w:rPr>
          <w:noProof/>
        </w:rPr>
        <w:fldChar w:fldCharType="end"/>
      </w:r>
      <w:r>
        <w:t>: Ethnicity of New Graduate Nurses (n=48)</w:t>
      </w:r>
    </w:p>
    <w:p w14:paraId="03CE9A76" w14:textId="77777777" w:rsidR="00CC0D96" w:rsidRDefault="00CC0D96" w:rsidP="00CC0D96">
      <w:r>
        <w:rPr>
          <w:noProof/>
        </w:rPr>
        <w:drawing>
          <wp:inline distT="0" distB="0" distL="0" distR="0" wp14:anchorId="2CDD6560" wp14:editId="4486D0CB">
            <wp:extent cx="5731510" cy="2679589"/>
            <wp:effectExtent l="0" t="0" r="2540" b="6985"/>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8085BEA" w14:textId="77777777" w:rsidR="00B23D3B" w:rsidRDefault="00936A28" w:rsidP="00936A28">
      <w:r>
        <w:t>Almost half of the NGNs involved in the initiative were between 20 and 30 years of age (48% or 23 NGNs). A quarter were aged between 30 and 50 years (23% or 11 NGNs), while 6% of the NGNs were over 50 years of age (3 NGNs).</w:t>
      </w:r>
    </w:p>
    <w:p w14:paraId="63BAD894" w14:textId="77777777" w:rsidR="00F35B0C" w:rsidRDefault="00F35B0C" w:rsidP="00644EA5">
      <w:pPr>
        <w:pStyle w:val="Heading2"/>
      </w:pPr>
      <w:bookmarkStart w:id="16" w:name="_Toc415657671"/>
      <w:r>
        <w:t>Structure of th</w:t>
      </w:r>
      <w:r w:rsidR="00644EA5">
        <w:t>is</w:t>
      </w:r>
      <w:r>
        <w:t xml:space="preserve"> report</w:t>
      </w:r>
      <w:bookmarkEnd w:id="16"/>
    </w:p>
    <w:p w14:paraId="121384ED" w14:textId="77777777" w:rsidR="00B23D3B" w:rsidRDefault="00DE3053" w:rsidP="00DE3053">
      <w:r>
        <w:t xml:space="preserve">Following this introduction, this report will provide an overview of the </w:t>
      </w:r>
      <w:r w:rsidR="002858C3">
        <w:t xml:space="preserve">evaluation </w:t>
      </w:r>
      <w:r>
        <w:t>aims and objectives</w:t>
      </w:r>
      <w:r w:rsidR="002858C3">
        <w:t>, and approach</w:t>
      </w:r>
      <w:r>
        <w:t xml:space="preserve">. </w:t>
      </w:r>
      <w:r w:rsidR="00B23D3B">
        <w:t>The evaluation findings are presented in three key sections that encompass the evaluation aims and objectives; key impacts</w:t>
      </w:r>
      <w:r w:rsidR="00C94312">
        <w:t>,</w:t>
      </w:r>
      <w:r w:rsidR="00B23D3B">
        <w:t xml:space="preserve"> </w:t>
      </w:r>
      <w:r w:rsidR="00C94312">
        <w:t xml:space="preserve">implementation of the scheme, </w:t>
      </w:r>
      <w:r w:rsidR="00B23D3B">
        <w:t xml:space="preserve">and ideas for modifications and improvements. </w:t>
      </w:r>
      <w:r w:rsidR="002F0C71">
        <w:t xml:space="preserve">This approach supports the integration of the multiple data sets and allows the evaluation to move beyond the findings </w:t>
      </w:r>
      <w:r w:rsidR="002858C3">
        <w:t>of</w:t>
      </w:r>
      <w:r w:rsidR="002F0C71">
        <w:t xml:space="preserve"> individual data sets to fully address the aims and objectives of the evaluation. Following this, we identify key </w:t>
      </w:r>
      <w:r w:rsidR="002858C3">
        <w:t xml:space="preserve">strengths and limitations, </w:t>
      </w:r>
      <w:r w:rsidR="002F0C71">
        <w:t xml:space="preserve">and conclusions. </w:t>
      </w:r>
    </w:p>
    <w:p w14:paraId="11DF45CD" w14:textId="77777777" w:rsidR="00B94248" w:rsidRDefault="00B94248" w:rsidP="002F0C71"/>
    <w:p w14:paraId="3D858AD0" w14:textId="77777777" w:rsidR="00AF0548" w:rsidRDefault="00AF0548">
      <w:pPr>
        <w:spacing w:after="200" w:line="276" w:lineRule="auto"/>
        <w:rPr>
          <w:rFonts w:cs="Arial"/>
          <w:b/>
          <w:smallCaps/>
          <w:color w:val="006E95"/>
          <w:spacing w:val="20"/>
          <w:kern w:val="28"/>
          <w:sz w:val="32"/>
          <w:szCs w:val="28"/>
        </w:rPr>
      </w:pPr>
      <w:r>
        <w:br w:type="page"/>
      </w:r>
    </w:p>
    <w:p w14:paraId="472B1006" w14:textId="77777777" w:rsidR="007E14CF" w:rsidRDefault="00D30816" w:rsidP="00D30816">
      <w:pPr>
        <w:pStyle w:val="Heading1"/>
      </w:pPr>
      <w:bookmarkStart w:id="17" w:name="_Toc415657672"/>
      <w:r>
        <w:lastRenderedPageBreak/>
        <w:t>Evaluation approach and methods</w:t>
      </w:r>
      <w:bookmarkEnd w:id="17"/>
    </w:p>
    <w:p w14:paraId="5A129470" w14:textId="77777777" w:rsidR="00F54037" w:rsidRDefault="00F54037" w:rsidP="00644EA5">
      <w:pPr>
        <w:pStyle w:val="Heading2"/>
      </w:pPr>
      <w:bookmarkStart w:id="18" w:name="_Toc415657673"/>
      <w:r>
        <w:t>Evaluation aims and objectives</w:t>
      </w:r>
      <w:bookmarkEnd w:id="18"/>
    </w:p>
    <w:p w14:paraId="15D579DC" w14:textId="77777777" w:rsidR="00BE09F5" w:rsidRDefault="00BE09F5" w:rsidP="00BE09F5">
      <w:pPr>
        <w:rPr>
          <w:bCs/>
        </w:rPr>
      </w:pPr>
      <w:r w:rsidRPr="00354A7C">
        <w:rPr>
          <w:bCs/>
        </w:rPr>
        <w:t>Th</w:t>
      </w:r>
      <w:r w:rsidR="00FF11DB">
        <w:rPr>
          <w:bCs/>
        </w:rPr>
        <w:t>e</w:t>
      </w:r>
      <w:r w:rsidRPr="00354A7C">
        <w:rPr>
          <w:bCs/>
        </w:rPr>
        <w:t xml:space="preserve"> </w:t>
      </w:r>
      <w:r>
        <w:rPr>
          <w:bCs/>
        </w:rPr>
        <w:t>evaluation aim</w:t>
      </w:r>
      <w:r w:rsidR="00FF11DB">
        <w:rPr>
          <w:bCs/>
        </w:rPr>
        <w:t>ed</w:t>
      </w:r>
      <w:r>
        <w:rPr>
          <w:bCs/>
        </w:rPr>
        <w:t xml:space="preserve"> to conduct a process and impact evaluation of the one-off funding of </w:t>
      </w:r>
      <w:r w:rsidR="00B152D1">
        <w:rPr>
          <w:bCs/>
        </w:rPr>
        <w:t>the NGN</w:t>
      </w:r>
      <w:r>
        <w:rPr>
          <w:bCs/>
        </w:rPr>
        <w:t xml:space="preserve"> employment in VLCA general practices. The objectives of the process evaluation are:</w:t>
      </w:r>
    </w:p>
    <w:p w14:paraId="39B0B959" w14:textId="77777777" w:rsidR="00BE09F5" w:rsidRPr="00F9329A" w:rsidRDefault="00BE09F5" w:rsidP="00481E6E">
      <w:pPr>
        <w:pStyle w:val="ListParagraph"/>
        <w:numPr>
          <w:ilvl w:val="0"/>
          <w:numId w:val="3"/>
        </w:numPr>
        <w:rPr>
          <w:bCs/>
        </w:rPr>
      </w:pPr>
      <w:r w:rsidRPr="00F9329A">
        <w:t>To evaluate the implementation of the scheme by the VLCA practices, PHOs and DHBs,</w:t>
      </w:r>
    </w:p>
    <w:p w14:paraId="4BC36FA9" w14:textId="77777777" w:rsidR="00BE09F5" w:rsidRPr="00F9329A" w:rsidRDefault="00BE09F5" w:rsidP="00481E6E">
      <w:pPr>
        <w:pStyle w:val="ListParagraph"/>
        <w:numPr>
          <w:ilvl w:val="0"/>
          <w:numId w:val="3"/>
        </w:numPr>
        <w:rPr>
          <w:bCs/>
        </w:rPr>
      </w:pPr>
      <w:r w:rsidRPr="00F9329A">
        <w:t>To evaluate the professional development support provided to new graduates nurses,</w:t>
      </w:r>
    </w:p>
    <w:p w14:paraId="239F888D" w14:textId="77777777" w:rsidR="00BE09F5" w:rsidRPr="00F9329A" w:rsidRDefault="00BE09F5" w:rsidP="00481E6E">
      <w:pPr>
        <w:pStyle w:val="ListParagraph"/>
        <w:numPr>
          <w:ilvl w:val="0"/>
          <w:numId w:val="3"/>
        </w:numPr>
        <w:rPr>
          <w:bCs/>
        </w:rPr>
      </w:pPr>
      <w:r w:rsidRPr="00F9329A">
        <w:t>Identify key learnings from the VLCA business owners and other stakeholders and</w:t>
      </w:r>
    </w:p>
    <w:p w14:paraId="3A46611D" w14:textId="77777777" w:rsidR="00BE09F5" w:rsidRPr="00F9329A" w:rsidRDefault="00BE09F5" w:rsidP="00481E6E">
      <w:pPr>
        <w:pStyle w:val="ListParagraph"/>
        <w:numPr>
          <w:ilvl w:val="0"/>
          <w:numId w:val="3"/>
        </w:numPr>
      </w:pPr>
      <w:r w:rsidRPr="00F9329A">
        <w:t xml:space="preserve">Identify ideas for modifications and improvements to the scheme and its implementation. </w:t>
      </w:r>
    </w:p>
    <w:p w14:paraId="390871D9" w14:textId="77777777" w:rsidR="00BE09F5" w:rsidRDefault="00BE09F5" w:rsidP="00BE09F5">
      <w:pPr>
        <w:rPr>
          <w:bCs/>
        </w:rPr>
      </w:pPr>
      <w:r>
        <w:rPr>
          <w:bCs/>
        </w:rPr>
        <w:t xml:space="preserve">The impact evaluation </w:t>
      </w:r>
      <w:r w:rsidR="00FF11DB">
        <w:rPr>
          <w:bCs/>
        </w:rPr>
        <w:t xml:space="preserve">objectives identify the impact of the </w:t>
      </w:r>
      <w:r w:rsidR="006323A6">
        <w:rPr>
          <w:bCs/>
        </w:rPr>
        <w:t>scheme</w:t>
      </w:r>
      <w:r w:rsidR="00FF11DB">
        <w:rPr>
          <w:bCs/>
        </w:rPr>
        <w:t xml:space="preserve"> on</w:t>
      </w:r>
      <w:r>
        <w:rPr>
          <w:bCs/>
        </w:rPr>
        <w:t>:</w:t>
      </w:r>
    </w:p>
    <w:p w14:paraId="14046348" w14:textId="77777777" w:rsidR="00BE09F5" w:rsidRDefault="00FF11DB" w:rsidP="00481E6E">
      <w:pPr>
        <w:pStyle w:val="ListParagraph"/>
        <w:numPr>
          <w:ilvl w:val="0"/>
          <w:numId w:val="4"/>
        </w:numPr>
        <w:rPr>
          <w:bCs/>
        </w:rPr>
      </w:pPr>
      <w:r>
        <w:rPr>
          <w:bCs/>
        </w:rPr>
        <w:t>The w</w:t>
      </w:r>
      <w:r w:rsidR="00BE09F5">
        <w:rPr>
          <w:bCs/>
        </w:rPr>
        <w:t>orking relationships between the practices, PHOs and DHBs,</w:t>
      </w:r>
    </w:p>
    <w:p w14:paraId="076185A5" w14:textId="77777777" w:rsidR="00BE09F5" w:rsidRDefault="00BE09F5" w:rsidP="00481E6E">
      <w:pPr>
        <w:pStyle w:val="ListParagraph"/>
        <w:numPr>
          <w:ilvl w:val="0"/>
          <w:numId w:val="4"/>
        </w:numPr>
        <w:rPr>
          <w:bCs/>
        </w:rPr>
      </w:pPr>
      <w:r>
        <w:rPr>
          <w:bCs/>
        </w:rPr>
        <w:t xml:space="preserve">Service delivery and patient care in general practice, </w:t>
      </w:r>
    </w:p>
    <w:p w14:paraId="4350BF2B" w14:textId="77777777" w:rsidR="00BE09F5" w:rsidRDefault="00BE09F5" w:rsidP="00481E6E">
      <w:pPr>
        <w:pStyle w:val="ListParagraph"/>
        <w:numPr>
          <w:ilvl w:val="0"/>
          <w:numId w:val="4"/>
        </w:numPr>
        <w:rPr>
          <w:bCs/>
        </w:rPr>
      </w:pPr>
      <w:r>
        <w:rPr>
          <w:bCs/>
        </w:rPr>
        <w:t xml:space="preserve">The sustainability of VLCA practices, </w:t>
      </w:r>
    </w:p>
    <w:p w14:paraId="0BC29F41" w14:textId="77777777" w:rsidR="00BE09F5" w:rsidRDefault="00BE09F5" w:rsidP="00481E6E">
      <w:pPr>
        <w:pStyle w:val="ListParagraph"/>
        <w:numPr>
          <w:ilvl w:val="0"/>
          <w:numId w:val="4"/>
        </w:numPr>
        <w:rPr>
          <w:bCs/>
        </w:rPr>
      </w:pPr>
      <w:r>
        <w:rPr>
          <w:bCs/>
        </w:rPr>
        <w:t>The workforce of the VLCA practices and</w:t>
      </w:r>
    </w:p>
    <w:p w14:paraId="446430CB" w14:textId="77777777" w:rsidR="00BE09F5" w:rsidRDefault="00BE09F5" w:rsidP="00481E6E">
      <w:pPr>
        <w:pStyle w:val="ListParagraph"/>
        <w:numPr>
          <w:ilvl w:val="0"/>
          <w:numId w:val="4"/>
        </w:numPr>
        <w:rPr>
          <w:bCs/>
        </w:rPr>
      </w:pPr>
      <w:r>
        <w:rPr>
          <w:bCs/>
        </w:rPr>
        <w:t>The new graduate nurses’ professional development and career decisions.</w:t>
      </w:r>
    </w:p>
    <w:p w14:paraId="52B0ADB8" w14:textId="77777777" w:rsidR="000F387B" w:rsidRDefault="000F387B" w:rsidP="000F387B">
      <w:pPr>
        <w:pStyle w:val="ListParagraph"/>
        <w:ind w:left="720"/>
        <w:rPr>
          <w:bCs/>
        </w:rPr>
      </w:pPr>
    </w:p>
    <w:p w14:paraId="5F053ABE" w14:textId="77777777" w:rsidR="003509B1" w:rsidRDefault="003509B1" w:rsidP="00644EA5">
      <w:pPr>
        <w:pStyle w:val="Heading2"/>
      </w:pPr>
      <w:bookmarkStart w:id="19" w:name="_Toc415657674"/>
      <w:r>
        <w:t xml:space="preserve">Evaluation approach </w:t>
      </w:r>
      <w:r w:rsidR="00DA3792">
        <w:t>and f</w:t>
      </w:r>
      <w:r w:rsidR="000E2F14">
        <w:t>ramework</w:t>
      </w:r>
      <w:bookmarkEnd w:id="19"/>
    </w:p>
    <w:p w14:paraId="66AB6F20" w14:textId="77777777" w:rsidR="00BE09F5" w:rsidRDefault="00BE09F5" w:rsidP="00BE09F5">
      <w:pPr>
        <w:rPr>
          <w:lang w:val="en-AU" w:eastAsia="en-US"/>
        </w:rPr>
      </w:pPr>
      <w:r>
        <w:rPr>
          <w:lang w:val="en-AU" w:eastAsia="en-US"/>
        </w:rPr>
        <w:t>The evaluation draws on the principles of Realistic Evaluation</w:t>
      </w:r>
      <w:r w:rsidR="001659DB">
        <w:rPr>
          <w:lang w:val="en-AU" w:eastAsia="en-US"/>
        </w:rPr>
        <w:t xml:space="preserve"> </w:t>
      </w:r>
      <w:r w:rsidR="009B410D">
        <w:rPr>
          <w:lang w:val="en-AU" w:eastAsia="en-US"/>
        </w:rPr>
        <w:fldChar w:fldCharType="begin"/>
      </w:r>
      <w:r w:rsidR="001659DB">
        <w:rPr>
          <w:lang w:val="en-AU" w:eastAsia="en-US"/>
        </w:rPr>
        <w:instrText>ADDIN RW.CITE{{333 Pawson,R. 1997}}</w:instrText>
      </w:r>
      <w:r w:rsidR="009B410D">
        <w:rPr>
          <w:lang w:val="en-AU" w:eastAsia="en-US"/>
        </w:rPr>
        <w:fldChar w:fldCharType="separate"/>
      </w:r>
      <w:r w:rsidR="00146C56" w:rsidRPr="00146C56">
        <w:rPr>
          <w:lang w:val="en-AU" w:eastAsia="en-US"/>
        </w:rPr>
        <w:t>(3)</w:t>
      </w:r>
      <w:r w:rsidR="009B410D">
        <w:rPr>
          <w:lang w:val="en-AU" w:eastAsia="en-US"/>
        </w:rPr>
        <w:fldChar w:fldCharType="end"/>
      </w:r>
      <w:r w:rsidR="001659DB">
        <w:rPr>
          <w:lang w:val="en-AU" w:eastAsia="en-US"/>
        </w:rPr>
        <w:t>.</w:t>
      </w:r>
      <w:r>
        <w:rPr>
          <w:lang w:val="en-AU" w:eastAsia="en-US"/>
        </w:rPr>
        <w:t xml:space="preserve"> </w:t>
      </w:r>
    </w:p>
    <w:p w14:paraId="59D3123D" w14:textId="77777777" w:rsidR="00BE09F5" w:rsidRDefault="00BE09F5" w:rsidP="00BE09F5">
      <w:pPr>
        <w:spacing w:after="60"/>
        <w:rPr>
          <w:rFonts w:cs="Arial"/>
        </w:rPr>
      </w:pPr>
      <w:r w:rsidRPr="00DD3943">
        <w:t xml:space="preserve">Realistic evaluation </w:t>
      </w:r>
      <w:r w:rsidRPr="00DD3943">
        <w:rPr>
          <w:rFonts w:cs="Arial"/>
        </w:rPr>
        <w:t xml:space="preserve">looks for regularity in outcomes and mechanisms, but equally it looks to understand the role of context and explore differences. The approach </w:t>
      </w:r>
      <w:r>
        <w:rPr>
          <w:rFonts w:cs="Arial"/>
        </w:rPr>
        <w:t xml:space="preserve">seeks to understand </w:t>
      </w:r>
      <w:r w:rsidRPr="00DD3943">
        <w:rPr>
          <w:rFonts w:cs="Arial"/>
        </w:rPr>
        <w:t xml:space="preserve">how mechanisms (e.g. </w:t>
      </w:r>
      <w:r>
        <w:rPr>
          <w:rFonts w:cs="Arial"/>
        </w:rPr>
        <w:t>the implementation of the new graduate nurse funding</w:t>
      </w:r>
      <w:r w:rsidRPr="00DD3943">
        <w:rPr>
          <w:rFonts w:cs="Arial"/>
        </w:rPr>
        <w:t xml:space="preserve">) produce outcomes (both intended and unintended) under specific, contextual circumstances (e.g. variations in </w:t>
      </w:r>
      <w:r>
        <w:rPr>
          <w:rFonts w:cs="Arial"/>
        </w:rPr>
        <w:t xml:space="preserve">the </w:t>
      </w:r>
      <w:r w:rsidR="00462BE7">
        <w:rPr>
          <w:rFonts w:cs="Arial"/>
        </w:rPr>
        <w:t>characteristics</w:t>
      </w:r>
      <w:r>
        <w:rPr>
          <w:rFonts w:cs="Arial"/>
        </w:rPr>
        <w:t xml:space="preserve"> of practice settings).</w:t>
      </w:r>
      <w:r w:rsidR="00FF11DB">
        <w:rPr>
          <w:rFonts w:cs="Arial"/>
        </w:rPr>
        <w:t xml:space="preserve"> </w:t>
      </w:r>
      <w:r w:rsidR="00462BE7">
        <w:rPr>
          <w:rFonts w:cs="Arial"/>
        </w:rPr>
        <w:t>This type of evaluation is best implemented through a mixed methods approach</w:t>
      </w:r>
      <w:r w:rsidR="00B152D1">
        <w:rPr>
          <w:rFonts w:cs="Arial"/>
        </w:rPr>
        <w:t xml:space="preserve">. The overarching approach, including the principles guiding this evaluation and the methods are identified in </w:t>
      </w:r>
      <w:r w:rsidR="009B410D">
        <w:rPr>
          <w:rFonts w:cs="Arial"/>
        </w:rPr>
        <w:fldChar w:fldCharType="begin"/>
      </w:r>
      <w:r w:rsidR="00462BE7">
        <w:rPr>
          <w:rFonts w:cs="Arial"/>
        </w:rPr>
        <w:instrText xml:space="preserve"> REF _Ref414954869 \h </w:instrText>
      </w:r>
      <w:r w:rsidR="009B410D">
        <w:rPr>
          <w:rFonts w:cs="Arial"/>
        </w:rPr>
      </w:r>
      <w:r w:rsidR="009B410D">
        <w:rPr>
          <w:rFonts w:cs="Arial"/>
        </w:rPr>
        <w:fldChar w:fldCharType="separate"/>
      </w:r>
      <w:r w:rsidR="00307EAC">
        <w:t xml:space="preserve">Figure </w:t>
      </w:r>
      <w:r w:rsidR="00307EAC">
        <w:rPr>
          <w:noProof/>
        </w:rPr>
        <w:t>3</w:t>
      </w:r>
      <w:r w:rsidR="009B410D">
        <w:rPr>
          <w:rFonts w:cs="Arial"/>
        </w:rPr>
        <w:fldChar w:fldCharType="end"/>
      </w:r>
      <w:r w:rsidR="00462BE7">
        <w:rPr>
          <w:rFonts w:cs="Arial"/>
        </w:rPr>
        <w:t>.</w:t>
      </w:r>
    </w:p>
    <w:p w14:paraId="116F926B" w14:textId="77777777" w:rsidR="00FF11DB" w:rsidRDefault="00FF11DB" w:rsidP="00BE09F5">
      <w:pPr>
        <w:spacing w:after="60"/>
      </w:pPr>
    </w:p>
    <w:p w14:paraId="0050C7B3" w14:textId="77777777" w:rsidR="00FF11DB" w:rsidRDefault="00FF11DB" w:rsidP="00FF11DB">
      <w:pPr>
        <w:pStyle w:val="Caption"/>
        <w:keepNext/>
      </w:pPr>
      <w:bookmarkStart w:id="20" w:name="_Ref414954869"/>
      <w:r>
        <w:lastRenderedPageBreak/>
        <w:t xml:space="preserve">Figure </w:t>
      </w:r>
      <w:r w:rsidR="009B410D">
        <w:fldChar w:fldCharType="begin"/>
      </w:r>
      <w:r w:rsidR="007801DA">
        <w:instrText xml:space="preserve"> SEQ Figure \* ARABIC </w:instrText>
      </w:r>
      <w:r w:rsidR="009B410D">
        <w:fldChar w:fldCharType="separate"/>
      </w:r>
      <w:r w:rsidR="00307EAC">
        <w:rPr>
          <w:noProof/>
        </w:rPr>
        <w:t>3</w:t>
      </w:r>
      <w:r w:rsidR="009B410D">
        <w:rPr>
          <w:noProof/>
        </w:rPr>
        <w:fldChar w:fldCharType="end"/>
      </w:r>
      <w:bookmarkEnd w:id="20"/>
      <w:r>
        <w:t xml:space="preserve">: Overall </w:t>
      </w:r>
      <w:r w:rsidR="00B152D1">
        <w:t xml:space="preserve">evaluation </w:t>
      </w:r>
      <w:r>
        <w:t>approach and key methods</w:t>
      </w:r>
    </w:p>
    <w:p w14:paraId="3609D3AD" w14:textId="77777777" w:rsidR="00FF11DB" w:rsidRDefault="00FF11DB" w:rsidP="00BE09F5">
      <w:pPr>
        <w:spacing w:after="60"/>
        <w:rPr>
          <w:rFonts w:cs="Arial"/>
        </w:rPr>
      </w:pPr>
      <w:r w:rsidRPr="00FF11DB">
        <w:rPr>
          <w:rFonts w:cs="Arial"/>
          <w:noProof/>
        </w:rPr>
        <w:drawing>
          <wp:inline distT="0" distB="0" distL="0" distR="0" wp14:anchorId="0304C913" wp14:editId="69A2A2C2">
            <wp:extent cx="5731510" cy="3177540"/>
            <wp:effectExtent l="0" t="0" r="0" b="381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2" cstate="print"/>
                    <a:stretch>
                      <a:fillRect/>
                    </a:stretch>
                  </pic:blipFill>
                  <pic:spPr>
                    <a:xfrm>
                      <a:off x="0" y="0"/>
                      <a:ext cx="5731510" cy="3177540"/>
                    </a:xfrm>
                    <a:prstGeom prst="rect">
                      <a:avLst/>
                    </a:prstGeom>
                  </pic:spPr>
                </pic:pic>
              </a:graphicData>
            </a:graphic>
          </wp:inline>
        </w:drawing>
      </w:r>
    </w:p>
    <w:p w14:paraId="320A6FCA" w14:textId="77777777" w:rsidR="00B152D1" w:rsidRDefault="00B152D1" w:rsidP="00BE09F5">
      <w:pPr>
        <w:spacing w:after="60"/>
        <w:rPr>
          <w:rFonts w:cs="Arial"/>
        </w:rPr>
      </w:pPr>
      <w:r>
        <w:rPr>
          <w:rFonts w:cs="Arial"/>
        </w:rPr>
        <w:t xml:space="preserve">The evaluation design and context phase facilitated stakeholder engagement, refinement of the evaluation plan and the development of an evaluation framework. This was important for ensuring the feasibility, utility, propriety and accuracy of the evaluation. </w:t>
      </w:r>
    </w:p>
    <w:p w14:paraId="556F5560" w14:textId="77777777" w:rsidR="00B37A1A" w:rsidRDefault="00462BE7" w:rsidP="00BE09F5">
      <w:pPr>
        <w:spacing w:after="60"/>
        <w:rPr>
          <w:rFonts w:cs="Arial"/>
        </w:rPr>
      </w:pPr>
      <w:r>
        <w:rPr>
          <w:rFonts w:cs="Arial"/>
        </w:rPr>
        <w:t>T</w:t>
      </w:r>
      <w:r w:rsidR="00BE09F5">
        <w:rPr>
          <w:rFonts w:cs="Arial"/>
        </w:rPr>
        <w:t>he across site analysis used practice profiling, document analysis</w:t>
      </w:r>
      <w:r w:rsidR="000622CA">
        <w:rPr>
          <w:rFonts w:cs="Arial"/>
        </w:rPr>
        <w:t>,</w:t>
      </w:r>
      <w:r w:rsidR="00BE09F5">
        <w:rPr>
          <w:rFonts w:cs="Arial"/>
        </w:rPr>
        <w:t xml:space="preserve"> an online</w:t>
      </w:r>
      <w:r w:rsidR="0014289D">
        <w:rPr>
          <w:rFonts w:cs="Arial"/>
        </w:rPr>
        <w:t xml:space="preserve"> mid-point</w:t>
      </w:r>
      <w:r w:rsidR="00BE09F5">
        <w:rPr>
          <w:rFonts w:cs="Arial"/>
        </w:rPr>
        <w:t xml:space="preserve"> survey with key stakehold</w:t>
      </w:r>
      <w:r w:rsidR="000622CA">
        <w:rPr>
          <w:rFonts w:cs="Arial"/>
        </w:rPr>
        <w:t>ers from the VLCA practices,</w:t>
      </w:r>
      <w:r w:rsidR="00BE09F5">
        <w:rPr>
          <w:rFonts w:cs="Arial"/>
        </w:rPr>
        <w:t xml:space="preserve"> their partnering Primary Healthcare Organisations and District Health Boards</w:t>
      </w:r>
      <w:r w:rsidR="000622CA">
        <w:rPr>
          <w:rFonts w:cs="Arial"/>
        </w:rPr>
        <w:t>, and a follow up survey with NGNs and practice managers at the end of the scheme</w:t>
      </w:r>
      <w:r w:rsidR="00BE09F5">
        <w:rPr>
          <w:rFonts w:cs="Arial"/>
        </w:rPr>
        <w:t>. The within site</w:t>
      </w:r>
      <w:r w:rsidR="000622CA">
        <w:rPr>
          <w:rFonts w:cs="Arial"/>
        </w:rPr>
        <w:t xml:space="preserve"> analysis </w:t>
      </w:r>
      <w:r w:rsidR="00B37A1A">
        <w:rPr>
          <w:rFonts w:cs="Arial"/>
        </w:rPr>
        <w:t>involved site visits to five purposively selected practices. The site visits involved</w:t>
      </w:r>
      <w:r w:rsidR="000622CA">
        <w:rPr>
          <w:rFonts w:cs="Arial"/>
        </w:rPr>
        <w:t xml:space="preserve"> interviews </w:t>
      </w:r>
      <w:r w:rsidR="00B37A1A">
        <w:rPr>
          <w:rFonts w:cs="Arial"/>
        </w:rPr>
        <w:t xml:space="preserve">with practice staff, PHO and DHB stakeholders, </w:t>
      </w:r>
      <w:r w:rsidR="000622CA" w:rsidRPr="00462BE7">
        <w:rPr>
          <w:rFonts w:cs="Arial"/>
        </w:rPr>
        <w:t xml:space="preserve">and </w:t>
      </w:r>
      <w:r w:rsidR="00B37A1A">
        <w:rPr>
          <w:rFonts w:cs="Arial"/>
        </w:rPr>
        <w:t xml:space="preserve">an analysis of a small amount of quantitative data that was made available for the evaluation.  </w:t>
      </w:r>
      <w:r w:rsidR="00CA4A7E">
        <w:rPr>
          <w:rFonts w:cs="Arial"/>
        </w:rPr>
        <w:t xml:space="preserve">Full details on the data collection and analysis are provided in Appendix One. </w:t>
      </w:r>
    </w:p>
    <w:p w14:paraId="2B2B182C" w14:textId="77777777" w:rsidR="00BE09F5" w:rsidRDefault="00B37A1A" w:rsidP="00B37A1A">
      <w:pPr>
        <w:pStyle w:val="Heading3"/>
      </w:pPr>
      <w:r>
        <w:t>Evaluating implementation and impacts</w:t>
      </w:r>
    </w:p>
    <w:p w14:paraId="2F4B10B9" w14:textId="77777777" w:rsidR="00F075B5" w:rsidRDefault="00B37A1A" w:rsidP="00BE09F5">
      <w:pPr>
        <w:spacing w:after="60"/>
        <w:rPr>
          <w:rFonts w:cs="Arial"/>
        </w:rPr>
      </w:pPr>
      <w:r>
        <w:rPr>
          <w:rFonts w:cs="Arial"/>
        </w:rPr>
        <w:t>The evaluation design and context phase identified a set of key process and outcome measures that were explored through the mixed methods approach (</w:t>
      </w:r>
      <w:r w:rsidR="009B410D">
        <w:rPr>
          <w:rFonts w:cs="Arial"/>
        </w:rPr>
        <w:fldChar w:fldCharType="begin"/>
      </w:r>
      <w:r w:rsidR="009B6C1D">
        <w:rPr>
          <w:rFonts w:cs="Arial"/>
        </w:rPr>
        <w:instrText xml:space="preserve"> REF _Ref412468121 \h </w:instrText>
      </w:r>
      <w:r w:rsidR="009B410D">
        <w:rPr>
          <w:rFonts w:cs="Arial"/>
        </w:rPr>
      </w:r>
      <w:r w:rsidR="009B410D">
        <w:rPr>
          <w:rFonts w:cs="Arial"/>
        </w:rPr>
        <w:fldChar w:fldCharType="separate"/>
      </w:r>
      <w:r w:rsidR="00307EAC">
        <w:t xml:space="preserve">Figure </w:t>
      </w:r>
      <w:r w:rsidR="00307EAC">
        <w:rPr>
          <w:noProof/>
        </w:rPr>
        <w:t>4</w:t>
      </w:r>
      <w:r w:rsidR="009B410D">
        <w:rPr>
          <w:rFonts w:cs="Arial"/>
        </w:rPr>
        <w:fldChar w:fldCharType="end"/>
      </w:r>
      <w:r>
        <w:rPr>
          <w:rFonts w:cs="Arial"/>
        </w:rPr>
        <w:t xml:space="preserve">). The framework recognises the influence of context and implementation on the impact of the scheme. The impact measures </w:t>
      </w:r>
      <w:r w:rsidR="002A736B">
        <w:rPr>
          <w:rFonts w:cs="Arial"/>
        </w:rPr>
        <w:t xml:space="preserve">are </w:t>
      </w:r>
      <w:r w:rsidR="00627CC7">
        <w:rPr>
          <w:rFonts w:cs="Arial"/>
        </w:rPr>
        <w:t>divided among impacts on NGN</w:t>
      </w:r>
      <w:r w:rsidR="00462BE7">
        <w:rPr>
          <w:rFonts w:cs="Arial"/>
        </w:rPr>
        <w:t>s</w:t>
      </w:r>
      <w:r w:rsidR="00627CC7">
        <w:rPr>
          <w:rFonts w:cs="Arial"/>
        </w:rPr>
        <w:t xml:space="preserve"> and the impacts on VLCA practices, the two </w:t>
      </w:r>
      <w:r w:rsidR="00462BE7">
        <w:rPr>
          <w:rFonts w:cs="Arial"/>
        </w:rPr>
        <w:t xml:space="preserve">key areas of </w:t>
      </w:r>
      <w:r w:rsidR="00627CC7">
        <w:rPr>
          <w:rFonts w:cs="Arial"/>
        </w:rPr>
        <w:t xml:space="preserve">intended benefits from the scheme. They range from immediate impacts such as the </w:t>
      </w:r>
      <w:r w:rsidR="00CA4A7E">
        <w:rPr>
          <w:rFonts w:cs="Arial"/>
        </w:rPr>
        <w:t xml:space="preserve">immediate primary care </w:t>
      </w:r>
      <w:r w:rsidR="00627CC7">
        <w:rPr>
          <w:rFonts w:cs="Arial"/>
        </w:rPr>
        <w:t xml:space="preserve">experience of the NGN and the practices involved to </w:t>
      </w:r>
      <w:r w:rsidR="00462BE7">
        <w:rPr>
          <w:rFonts w:cs="Arial"/>
        </w:rPr>
        <w:t>longer term change</w:t>
      </w:r>
      <w:r w:rsidR="00CA4A7E">
        <w:rPr>
          <w:rFonts w:cs="Arial"/>
        </w:rPr>
        <w:t>,</w:t>
      </w:r>
      <w:r w:rsidR="00627CC7">
        <w:rPr>
          <w:rFonts w:cs="Arial"/>
        </w:rPr>
        <w:t xml:space="preserve"> such as the sustainability of the nursing workforce and VLCA practices.</w:t>
      </w:r>
      <w:r w:rsidR="001907B8">
        <w:rPr>
          <w:rFonts w:cs="Arial"/>
        </w:rPr>
        <w:t xml:space="preserve"> </w:t>
      </w:r>
    </w:p>
    <w:p w14:paraId="6DCD60A5" w14:textId="77777777" w:rsidR="009B6C1D" w:rsidRDefault="009B6C1D" w:rsidP="00BE09F5">
      <w:pPr>
        <w:spacing w:after="60"/>
      </w:pPr>
    </w:p>
    <w:p w14:paraId="7B01992B" w14:textId="77777777" w:rsidR="009B6C1D" w:rsidRDefault="009B6C1D" w:rsidP="009B6C1D">
      <w:pPr>
        <w:pStyle w:val="Caption"/>
        <w:keepNext/>
      </w:pPr>
      <w:bookmarkStart w:id="21" w:name="_Ref412468121"/>
      <w:r>
        <w:lastRenderedPageBreak/>
        <w:t xml:space="preserve">Figure </w:t>
      </w:r>
      <w:r w:rsidR="009B410D">
        <w:fldChar w:fldCharType="begin"/>
      </w:r>
      <w:r w:rsidR="007801DA">
        <w:instrText xml:space="preserve"> SEQ Figure \* ARABIC </w:instrText>
      </w:r>
      <w:r w:rsidR="009B410D">
        <w:fldChar w:fldCharType="separate"/>
      </w:r>
      <w:r w:rsidR="00307EAC">
        <w:rPr>
          <w:noProof/>
        </w:rPr>
        <w:t>4</w:t>
      </w:r>
      <w:r w:rsidR="009B410D">
        <w:rPr>
          <w:noProof/>
        </w:rPr>
        <w:fldChar w:fldCharType="end"/>
      </w:r>
      <w:bookmarkEnd w:id="21"/>
      <w:r>
        <w:t>: Overview of process and impact measures</w:t>
      </w:r>
    </w:p>
    <w:p w14:paraId="075DF0F3" w14:textId="77777777" w:rsidR="009B6C1D" w:rsidRDefault="008A3EDE" w:rsidP="00BE09F5">
      <w:pPr>
        <w:spacing w:after="60"/>
        <w:rPr>
          <w:rFonts w:cs="Arial"/>
        </w:rPr>
      </w:pPr>
      <w:r>
        <w:object w:dxaOrig="20526" w:dyaOrig="21168" w14:anchorId="1F4AE9E9">
          <v:shape id="_x0000_i1036" type="#_x0000_t75" style="width:459pt;height:410.4pt" o:ole="">
            <v:imagedata r:id="rId43" o:title="" croptop="8773f"/>
          </v:shape>
          <o:OLEObject Type="Embed" ProgID="Visio.Drawing.11" ShapeID="_x0000_i1036" DrawAspect="Content" ObjectID="_1496838895" r:id="rId44"/>
        </w:object>
      </w:r>
    </w:p>
    <w:p w14:paraId="39F1442A" w14:textId="77777777" w:rsidR="00F075B5" w:rsidRDefault="00F075B5" w:rsidP="00F075B5">
      <w:pPr>
        <w:spacing w:after="60"/>
        <w:rPr>
          <w:rFonts w:cs="Arial"/>
        </w:rPr>
      </w:pPr>
      <w:r>
        <w:rPr>
          <w:rFonts w:cs="Arial"/>
        </w:rPr>
        <w:t xml:space="preserve">As this is the first year of the employment scheme </w:t>
      </w:r>
      <w:r w:rsidR="00EC6861">
        <w:rPr>
          <w:rFonts w:cs="Arial"/>
        </w:rPr>
        <w:t xml:space="preserve">it is not possible to explore the </w:t>
      </w:r>
      <w:r>
        <w:rPr>
          <w:rFonts w:cs="Arial"/>
        </w:rPr>
        <w:t xml:space="preserve">long term benefits. The </w:t>
      </w:r>
      <w:r w:rsidR="00CA4A7E">
        <w:rPr>
          <w:rFonts w:cs="Arial"/>
        </w:rPr>
        <w:t>evaluation was focused</w:t>
      </w:r>
      <w:r>
        <w:rPr>
          <w:rFonts w:cs="Arial"/>
        </w:rPr>
        <w:t xml:space="preserve"> on </w:t>
      </w:r>
      <w:r w:rsidR="00EC6861">
        <w:rPr>
          <w:rFonts w:cs="Arial"/>
        </w:rPr>
        <w:t xml:space="preserve">identifying key </w:t>
      </w:r>
      <w:r>
        <w:rPr>
          <w:rFonts w:cs="Arial"/>
        </w:rPr>
        <w:t>learning</w:t>
      </w:r>
      <w:r w:rsidR="00EC6861">
        <w:rPr>
          <w:rFonts w:cs="Arial"/>
        </w:rPr>
        <w:t>s</w:t>
      </w:r>
      <w:r>
        <w:rPr>
          <w:rFonts w:cs="Arial"/>
        </w:rPr>
        <w:t xml:space="preserve"> for future implementation</w:t>
      </w:r>
      <w:r w:rsidR="00CA4A7E">
        <w:rPr>
          <w:rFonts w:cs="Arial"/>
        </w:rPr>
        <w:t>,</w:t>
      </w:r>
      <w:r>
        <w:rPr>
          <w:rFonts w:cs="Arial"/>
        </w:rPr>
        <w:t xml:space="preserve"> </w:t>
      </w:r>
      <w:r w:rsidR="00CA4A7E">
        <w:rPr>
          <w:rFonts w:cs="Arial"/>
        </w:rPr>
        <w:t xml:space="preserve">identifying </w:t>
      </w:r>
      <w:r>
        <w:rPr>
          <w:rFonts w:cs="Arial"/>
        </w:rPr>
        <w:t xml:space="preserve">the short-term </w:t>
      </w:r>
      <w:r w:rsidR="00EC6861">
        <w:rPr>
          <w:rFonts w:cs="Arial"/>
        </w:rPr>
        <w:t xml:space="preserve">benefits </w:t>
      </w:r>
      <w:r>
        <w:rPr>
          <w:rFonts w:cs="Arial"/>
        </w:rPr>
        <w:t xml:space="preserve">and indicators of </w:t>
      </w:r>
      <w:r w:rsidR="00EC6861">
        <w:rPr>
          <w:rFonts w:cs="Arial"/>
        </w:rPr>
        <w:t>longer term benefits for the practices, NGNs involved and the nursing workforce</w:t>
      </w:r>
      <w:r>
        <w:rPr>
          <w:rFonts w:cs="Arial"/>
        </w:rPr>
        <w:t xml:space="preserve">. These impacts and indicators are </w:t>
      </w:r>
      <w:r w:rsidR="00EC6861">
        <w:rPr>
          <w:rFonts w:cs="Arial"/>
        </w:rPr>
        <w:t>draw</w:t>
      </w:r>
      <w:r w:rsidR="007D7FF2">
        <w:rPr>
          <w:rFonts w:cs="Arial"/>
        </w:rPr>
        <w:t>n</w:t>
      </w:r>
      <w:r w:rsidR="00EC6861">
        <w:rPr>
          <w:rFonts w:cs="Arial"/>
        </w:rPr>
        <w:t xml:space="preserve"> on </w:t>
      </w:r>
      <w:r>
        <w:rPr>
          <w:rFonts w:cs="Arial"/>
        </w:rPr>
        <w:t>when addressing the evaluation objectives in the results sections.</w:t>
      </w:r>
      <w:r w:rsidR="00415274">
        <w:rPr>
          <w:rFonts w:cs="Arial"/>
        </w:rPr>
        <w:t xml:space="preserve"> </w:t>
      </w:r>
    </w:p>
    <w:p w14:paraId="77D0C756" w14:textId="77777777" w:rsidR="00837E6F" w:rsidRDefault="00837E6F" w:rsidP="000522B0">
      <w:bookmarkStart w:id="22" w:name="_Toc415138862"/>
      <w:bookmarkStart w:id="23" w:name="_Toc415584686"/>
      <w:bookmarkEnd w:id="22"/>
      <w:bookmarkEnd w:id="23"/>
    </w:p>
    <w:p w14:paraId="1F7C2468" w14:textId="77777777" w:rsidR="00290555" w:rsidRPr="00290555" w:rsidRDefault="00290555" w:rsidP="00F56710">
      <w:pPr>
        <w:spacing w:after="200" w:line="276" w:lineRule="auto"/>
      </w:pPr>
      <w:bookmarkStart w:id="24" w:name="_Toc400522447"/>
      <w:bookmarkStart w:id="25" w:name="_Toc400962405"/>
      <w:bookmarkStart w:id="26" w:name="_Toc415657675"/>
      <w:bookmarkEnd w:id="24"/>
      <w:bookmarkEnd w:id="25"/>
    </w:p>
    <w:p w14:paraId="788D6E7D" w14:textId="77777777" w:rsidR="000F387B" w:rsidRDefault="000F387B" w:rsidP="000F387B">
      <w:pPr>
        <w:pStyle w:val="Heading1"/>
      </w:pPr>
      <w:r>
        <w:lastRenderedPageBreak/>
        <w:t>Key impacts of the scheme</w:t>
      </w:r>
      <w:bookmarkEnd w:id="26"/>
    </w:p>
    <w:p w14:paraId="64D4A0E7" w14:textId="77777777" w:rsidR="000F387B" w:rsidRDefault="000F387B" w:rsidP="000F387B">
      <w:pPr>
        <w:pStyle w:val="Heading2"/>
      </w:pPr>
      <w:bookmarkStart w:id="27" w:name="_Toc415657676"/>
      <w:r>
        <w:t>Impacts on the development of new graduate nurses and their career decisions</w:t>
      </w:r>
      <w:bookmarkEnd w:id="27"/>
    </w:p>
    <w:p w14:paraId="4C2DA28C" w14:textId="5344C818" w:rsidR="00084D39" w:rsidRDefault="00EA5EF1" w:rsidP="00084D39">
      <w:r>
        <w:t>One of the key aims of the scheme</w:t>
      </w:r>
      <w:r w:rsidR="00084D39">
        <w:t xml:space="preserve"> was to</w:t>
      </w:r>
      <w:r>
        <w:t xml:space="preserve"> s</w:t>
      </w:r>
      <w:r w:rsidRPr="00EA5EF1">
        <w:t xml:space="preserve">upport graduate nurses to transition to primary healthcare practices in a planned programme associated with the </w:t>
      </w:r>
      <w:r w:rsidR="00912905">
        <w:t>NETP</w:t>
      </w:r>
      <w:r w:rsidR="00105190">
        <w:t xml:space="preserve"> programme</w:t>
      </w:r>
      <w:r w:rsidRPr="00EA5EF1">
        <w:t>.</w:t>
      </w:r>
      <w:r>
        <w:t xml:space="preserve"> This evaluation provides evidence that identifies the role of the scheme in achieving this</w:t>
      </w:r>
      <w:r w:rsidR="00C60050">
        <w:t xml:space="preserve"> and also indicates that many of the NGNs remained in primary care</w:t>
      </w:r>
      <w:r>
        <w:t xml:space="preserve">.  </w:t>
      </w:r>
      <w:r w:rsidR="00084D39">
        <w:t xml:space="preserve">The factors </w:t>
      </w:r>
      <w:r w:rsidR="00C05EB1">
        <w:t xml:space="preserve">that </w:t>
      </w:r>
      <w:r>
        <w:t>support</w:t>
      </w:r>
      <w:r w:rsidR="00C05EB1">
        <w:t>ed</w:t>
      </w:r>
      <w:r>
        <w:t xml:space="preserve"> </w:t>
      </w:r>
      <w:r w:rsidR="00084D39">
        <w:t>this included</w:t>
      </w:r>
      <w:r w:rsidR="00EF7E95">
        <w:t>:</w:t>
      </w:r>
      <w:r w:rsidR="00084D39">
        <w:t xml:space="preserve"> </w:t>
      </w:r>
    </w:p>
    <w:p w14:paraId="0DC1AC87" w14:textId="77777777" w:rsidR="00084D39" w:rsidRDefault="00EA5EF1" w:rsidP="00084D39">
      <w:pPr>
        <w:pStyle w:val="ListParagraph"/>
        <w:numPr>
          <w:ilvl w:val="0"/>
          <w:numId w:val="37"/>
        </w:numPr>
      </w:pPr>
      <w:r>
        <w:t>Providing</w:t>
      </w:r>
      <w:r w:rsidR="00084D39">
        <w:t xml:space="preserve"> NGNs </w:t>
      </w:r>
      <w:r>
        <w:t>with</w:t>
      </w:r>
      <w:r w:rsidR="00084D39">
        <w:t xml:space="preserve"> </w:t>
      </w:r>
      <w:r w:rsidR="004E2C85">
        <w:t>an</w:t>
      </w:r>
      <w:r w:rsidR="00084D39">
        <w:t xml:space="preserve"> opportunity to develop the skills necessary </w:t>
      </w:r>
      <w:r w:rsidR="00EF7E95">
        <w:t xml:space="preserve">to practice in </w:t>
      </w:r>
      <w:r w:rsidR="00084D39">
        <w:t>primary care</w:t>
      </w:r>
      <w:r>
        <w:t>.</w:t>
      </w:r>
    </w:p>
    <w:p w14:paraId="5A047E73" w14:textId="77777777" w:rsidR="00084D39" w:rsidRDefault="00C60050" w:rsidP="00084D39">
      <w:pPr>
        <w:pStyle w:val="ListParagraph"/>
        <w:numPr>
          <w:ilvl w:val="0"/>
          <w:numId w:val="37"/>
        </w:numPr>
      </w:pPr>
      <w:r>
        <w:t>T</w:t>
      </w:r>
      <w:r w:rsidR="00084D39">
        <w:t xml:space="preserve">he NGNs </w:t>
      </w:r>
      <w:r>
        <w:t>motivation</w:t>
      </w:r>
      <w:r w:rsidR="004E2C85">
        <w:t xml:space="preserve"> to continue in</w:t>
      </w:r>
      <w:r w:rsidR="00084D39">
        <w:t xml:space="preserve"> a career in primary care</w:t>
      </w:r>
      <w:r w:rsidR="00C05EB1">
        <w:t>.</w:t>
      </w:r>
    </w:p>
    <w:p w14:paraId="7973DF96" w14:textId="77777777" w:rsidR="00A353D3" w:rsidRPr="00084D39" w:rsidRDefault="00C60050" w:rsidP="00A353D3">
      <w:pPr>
        <w:pStyle w:val="ListParagraph"/>
        <w:numPr>
          <w:ilvl w:val="0"/>
          <w:numId w:val="37"/>
        </w:numPr>
      </w:pPr>
      <w:r>
        <w:t>T</w:t>
      </w:r>
      <w:r w:rsidR="00084D39">
        <w:t xml:space="preserve">he </w:t>
      </w:r>
      <w:r>
        <w:t xml:space="preserve">willingness and ability of </w:t>
      </w:r>
      <w:r w:rsidR="00084D39">
        <w:t xml:space="preserve">VLCA practices to continue employing the NGNs beyond the </w:t>
      </w:r>
      <w:r>
        <w:t>12 month funding provided through the scheme</w:t>
      </w:r>
      <w:r w:rsidR="00084D39">
        <w:t xml:space="preserve">.  </w:t>
      </w:r>
    </w:p>
    <w:p w14:paraId="6D556737" w14:textId="77777777" w:rsidR="000F387B" w:rsidRDefault="000F387B" w:rsidP="000F387B">
      <w:pPr>
        <w:pStyle w:val="Heading3"/>
      </w:pPr>
      <w:r>
        <w:t>Learning experience</w:t>
      </w:r>
    </w:p>
    <w:p w14:paraId="00658E36" w14:textId="77777777" w:rsidR="000F387B" w:rsidRDefault="000F387B" w:rsidP="000F387B">
      <w:pPr>
        <w:rPr>
          <w:lang w:eastAsia="en-US"/>
        </w:rPr>
      </w:pPr>
      <w:r>
        <w:t xml:space="preserve">The </w:t>
      </w:r>
      <w:r w:rsidR="00A353D3">
        <w:t xml:space="preserve">evaluation </w:t>
      </w:r>
      <w:r>
        <w:t xml:space="preserve">highlighted the learning and benefits that the NGNs had gained from being </w:t>
      </w:r>
      <w:r w:rsidR="004E2C85">
        <w:t>employed in the VLCA practices</w:t>
      </w:r>
      <w:r>
        <w:t>. Specifically,</w:t>
      </w:r>
      <w:r w:rsidR="00A353D3">
        <w:t xml:space="preserve"> in the mid-point survey,</w:t>
      </w:r>
      <w:r>
        <w:t xml:space="preserve"> the</w:t>
      </w:r>
      <w:r w:rsidR="00A353D3">
        <w:t xml:space="preserve"> NGNs </w:t>
      </w:r>
      <w:r>
        <w:t xml:space="preserve">noted the value of gaining experience in a highly supportive workplace, gaining employment, the training and learning opportunities and the value of working in </w:t>
      </w:r>
      <w:r w:rsidRPr="003744ED">
        <w:rPr>
          <w:lang w:eastAsia="en-US"/>
        </w:rPr>
        <w:t>an area that reflected thei</w:t>
      </w:r>
      <w:r>
        <w:rPr>
          <w:lang w:eastAsia="en-US"/>
        </w:rPr>
        <w:t xml:space="preserve">r personal interests and values. </w:t>
      </w:r>
    </w:p>
    <w:p w14:paraId="530D7061" w14:textId="77777777" w:rsidR="00C05EB1" w:rsidRDefault="000F387B" w:rsidP="000F387B">
      <w:r>
        <w:rPr>
          <w:lang w:eastAsia="en-US"/>
        </w:rPr>
        <w:t xml:space="preserve">The </w:t>
      </w:r>
      <w:r w:rsidR="005079D4">
        <w:rPr>
          <w:lang w:eastAsia="en-US"/>
        </w:rPr>
        <w:t>stakeholder interviews during the within site phase</w:t>
      </w:r>
      <w:r>
        <w:rPr>
          <w:lang w:eastAsia="en-US"/>
        </w:rPr>
        <w:t xml:space="preserve"> supported this notion</w:t>
      </w:r>
      <w:r w:rsidR="005079D4">
        <w:rPr>
          <w:lang w:eastAsia="en-US"/>
        </w:rPr>
        <w:t xml:space="preserve">, with the NGNs </w:t>
      </w:r>
      <w:r>
        <w:rPr>
          <w:lang w:eastAsia="en-US"/>
        </w:rPr>
        <w:t>suggest</w:t>
      </w:r>
      <w:r w:rsidR="005079D4">
        <w:rPr>
          <w:lang w:eastAsia="en-US"/>
        </w:rPr>
        <w:t>ing</w:t>
      </w:r>
      <w:r>
        <w:rPr>
          <w:lang w:eastAsia="en-US"/>
        </w:rPr>
        <w:t xml:space="preserve"> that being </w:t>
      </w:r>
      <w:r>
        <w:t>in primary care meant that they learnt different skills t</w:t>
      </w:r>
      <w:r w:rsidR="00C05EB1">
        <w:t>o</w:t>
      </w:r>
      <w:r>
        <w:t xml:space="preserve"> their peers in the hospital. One NGN </w:t>
      </w:r>
      <w:r w:rsidR="005079D4">
        <w:t xml:space="preserve">even </w:t>
      </w:r>
      <w:r>
        <w:t xml:space="preserve">suggested that they </w:t>
      </w:r>
      <w:r w:rsidR="005079D4">
        <w:t xml:space="preserve">had </w:t>
      </w:r>
      <w:r>
        <w:t>learnt more</w:t>
      </w:r>
      <w:r w:rsidR="005079D4">
        <w:t xml:space="preserve"> than their peers</w:t>
      </w:r>
      <w:r>
        <w:t xml:space="preserve"> due to the variety of the work and patients that were able to experience</w:t>
      </w:r>
      <w:r w:rsidR="00C05EB1">
        <w:t xml:space="preserve"> or care for</w:t>
      </w:r>
      <w:r>
        <w:t>.</w:t>
      </w:r>
    </w:p>
    <w:p w14:paraId="459D0D02" w14:textId="77777777" w:rsidR="000F387B" w:rsidRDefault="00C05EB1" w:rsidP="000F387B">
      <w:r>
        <w:t xml:space="preserve">This level of learning and experience gained throughout the </w:t>
      </w:r>
      <w:proofErr w:type="gramStart"/>
      <w:r>
        <w:t>year,</w:t>
      </w:r>
      <w:proofErr w:type="gramEnd"/>
      <w:r>
        <w:t xml:space="preserve"> was even acknowledged and valued by one NGN who did not feel </w:t>
      </w:r>
      <w:r>
        <w:rPr>
          <w:lang w:eastAsia="en-US"/>
        </w:rPr>
        <w:t xml:space="preserve">well supported by their practice and felt they would have been better supported in a hospital setting. </w:t>
      </w:r>
    </w:p>
    <w:p w14:paraId="3508F0CD" w14:textId="77777777" w:rsidR="000F387B" w:rsidRPr="0024523A" w:rsidRDefault="000F387B" w:rsidP="000F387B">
      <w:pPr>
        <w:pStyle w:val="Heading3"/>
      </w:pPr>
      <w:r>
        <w:t>Professional development</w:t>
      </w:r>
    </w:p>
    <w:p w14:paraId="330AB19B" w14:textId="77777777" w:rsidR="005079D4" w:rsidRDefault="005079D4" w:rsidP="000F387B">
      <w:r>
        <w:t>Both the across site and within site phase</w:t>
      </w:r>
      <w:r w:rsidR="00C05EB1">
        <w:t>s</w:t>
      </w:r>
      <w:r>
        <w:t xml:space="preserve"> of the evaluation</w:t>
      </w:r>
      <w:r w:rsidR="000F387B">
        <w:t xml:space="preserve"> found that NGNs had </w:t>
      </w:r>
      <w:r>
        <w:t xml:space="preserve">developed their clinical skills and </w:t>
      </w:r>
      <w:r w:rsidR="000F387B">
        <w:t xml:space="preserve">increased their competency. </w:t>
      </w:r>
      <w:r>
        <w:br/>
      </w:r>
      <w:r w:rsidR="000F387B">
        <w:t xml:space="preserve">Practice </w:t>
      </w:r>
      <w:r w:rsidR="00C05EB1">
        <w:t xml:space="preserve">staff </w:t>
      </w:r>
      <w:r>
        <w:t>in the mid-point survey</w:t>
      </w:r>
      <w:r w:rsidR="000F387B">
        <w:t xml:space="preserve"> thought the NGNs skills and experience had increased (98%</w:t>
      </w:r>
      <w:r w:rsidR="000B3688">
        <w:t xml:space="preserve"> </w:t>
      </w:r>
      <w:r w:rsidR="000F387B">
        <w:t>agree</w:t>
      </w:r>
      <w:r w:rsidR="000B3688">
        <w:t>d</w:t>
      </w:r>
      <w:r w:rsidR="000F387B">
        <w:t xml:space="preserve"> or strongly agree</w:t>
      </w:r>
      <w:r w:rsidR="000B3688">
        <w:t>d</w:t>
      </w:r>
      <w:r w:rsidR="000F387B">
        <w:t xml:space="preserve">). </w:t>
      </w:r>
    </w:p>
    <w:p w14:paraId="3C4C4593" w14:textId="77777777" w:rsidR="005079D4" w:rsidRDefault="005079D4" w:rsidP="000F387B">
      <w:r>
        <w:rPr>
          <w:noProof/>
        </w:rPr>
        <w:lastRenderedPageBreak/>
        <w:drawing>
          <wp:inline distT="0" distB="0" distL="0" distR="0" wp14:anchorId="17FC5CAC" wp14:editId="477C01D5">
            <wp:extent cx="5731510" cy="1449705"/>
            <wp:effectExtent l="0" t="0" r="254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515F011" w14:textId="77777777" w:rsidR="000F387B" w:rsidRDefault="00505495" w:rsidP="000F387B">
      <w:r>
        <w:t xml:space="preserve">The </w:t>
      </w:r>
      <w:r w:rsidR="000F387B">
        <w:t xml:space="preserve">NGNs </w:t>
      </w:r>
      <w:r>
        <w:t xml:space="preserve">also identified improvements in the mid-point survey. They </w:t>
      </w:r>
      <w:r w:rsidR="000F387B">
        <w:t>felt their confidence in undertaking clinical procedures had improved (93%</w:t>
      </w:r>
      <w:r w:rsidR="002E4934">
        <w:t>; n=30</w:t>
      </w:r>
      <w:r w:rsidR="000F387B">
        <w:t>), their clinical skills and experience had increased (90%</w:t>
      </w:r>
      <w:r w:rsidR="002E4934">
        <w:t>; n=30</w:t>
      </w:r>
      <w:r w:rsidR="000F387B">
        <w:t>), they were more able to identify client’s needs (83%), and they were more aware of the policies and procedures required for safe clinical practice (83%).</w:t>
      </w:r>
    </w:p>
    <w:p w14:paraId="45A7A9F2" w14:textId="77777777" w:rsidR="000F387B" w:rsidRDefault="000F387B" w:rsidP="000F387B">
      <w:r>
        <w:t xml:space="preserve">All of the NGNs at the site visits also </w:t>
      </w:r>
      <w:r w:rsidR="00727BE1">
        <w:t xml:space="preserve">indicated </w:t>
      </w:r>
      <w:r>
        <w:t xml:space="preserve">that </w:t>
      </w:r>
      <w:r w:rsidR="00727BE1">
        <w:t>their confidence and ski</w:t>
      </w:r>
      <w:r>
        <w:t>lls</w:t>
      </w:r>
      <w:r w:rsidR="00727BE1">
        <w:t xml:space="preserve"> had improved</w:t>
      </w:r>
      <w:r>
        <w:t xml:space="preserve"> throughout the year. However, one NGN thought there was less ability to practice clinical skills in </w:t>
      </w:r>
      <w:r w:rsidR="00543EEA">
        <w:t>t</w:t>
      </w:r>
      <w:r>
        <w:t>he</w:t>
      </w:r>
      <w:r w:rsidR="00543EEA">
        <w:t>i</w:t>
      </w:r>
      <w:r>
        <w:t xml:space="preserve">r practice as they suggested that 60% of </w:t>
      </w:r>
      <w:r w:rsidR="002E4934">
        <w:t>t</w:t>
      </w:r>
      <w:r>
        <w:t>he</w:t>
      </w:r>
      <w:r w:rsidR="002E4934">
        <w:t>i</w:t>
      </w:r>
      <w:r>
        <w:t>r work was paperwork</w:t>
      </w:r>
      <w:r w:rsidR="00543EEA">
        <w:t xml:space="preserve"> and documentation</w:t>
      </w:r>
      <w:r>
        <w:t>. While they still gained some skills especially patient interaction and immunisation and cervical smear training, they felt less confident to perform immunisations alone due to the fewer opportunities to practice.</w:t>
      </w:r>
      <w:r w:rsidR="004F071F">
        <w:t xml:space="preserve"> This highlights the importance of ensuring that NGNs have the opportunity to practice and refine their clinical</w:t>
      </w:r>
      <w:r w:rsidR="007069FC">
        <w:t xml:space="preserve"> technical</w:t>
      </w:r>
      <w:r w:rsidR="004F071F">
        <w:t xml:space="preserve"> skills.</w:t>
      </w:r>
    </w:p>
    <w:p w14:paraId="4C2F86B9" w14:textId="77777777" w:rsidR="000F387B" w:rsidRDefault="000F387B" w:rsidP="000F387B">
      <w:r>
        <w:t xml:space="preserve">The site visits also found that some NGNs were thinking about their longer term </w:t>
      </w:r>
      <w:r w:rsidR="00727BE1">
        <w:t xml:space="preserve">professional </w:t>
      </w:r>
      <w:r>
        <w:t>development. One NGN was continuing to complete her Post-graduate diploma</w:t>
      </w:r>
      <w:r w:rsidR="00727BE1">
        <w:t>, while</w:t>
      </w:r>
      <w:r>
        <w:t xml:space="preserve"> </w:t>
      </w:r>
      <w:r w:rsidR="00727BE1">
        <w:t>a</w:t>
      </w:r>
      <w:r>
        <w:t xml:space="preserve">nother had long-term ambitions of becoming a Nurse Practitioner </w:t>
      </w:r>
      <w:r w:rsidR="00505495">
        <w:t xml:space="preserve">with </w:t>
      </w:r>
      <w:r>
        <w:t>support from a Nurse Practitioner at their practice.</w:t>
      </w:r>
    </w:p>
    <w:p w14:paraId="565050EE" w14:textId="77777777" w:rsidR="000F387B" w:rsidRDefault="000F387B" w:rsidP="000F387B"/>
    <w:p w14:paraId="623D9F9D" w14:textId="77777777" w:rsidR="000F387B" w:rsidRDefault="000F387B" w:rsidP="000F387B">
      <w:pPr>
        <w:pStyle w:val="Heading3"/>
      </w:pPr>
      <w:r>
        <w:t xml:space="preserve">NGN career intentions </w:t>
      </w:r>
    </w:p>
    <w:p w14:paraId="71212C1D" w14:textId="77777777" w:rsidR="00FC52F3" w:rsidRDefault="00615442" w:rsidP="000F387B">
      <w:r>
        <w:t>Overall, involvement in t</w:t>
      </w:r>
      <w:r w:rsidR="000F387B">
        <w:t>he</w:t>
      </w:r>
      <w:r>
        <w:t xml:space="preserve"> VLCA NGN</w:t>
      </w:r>
      <w:r w:rsidR="000F387B">
        <w:t xml:space="preserve"> employment scheme increased the attractiveness of a career in primary care for the NGNs </w:t>
      </w:r>
      <w:r>
        <w:t>employed by the practices</w:t>
      </w:r>
      <w:r w:rsidR="000F387B">
        <w:t xml:space="preserve">. </w:t>
      </w:r>
    </w:p>
    <w:p w14:paraId="20A64BD3" w14:textId="77777777" w:rsidR="000F387B" w:rsidRDefault="000F387B" w:rsidP="000F387B">
      <w:r>
        <w:t>The mid-point survey found that before taking part in the scheme 53% of the NGNs were very interested in working in primary care and 34% were fairly interested</w:t>
      </w:r>
      <w:r w:rsidR="002E4934">
        <w:t xml:space="preserve"> (n=32)</w:t>
      </w:r>
      <w:r>
        <w:t>; and a similar number were interested in working in VLCA or high needs practices (47% very interested and 28% fairly interested</w:t>
      </w:r>
      <w:r w:rsidR="002E4934">
        <w:t>; n=32</w:t>
      </w:r>
      <w:r>
        <w:t xml:space="preserve">) before the scheme. After having worked in a VLCA practice as part of the employment scheme 90% of the NGNs </w:t>
      </w:r>
      <w:r w:rsidRPr="00FC52F3">
        <w:rPr>
          <w:b/>
          <w:i/>
        </w:rPr>
        <w:t xml:space="preserve">were now more interested </w:t>
      </w:r>
      <w:r>
        <w:t>in a career as a Primary Care Nurse than before</w:t>
      </w:r>
      <w:r w:rsidR="002E4934">
        <w:t xml:space="preserve"> (n=30)</w:t>
      </w:r>
      <w:r>
        <w:t>. Specifically, the mid-point survey found almost all of the NGNs would like to keep working at their VLCA practice (93%</w:t>
      </w:r>
      <w:r w:rsidR="002E4934">
        <w:t>; n=29</w:t>
      </w:r>
      <w:r>
        <w:t xml:space="preserve">), and all of them would like to continue in primary </w:t>
      </w:r>
      <w:r>
        <w:lastRenderedPageBreak/>
        <w:t>care</w:t>
      </w:r>
      <w:r w:rsidR="002E4934">
        <w:t xml:space="preserve"> (n=29)</w:t>
      </w:r>
      <w:r>
        <w:t xml:space="preserve">. This finding was further </w:t>
      </w:r>
      <w:r w:rsidR="0025181B">
        <w:t>reinforced in</w:t>
      </w:r>
      <w:r>
        <w:t xml:space="preserve"> the </w:t>
      </w:r>
      <w:r w:rsidR="00FC52F3">
        <w:t xml:space="preserve">site visits and the </w:t>
      </w:r>
      <w:r>
        <w:t>follow-up survey</w:t>
      </w:r>
      <w:r w:rsidR="0025181B">
        <w:t xml:space="preserve"> at the end of the evaluation</w:t>
      </w:r>
      <w:r>
        <w:t>, w</w:t>
      </w:r>
      <w:r w:rsidR="002E4934">
        <w:t>h</w:t>
      </w:r>
      <w:r>
        <w:t xml:space="preserve">ere </w:t>
      </w:r>
      <w:r w:rsidR="00BF561B">
        <w:t>all NGNs</w:t>
      </w:r>
      <w:r>
        <w:t xml:space="preserve"> </w:t>
      </w:r>
      <w:r w:rsidR="0025181B">
        <w:t xml:space="preserve">indicated </w:t>
      </w:r>
      <w:r>
        <w:t>that they wanted to remain in primary care</w:t>
      </w:r>
      <w:r w:rsidR="0025181B">
        <w:t xml:space="preserve"> beyond the end of the </w:t>
      </w:r>
      <w:r w:rsidR="00FC52F3">
        <w:t>scheme (n=8 for the survey and 5 NGN interviews for the site visits)</w:t>
      </w:r>
      <w:r>
        <w:t>. Key reasons for this included their enjoyment of the work, the rewarding nature of working in a high needs area and continuing to gain experience.</w:t>
      </w:r>
    </w:p>
    <w:p w14:paraId="26B797B9" w14:textId="77777777" w:rsidR="000F387B" w:rsidRDefault="000F387B" w:rsidP="00F913CB">
      <w:pPr>
        <w:pStyle w:val="Heading3"/>
        <w:spacing w:after="0"/>
      </w:pPr>
      <w:r>
        <w:t>Retention of the NGNs</w:t>
      </w:r>
    </w:p>
    <w:p w14:paraId="6C446547" w14:textId="77777777" w:rsidR="00F913CB" w:rsidRPr="00F913CB" w:rsidRDefault="00F913CB" w:rsidP="00F913CB">
      <w:pPr>
        <w:spacing w:before="100" w:beforeAutospacing="1" w:after="100" w:afterAutospacing="1"/>
      </w:pPr>
      <w:r>
        <w:t>There has been a high rate of NGN retention by the VLCA practices involved the scheme, though not all of the NGNs were employed by the practices beyond the end of the funded year.</w:t>
      </w:r>
    </w:p>
    <w:p w14:paraId="16EE432A" w14:textId="77777777" w:rsidR="00F913CB" w:rsidRDefault="00F913CB" w:rsidP="00F913CB">
      <w:r>
        <w:t xml:space="preserve">When contacted at the end of the evaluation, thirty-five of the forty-five practices (78%) who responded were continuing to employ their NGN beyond the year funded by the scheme. Ten practices did not sustain the NGN role and three of the practices were unable to </w:t>
      </w:r>
      <w:r w:rsidR="00543EEA">
        <w:t>respond</w:t>
      </w:r>
      <w:r>
        <w:t xml:space="preserve"> in time for the writing of this report.   </w:t>
      </w:r>
    </w:p>
    <w:p w14:paraId="4D936B2A" w14:textId="77777777" w:rsidR="00F913CB" w:rsidRDefault="00F913CB" w:rsidP="00543EEA">
      <w:r>
        <w:t xml:space="preserve">An analysis of retention rates by DHB, high needs populations, practice size, previous experience and </w:t>
      </w:r>
      <w:proofErr w:type="spellStart"/>
      <w:r>
        <w:t>rurality</w:t>
      </w:r>
      <w:proofErr w:type="spellEnd"/>
      <w:r>
        <w:t xml:space="preserve"> identified no specific patterns or themes in the retention of the NGN role (Appendix Two).</w:t>
      </w:r>
    </w:p>
    <w:p w14:paraId="2B82F9FC" w14:textId="77777777" w:rsidR="000F387B" w:rsidRDefault="000F387B" w:rsidP="00543EEA">
      <w:r>
        <w:t xml:space="preserve">The follow up survey </w:t>
      </w:r>
      <w:r w:rsidR="00F913CB">
        <w:t>provides</w:t>
      </w:r>
      <w:r>
        <w:t xml:space="preserve"> </w:t>
      </w:r>
      <w:r w:rsidR="00F913CB">
        <w:t xml:space="preserve">an </w:t>
      </w:r>
      <w:r>
        <w:t>insight into the retention of the NGN role. Practice managers’ and owners’ reasons for continuing to employ the NGN included the competency of the nurse and the value they added to the practice:</w:t>
      </w:r>
    </w:p>
    <w:p w14:paraId="5ABCF636" w14:textId="77777777" w:rsidR="000F387B" w:rsidRDefault="000F387B" w:rsidP="000F387B">
      <w:pPr>
        <w:pStyle w:val="Quote"/>
        <w:spacing w:after="120"/>
      </w:pPr>
      <w:r>
        <w:t>“</w:t>
      </w:r>
      <w:r w:rsidRPr="00161998">
        <w:t>She is very competent and confident, and is working to a high level of her scope of practice.</w:t>
      </w:r>
      <w:r>
        <w:t>” – Practice Manager (follow up survey answer)</w:t>
      </w:r>
    </w:p>
    <w:p w14:paraId="1E3E6244" w14:textId="77777777" w:rsidR="000F387B" w:rsidRDefault="000F387B" w:rsidP="000F387B">
      <w:r>
        <w:t xml:space="preserve">The practice managers and business owners also felt that they had invested </w:t>
      </w:r>
      <w:r w:rsidR="000F313F">
        <w:t>considerable</w:t>
      </w:r>
      <w:r>
        <w:t xml:space="preserve"> effort into training the nurse to be part of their team and wanted to continue to see the benefits of this at their practice. Two practices suggested that they were keeping the NGN as it was a requirement of engaging in the scheme. This </w:t>
      </w:r>
      <w:r w:rsidR="00503826">
        <w:t xml:space="preserve">suggests </w:t>
      </w:r>
      <w:r>
        <w:t>a difference in the interpretation of the scheme from different practices</w:t>
      </w:r>
      <w:r w:rsidR="00503826">
        <w:t>,</w:t>
      </w:r>
      <w:r>
        <w:t xml:space="preserve"> with some </w:t>
      </w:r>
      <w:r w:rsidR="00503826">
        <w:t>perceiving</w:t>
      </w:r>
      <w:r>
        <w:t xml:space="preserve"> the scheme </w:t>
      </w:r>
      <w:r w:rsidR="00503826">
        <w:t>to</w:t>
      </w:r>
      <w:r>
        <w:t xml:space="preserve"> includ</w:t>
      </w:r>
      <w:r w:rsidR="00503826">
        <w:t>e specific</w:t>
      </w:r>
      <w:r>
        <w:t xml:space="preserve"> requirements and others view</w:t>
      </w:r>
      <w:r w:rsidR="002E4934">
        <w:t>ing</w:t>
      </w:r>
      <w:r>
        <w:t xml:space="preserve"> them as guidelines.</w:t>
      </w:r>
    </w:p>
    <w:p w14:paraId="5A4C8CB7" w14:textId="77777777" w:rsidR="000F387B" w:rsidRDefault="000F313F" w:rsidP="000F387B">
      <w:r>
        <w:t>T</w:t>
      </w:r>
      <w:r w:rsidR="000F387B">
        <w:t>he</w:t>
      </w:r>
      <w:r>
        <w:t xml:space="preserve"> document</w:t>
      </w:r>
      <w:r w:rsidR="000F387B">
        <w:t xml:space="preserve"> analysis</w:t>
      </w:r>
      <w:r>
        <w:t xml:space="preserve"> of the initial application forms to the scheme identified </w:t>
      </w:r>
      <w:r w:rsidR="000F387B">
        <w:t xml:space="preserve">eight practices </w:t>
      </w:r>
      <w:r>
        <w:t>that</w:t>
      </w:r>
      <w:r w:rsidR="000F387B">
        <w:t xml:space="preserve"> were uncertain about how they would sustain their </w:t>
      </w:r>
      <w:r>
        <w:t xml:space="preserve">NGN’s </w:t>
      </w:r>
      <w:r w:rsidR="000F387B">
        <w:t xml:space="preserve">employment. </w:t>
      </w:r>
      <w:r w:rsidR="00C8380C">
        <w:t>At the completion of the scheme, this evaluation found that o</w:t>
      </w:r>
      <w:r w:rsidR="000F387B">
        <w:t xml:space="preserve">nly one of these </w:t>
      </w:r>
      <w:r w:rsidR="003A1588">
        <w:t xml:space="preserve">eight </w:t>
      </w:r>
      <w:r w:rsidR="000F387B">
        <w:t xml:space="preserve">practices did not continue to employ their NGN </w:t>
      </w:r>
      <w:r>
        <w:t xml:space="preserve">beyond </w:t>
      </w:r>
      <w:r w:rsidR="000F387B">
        <w:t>the</w:t>
      </w:r>
      <w:r>
        <w:t xml:space="preserve"> funded</w:t>
      </w:r>
      <w:r w:rsidR="000F387B">
        <w:t xml:space="preserve"> year. This suggests that even when practices </w:t>
      </w:r>
      <w:r>
        <w:t>were</w:t>
      </w:r>
      <w:r w:rsidR="000F387B">
        <w:t xml:space="preserve"> unsure of </w:t>
      </w:r>
      <w:r>
        <w:t xml:space="preserve">the </w:t>
      </w:r>
      <w:r w:rsidR="000F387B">
        <w:t xml:space="preserve">sustainability </w:t>
      </w:r>
      <w:r>
        <w:t>of the role</w:t>
      </w:r>
      <w:r w:rsidR="000F387B">
        <w:t xml:space="preserve"> at the beginning of the scheme, </w:t>
      </w:r>
      <w:r>
        <w:t>by the end of the year most saw</w:t>
      </w:r>
      <w:r w:rsidR="000F387B">
        <w:t xml:space="preserve"> sufficient value in the NGN to continue support</w:t>
      </w:r>
      <w:r>
        <w:t>ing</w:t>
      </w:r>
      <w:r w:rsidR="000F387B">
        <w:t xml:space="preserve"> the role.  </w:t>
      </w:r>
    </w:p>
    <w:p w14:paraId="45BF234B" w14:textId="77777777" w:rsidR="000F387B" w:rsidRDefault="000F387B" w:rsidP="000F387B">
      <w:r>
        <w:lastRenderedPageBreak/>
        <w:t>For t</w:t>
      </w:r>
      <w:r w:rsidR="00F913CB">
        <w:t>h</w:t>
      </w:r>
      <w:r>
        <w:t xml:space="preserve">e </w:t>
      </w:r>
      <w:r w:rsidR="00F913CB">
        <w:t xml:space="preserve">ten </w:t>
      </w:r>
      <w:r>
        <w:t xml:space="preserve">practices that were not </w:t>
      </w:r>
      <w:r w:rsidR="006858A9">
        <w:t>retaining</w:t>
      </w:r>
      <w:r>
        <w:t xml:space="preserve"> the NGN</w:t>
      </w:r>
      <w:r w:rsidR="000F313F">
        <w:t>,</w:t>
      </w:r>
      <w:r>
        <w:t xml:space="preserve"> the most common reason was a lack of funding</w:t>
      </w:r>
      <w:r w:rsidR="008025F3">
        <w:t xml:space="preserve"> </w:t>
      </w:r>
      <w:r>
        <w:t>(40%</w:t>
      </w:r>
      <w:r w:rsidR="008025F3">
        <w:t xml:space="preserve"> or 4</w:t>
      </w:r>
      <w:r>
        <w:t>), followed by intention of the NGN to work elsewhere</w:t>
      </w:r>
      <w:r w:rsidR="008025F3">
        <w:t xml:space="preserve"> </w:t>
      </w:r>
      <w:r>
        <w:t>(30%</w:t>
      </w:r>
      <w:r w:rsidR="008025F3">
        <w:t xml:space="preserve"> or 3</w:t>
      </w:r>
      <w:r>
        <w:t>), mismatch in the fit between the NGN and the practice, and one practice indicated they did not have the capacity to continue supporting the NGN.</w:t>
      </w:r>
    </w:p>
    <w:p w14:paraId="50B9D3C7" w14:textId="77777777" w:rsidR="000F387B" w:rsidRDefault="000F387B" w:rsidP="000F387B">
      <w:r>
        <w:t xml:space="preserve">While not all NGNs </w:t>
      </w:r>
      <w:r w:rsidR="00D44C8A">
        <w:t>remained</w:t>
      </w:r>
      <w:r>
        <w:t xml:space="preserve"> at their VLCA practice</w:t>
      </w:r>
      <w:r w:rsidR="000F313F">
        <w:t xml:space="preserve"> beyond the first year</w:t>
      </w:r>
      <w:r>
        <w:t xml:space="preserve">, the involvement of the DHB and the PHO in the scheme provided other opportunities. For example, </w:t>
      </w:r>
      <w:r w:rsidR="000F313F">
        <w:t>the</w:t>
      </w:r>
      <w:r>
        <w:t xml:space="preserve"> site visits found that </w:t>
      </w:r>
      <w:r w:rsidR="000F313F">
        <w:t>although</w:t>
      </w:r>
      <w:r w:rsidR="000F313F" w:rsidRPr="000F313F">
        <w:t xml:space="preserve"> </w:t>
      </w:r>
      <w:r w:rsidR="000F313F">
        <w:t xml:space="preserve">two of the VLCA </w:t>
      </w:r>
      <w:r>
        <w:t>practice</w:t>
      </w:r>
      <w:r w:rsidR="000F313F">
        <w:t>s</w:t>
      </w:r>
      <w:r>
        <w:t xml:space="preserve"> could not sustain the role,</w:t>
      </w:r>
      <w:r w:rsidR="000F313F">
        <w:t xml:space="preserve"> in one case the </w:t>
      </w:r>
      <w:r>
        <w:t>NGN was offered employment by another practice owned by the same PHO</w:t>
      </w:r>
      <w:r w:rsidR="000F313F">
        <w:t>,</w:t>
      </w:r>
      <w:r>
        <w:t xml:space="preserve"> and </w:t>
      </w:r>
      <w:r w:rsidR="00487407">
        <w:t xml:space="preserve">in </w:t>
      </w:r>
      <w:r>
        <w:t xml:space="preserve">another </w:t>
      </w:r>
      <w:r w:rsidR="00487407">
        <w:t xml:space="preserve">case the </w:t>
      </w:r>
      <w:r>
        <w:t xml:space="preserve">NGN accepted employment with a PHO itself. This highlights the value of the partnership approach to sustaining the NGN in primary care.  </w:t>
      </w:r>
    </w:p>
    <w:p w14:paraId="03FE69D7" w14:textId="77777777" w:rsidR="000F387B" w:rsidRPr="00755CF3" w:rsidRDefault="000F387B" w:rsidP="000F387B"/>
    <w:p w14:paraId="522F09D6" w14:textId="77777777" w:rsidR="000F387B" w:rsidRDefault="000F387B" w:rsidP="000F387B">
      <w:pPr>
        <w:pStyle w:val="Heading2"/>
      </w:pPr>
      <w:bookmarkStart w:id="28" w:name="_Toc415657677"/>
      <w:r>
        <w:t>Impacts on service delivery and patient experience</w:t>
      </w:r>
      <w:bookmarkEnd w:id="28"/>
    </w:p>
    <w:p w14:paraId="71994170" w14:textId="77777777" w:rsidR="005F4BC4" w:rsidRDefault="00D44C8A" w:rsidP="007069FC">
      <w:r>
        <w:t xml:space="preserve">Overall, the NGN was </w:t>
      </w:r>
      <w:r w:rsidR="003537ED">
        <w:t xml:space="preserve">seen to contribute to improving, </w:t>
      </w:r>
      <w:r>
        <w:t xml:space="preserve">sustaining </w:t>
      </w:r>
      <w:r w:rsidR="003537ED">
        <w:t xml:space="preserve">or supporting </w:t>
      </w:r>
      <w:r>
        <w:t xml:space="preserve">patient care and safety at the VLCA practices. </w:t>
      </w:r>
      <w:r w:rsidR="007069FC">
        <w:t xml:space="preserve">While the evaluation did not explore this impact from the patients’ perspective, the </w:t>
      </w:r>
      <w:proofErr w:type="gramStart"/>
      <w:r w:rsidR="007069FC">
        <w:t>comments from practice staff in the surveys and the site visits suggests</w:t>
      </w:r>
      <w:proofErr w:type="gramEnd"/>
      <w:r w:rsidR="007069FC">
        <w:t xml:space="preserve"> that the NGNs had </w:t>
      </w:r>
      <w:r w:rsidR="007A2D33">
        <w:t xml:space="preserve">a </w:t>
      </w:r>
      <w:r w:rsidR="007069FC">
        <w:t>positive influence o</w:t>
      </w:r>
      <w:r w:rsidR="007A2D33">
        <w:t>n</w:t>
      </w:r>
      <w:r w:rsidR="007069FC">
        <w:t xml:space="preserve"> patient care and safety, and in some instances target performance. </w:t>
      </w:r>
    </w:p>
    <w:p w14:paraId="1F7058B4" w14:textId="77777777" w:rsidR="000F387B" w:rsidRPr="0024523A" w:rsidRDefault="000F387B" w:rsidP="00A93FDC">
      <w:pPr>
        <w:pStyle w:val="Heading3"/>
      </w:pPr>
      <w:r>
        <w:t>Influence on patient care and safety</w:t>
      </w:r>
    </w:p>
    <w:p w14:paraId="3407C456" w14:textId="77777777" w:rsidR="003537ED" w:rsidRDefault="000F387B" w:rsidP="000F387B">
      <w:r>
        <w:t xml:space="preserve">The mid-point survey indicated that </w:t>
      </w:r>
      <w:r w:rsidR="003537ED">
        <w:t xml:space="preserve">practice staff </w:t>
      </w:r>
      <w:r>
        <w:t xml:space="preserve">thought NGNs </w:t>
      </w:r>
      <w:r w:rsidR="003537ED">
        <w:t>resulted</w:t>
      </w:r>
      <w:r>
        <w:t xml:space="preserve"> in: </w:t>
      </w:r>
    </w:p>
    <w:p w14:paraId="2903F401" w14:textId="77777777" w:rsidR="003537ED" w:rsidRDefault="000F387B" w:rsidP="003537ED">
      <w:pPr>
        <w:pStyle w:val="ListParagraph"/>
        <w:numPr>
          <w:ilvl w:val="0"/>
          <w:numId w:val="38"/>
        </w:numPr>
      </w:pPr>
      <w:r>
        <w:t>increased number of staff available for appointments (89% agree or strongly agree</w:t>
      </w:r>
      <w:r w:rsidR="00FB66F4">
        <w:t>; n=117</w:t>
      </w:r>
      <w:r>
        <w:t xml:space="preserve">), </w:t>
      </w:r>
    </w:p>
    <w:p w14:paraId="17B49F43" w14:textId="77777777" w:rsidR="003537ED" w:rsidRDefault="000F387B" w:rsidP="003537ED">
      <w:pPr>
        <w:pStyle w:val="ListParagraph"/>
        <w:numPr>
          <w:ilvl w:val="0"/>
          <w:numId w:val="38"/>
        </w:numPr>
      </w:pPr>
      <w:r>
        <w:t>increased number of appointments available to patients (78%</w:t>
      </w:r>
      <w:r w:rsidR="00FB66F4">
        <w:t>; n=110</w:t>
      </w:r>
      <w:r>
        <w:t xml:space="preserve">), </w:t>
      </w:r>
    </w:p>
    <w:p w14:paraId="074E791A" w14:textId="77777777" w:rsidR="003537ED" w:rsidRDefault="000F387B" w:rsidP="003537ED">
      <w:pPr>
        <w:pStyle w:val="ListParagraph"/>
        <w:numPr>
          <w:ilvl w:val="0"/>
          <w:numId w:val="38"/>
        </w:numPr>
      </w:pPr>
      <w:r>
        <w:t>increased number of patients seen at the practice (80%</w:t>
      </w:r>
      <w:r w:rsidR="00FB66F4">
        <w:t>; n=103</w:t>
      </w:r>
      <w:r>
        <w:t xml:space="preserve">), </w:t>
      </w:r>
    </w:p>
    <w:p w14:paraId="688890EB" w14:textId="77777777" w:rsidR="003537ED" w:rsidRDefault="000F387B" w:rsidP="003537ED">
      <w:pPr>
        <w:pStyle w:val="ListParagraph"/>
        <w:numPr>
          <w:ilvl w:val="0"/>
          <w:numId w:val="38"/>
        </w:numPr>
      </w:pPr>
      <w:r>
        <w:t>increased the time available to support patients’ social needs (87%</w:t>
      </w:r>
      <w:r w:rsidR="00FB66F4">
        <w:t>; n=104</w:t>
      </w:r>
      <w:r>
        <w:t xml:space="preserve">), </w:t>
      </w:r>
    </w:p>
    <w:p w14:paraId="5A2C633B" w14:textId="77777777" w:rsidR="000F387B" w:rsidRDefault="000F387B" w:rsidP="003537ED">
      <w:pPr>
        <w:pStyle w:val="ListParagraph"/>
        <w:numPr>
          <w:ilvl w:val="0"/>
          <w:numId w:val="38"/>
        </w:numPr>
      </w:pPr>
      <w:proofErr w:type="gramStart"/>
      <w:r>
        <w:t>and</w:t>
      </w:r>
      <w:proofErr w:type="gramEnd"/>
      <w:r>
        <w:t xml:space="preserve"> improved patient experience (95%</w:t>
      </w:r>
      <w:r w:rsidR="00FB66F4">
        <w:t>; n=101</w:t>
      </w:r>
      <w:r>
        <w:t>).</w:t>
      </w:r>
    </w:p>
    <w:p w14:paraId="73E7C2CB" w14:textId="77777777" w:rsidR="000F387B" w:rsidRDefault="000F387B" w:rsidP="000F387B">
      <w:r>
        <w:t>The site visits found that in addition to these benefits, there have been some more specific impacts on patient care. At one practice, the NGN initiated and conducted a project on pre-diabetes screening. They presented the project to staff at clinics across the PHO and took a leadership role in the policy and implementation. The project involves providing intervention early to encourage prevention rather than waiting until patients become diabetic to treat them. All staff at the practice had positive comments about the project and suggested that it would improve the health of the population in their area.</w:t>
      </w:r>
    </w:p>
    <w:p w14:paraId="1D28E953" w14:textId="77777777" w:rsidR="000F387B" w:rsidRDefault="000F387B" w:rsidP="000F387B">
      <w:r>
        <w:lastRenderedPageBreak/>
        <w:t xml:space="preserve">At another practice, the NGN has been leading a number of projects relating to patient care and safety. The largest of these involved looking at discharge summaries to reduce unplanned hospitalisations and to ensure medication reconciliations were being conducted. From February to August 2014, the NGN had reviewed a total of 364 discharge summaries; 192 had been self-referrals to hospital and 81 were identified as avoidable hospitalisations. This analysis was still underway at the time of the interviews. In terms of the </w:t>
      </w:r>
      <w:r w:rsidR="00466916">
        <w:t xml:space="preserve">impacts on </w:t>
      </w:r>
      <w:r>
        <w:t>time to a medication reconciliation decision</w:t>
      </w:r>
      <w:r w:rsidR="00466916">
        <w:t xml:space="preserve"> however</w:t>
      </w:r>
      <w:r>
        <w:t>, this had decreased from an average of 4.7 days in June 2014 to 3.1 days in September 2014. This NGN was also leading the influenza vaccinations and the rheumatic fever project in the clinic.</w:t>
      </w:r>
    </w:p>
    <w:p w14:paraId="458BC721" w14:textId="77777777" w:rsidR="000F387B" w:rsidRDefault="000F387B" w:rsidP="000F387B">
      <w:r>
        <w:t>One practice manager also noted the benefit of having a younger nurse for their patients. They suggested that this improved the experience for patients accustomed to older nurses, as they added some more energy and enthusiasm to the environment. Other staff also complimented the NGNs personality and way of communicating with patients which would contribute to positive patient feedback. Most practices felt their NGN related well to patients:</w:t>
      </w:r>
    </w:p>
    <w:p w14:paraId="1E631CC0" w14:textId="77777777" w:rsidR="000F387B" w:rsidRPr="00B71328" w:rsidRDefault="000F387B" w:rsidP="000F387B">
      <w:pPr>
        <w:pStyle w:val="Quote"/>
        <w:spacing w:after="120"/>
      </w:pPr>
      <w:proofErr w:type="gramStart"/>
      <w:r>
        <w:t>“The feedback from the patients around having someone young and enthusiastic and that sort of thing.</w:t>
      </w:r>
      <w:proofErr w:type="gramEnd"/>
      <w:r>
        <w:t xml:space="preserve"> So we certainly have had lots of positive feedback around the young nurse that you’ve got. So you’ll know the workforce is an ageing workforce. So it’s definitely nice to have some young enthusiasm in the clinic.” – Practice Manager</w:t>
      </w:r>
    </w:p>
    <w:p w14:paraId="5B52AA78" w14:textId="77777777" w:rsidR="000F387B" w:rsidRDefault="000F387B" w:rsidP="000F387B">
      <w:r>
        <w:t xml:space="preserve">Only one practice identified a situation where the NGN had practised outside their </w:t>
      </w:r>
      <w:r w:rsidR="00F73238">
        <w:t xml:space="preserve">level of experience </w:t>
      </w:r>
      <w:r>
        <w:t xml:space="preserve">on one occasion and needed to be reminded of their boundaries. This situation was mentioned by the practice manager and nurse preceptor. In this instance the patient was followed up by the doctor and no adverse effect on patient safety had been brought to their attention. However, it should be noted that in this setting the NGN was lacking the support from other nurses at the practice. This again highlights the importance of good levels of support for NGNs. </w:t>
      </w:r>
    </w:p>
    <w:p w14:paraId="0D62AAB1" w14:textId="77777777" w:rsidR="000F387B" w:rsidRDefault="000F387B" w:rsidP="000F387B">
      <w:pPr>
        <w:pStyle w:val="Heading3"/>
      </w:pPr>
      <w:r>
        <w:t>Target performance</w:t>
      </w:r>
    </w:p>
    <w:p w14:paraId="1D3B0DC3" w14:textId="77777777" w:rsidR="000F387B" w:rsidRDefault="000F387B" w:rsidP="000F387B">
      <w:r>
        <w:t>Improving</w:t>
      </w:r>
      <w:r w:rsidR="00A93FDC">
        <w:t xml:space="preserve"> performance on</w:t>
      </w:r>
      <w:r>
        <w:t xml:space="preserve"> health targets was often cited as a key benefit of employing a NGN through the scheme. At the time of the mid-point survey almost all (90%</w:t>
      </w:r>
      <w:r w:rsidR="008D3F3E">
        <w:t>; n=30</w:t>
      </w:r>
      <w:r>
        <w:t xml:space="preserve">) NGNs had completed their vaccinators training and many had also </w:t>
      </w:r>
      <w:r w:rsidR="00863313">
        <w:t xml:space="preserve">undertaken </w:t>
      </w:r>
      <w:r>
        <w:t>cervical smear training (67%</w:t>
      </w:r>
      <w:r w:rsidR="008D3F3E">
        <w:t>; n=30</w:t>
      </w:r>
      <w:r>
        <w:t>) and ABC for cessation training (60%</w:t>
      </w:r>
      <w:r w:rsidR="008D3F3E">
        <w:t>; n=30</w:t>
      </w:r>
      <w:r>
        <w:t>). Many NGNs had also completed other training that enable</w:t>
      </w:r>
      <w:r w:rsidR="00466916">
        <w:t>d</w:t>
      </w:r>
      <w:r>
        <w:t xml:space="preserve"> them to assist with the achievement of primary care targets</w:t>
      </w:r>
      <w:r w:rsidR="00466916">
        <w:t>,</w:t>
      </w:r>
      <w:r w:rsidRPr="00755CF3">
        <w:t xml:space="preserve"> </w:t>
      </w:r>
      <w:r>
        <w:t>such as cardiovascular risk assessment and management training. The NGN interviews suggested that they were improving the target performance of the practice at which they were working.</w:t>
      </w:r>
    </w:p>
    <w:p w14:paraId="7D8BB3EC" w14:textId="77777777" w:rsidR="000F387B" w:rsidRDefault="000F387B" w:rsidP="000F387B">
      <w:pPr>
        <w:pStyle w:val="Quote"/>
        <w:spacing w:after="120"/>
      </w:pPr>
      <w:r>
        <w:lastRenderedPageBreak/>
        <w:t xml:space="preserve">“I definitely think for health targets because no one was vaccinating. Before when [nurse] were here, no one was vaccinating or anything so all the kids that needed vaccinating had to go to town to be </w:t>
      </w:r>
      <w:proofErr w:type="spellStart"/>
      <w:r>
        <w:t>immunised</w:t>
      </w:r>
      <w:proofErr w:type="spellEnd"/>
      <w:r>
        <w:t>…</w:t>
      </w:r>
      <w:r w:rsidRPr="00142AE6">
        <w:t xml:space="preserve"> </w:t>
      </w:r>
      <w:r>
        <w:t xml:space="preserve">I do a lot of </w:t>
      </w:r>
      <w:proofErr w:type="spellStart"/>
      <w:r>
        <w:t>immunisations</w:t>
      </w:r>
      <w:proofErr w:type="spellEnd"/>
      <w:r>
        <w:t xml:space="preserve">. </w:t>
      </w:r>
      <w:proofErr w:type="gramStart"/>
      <w:r>
        <w:t>Like I probably do at least one to two every day.</w:t>
      </w:r>
      <w:proofErr w:type="gramEnd"/>
      <w:r>
        <w:t xml:space="preserve"> ” - NGN</w:t>
      </w:r>
    </w:p>
    <w:p w14:paraId="73826CE0" w14:textId="77777777" w:rsidR="000F387B" w:rsidRDefault="000F387B" w:rsidP="000F387B">
      <w:r>
        <w:t>At the site visits, the practice managers were mixed on whether the introduction of the NGN was having an impact on their target performance. This tended to relate to the context of the practice and the role of the NGN. When the NGN was an additional role, their contribution to targets</w:t>
      </w:r>
      <w:r w:rsidR="00466916">
        <w:t>,</w:t>
      </w:r>
      <w:r>
        <w:t xml:space="preserve"> and specifically an increase in target performance</w:t>
      </w:r>
      <w:r w:rsidR="00466916">
        <w:t>,</w:t>
      </w:r>
      <w:r>
        <w:t xml:space="preserve"> was more likely. When the NGN was filling an existing nursing role, the NGN contributed to target performance but did not necessarily increase target performance itself. </w:t>
      </w:r>
    </w:p>
    <w:p w14:paraId="6D97CF39" w14:textId="77777777" w:rsidR="000F387B" w:rsidRDefault="000F387B" w:rsidP="000F387B"/>
    <w:p w14:paraId="73F5B5AA" w14:textId="77777777" w:rsidR="000F387B" w:rsidRDefault="000F387B" w:rsidP="000F387B">
      <w:pPr>
        <w:pStyle w:val="Heading2"/>
      </w:pPr>
      <w:bookmarkStart w:id="29" w:name="_Toc415657678"/>
      <w:r>
        <w:t>Impacts on the workforce of VLCA practices</w:t>
      </w:r>
      <w:bookmarkEnd w:id="29"/>
    </w:p>
    <w:p w14:paraId="3447339E" w14:textId="77777777" w:rsidR="009B5E16" w:rsidRPr="009B5E16" w:rsidRDefault="009B5E16" w:rsidP="009B5E16">
      <w:r>
        <w:t xml:space="preserve">The evaluation identified the impact of the NGNs on the current workforce at the VLCA practices. These impacts included providing support to the existing workforce, enhancing job satisfaction for some staff through </w:t>
      </w:r>
      <w:r w:rsidR="00022091">
        <w:t xml:space="preserve">their role in </w:t>
      </w:r>
      <w:r>
        <w:t xml:space="preserve">mentoring the NGNs and </w:t>
      </w:r>
      <w:r w:rsidR="00022091">
        <w:t>the continuity provided by the NGN role, and the</w:t>
      </w:r>
      <w:r>
        <w:t xml:space="preserve"> </w:t>
      </w:r>
      <w:r w:rsidR="00022091">
        <w:t>introduction</w:t>
      </w:r>
      <w:r>
        <w:t xml:space="preserve"> new skills and ideas to the practices</w:t>
      </w:r>
      <w:r w:rsidR="00022091">
        <w:t xml:space="preserve"> by the NGNs</w:t>
      </w:r>
      <w:r>
        <w:t xml:space="preserve">.   </w:t>
      </w:r>
    </w:p>
    <w:p w14:paraId="2A940DCA" w14:textId="77777777" w:rsidR="000F387B" w:rsidRDefault="000F387B" w:rsidP="000F387B">
      <w:pPr>
        <w:pStyle w:val="Heading3"/>
      </w:pPr>
      <w:r>
        <w:t>NGN role in practices</w:t>
      </w:r>
    </w:p>
    <w:p w14:paraId="0CE1CC9D" w14:textId="77777777" w:rsidR="000F387B" w:rsidRDefault="000F387B" w:rsidP="000F387B">
      <w:r>
        <w:t xml:space="preserve">Initially, NGNs required a </w:t>
      </w:r>
      <w:r w:rsidR="00863313">
        <w:t xml:space="preserve">good deal </w:t>
      </w:r>
      <w:r>
        <w:t>of support but</w:t>
      </w:r>
      <w:r w:rsidR="00863313">
        <w:t xml:space="preserve"> as they have progressed and developed in their roles, they have become more independent</w:t>
      </w:r>
      <w:r>
        <w:t xml:space="preserve">. Their role differed slightly between practices with some undertaking </w:t>
      </w:r>
      <w:r w:rsidR="00421993">
        <w:t>valuable</w:t>
      </w:r>
      <w:r>
        <w:t xml:space="preserve"> project based work and others performing more patient consultations and supporting GPs.</w:t>
      </w:r>
      <w:r w:rsidRPr="00382F22">
        <w:t xml:space="preserve"> </w:t>
      </w:r>
      <w:r>
        <w:t xml:space="preserve">Data from one site indicates their NGN </w:t>
      </w:r>
      <w:r w:rsidR="00F73238">
        <w:t xml:space="preserve">recorded an encounter with </w:t>
      </w:r>
      <w:r>
        <w:t>a total of 6700</w:t>
      </w:r>
      <w:r w:rsidR="00436F8F">
        <w:rPr>
          <w:rStyle w:val="FootnoteReference"/>
        </w:rPr>
        <w:footnoteReference w:id="3"/>
      </w:r>
      <w:r>
        <w:t xml:space="preserve"> patients within the 10 months starting from February.</w:t>
      </w:r>
    </w:p>
    <w:p w14:paraId="4D73486D" w14:textId="77777777" w:rsidR="000F387B" w:rsidRDefault="000F387B" w:rsidP="000F387B">
      <w:r>
        <w:t>The mid-point survey and the site visits also found that the NGNs help</w:t>
      </w:r>
      <w:r w:rsidR="00466916">
        <w:t>ed</w:t>
      </w:r>
      <w:r>
        <w:t xml:space="preserve"> to share the staff workload. The addition of the NGN was described as relieving the burden on other clinical staff who noticed the difference in their workload when the NGN is away. It has also allowed for some staff to take leave and attend professional development opportunities that they otherwise would not have been able to take due to lack of staff cover. </w:t>
      </w:r>
    </w:p>
    <w:p w14:paraId="5AAE4993" w14:textId="77777777" w:rsidR="000F387B" w:rsidRDefault="000F387B" w:rsidP="000F387B">
      <w:pPr>
        <w:pStyle w:val="Heading3"/>
      </w:pPr>
      <w:r>
        <w:lastRenderedPageBreak/>
        <w:t>Staff satisfaction</w:t>
      </w:r>
    </w:p>
    <w:p w14:paraId="6B496D48" w14:textId="77777777" w:rsidR="000F387B" w:rsidRDefault="000F387B" w:rsidP="000F387B">
      <w:r>
        <w:t>The mid-point survey and the site visits identified the level of satisfaction that many practice staff experienced when supporting the NGN. For example, one of the doctors noted that they used to teach quite often and enjoyed the opportunity to te</w:t>
      </w:r>
      <w:r w:rsidR="008D3F3E">
        <w:t>a</w:t>
      </w:r>
      <w:r>
        <w:t>ch a NGN:</w:t>
      </w:r>
    </w:p>
    <w:p w14:paraId="7AF25E09" w14:textId="77777777" w:rsidR="000F387B" w:rsidRPr="00F875BA" w:rsidRDefault="000F387B" w:rsidP="000F387B">
      <w:pPr>
        <w:pStyle w:val="Quote"/>
        <w:spacing w:after="120"/>
      </w:pPr>
      <w:r>
        <w:t>“I like teaching, so I enjoy that aspect of my job… That’s actually something that I haven’t done as much here as I did in the States, so it’s actually nice for me to do it more.” – GP</w:t>
      </w:r>
    </w:p>
    <w:p w14:paraId="3F0E7B47" w14:textId="77777777" w:rsidR="004619F1" w:rsidRDefault="004619F1" w:rsidP="000F387B">
      <w:pPr>
        <w:rPr>
          <w:lang w:val="en-US"/>
        </w:rPr>
      </w:pPr>
      <w:r>
        <w:rPr>
          <w:lang w:val="en-US"/>
        </w:rPr>
        <w:t>The nursing staff also valued this role:</w:t>
      </w:r>
    </w:p>
    <w:p w14:paraId="299C1DF3" w14:textId="77777777" w:rsidR="004619F1" w:rsidRPr="004619F1" w:rsidRDefault="004619F1" w:rsidP="004619F1">
      <w:pPr>
        <w:pStyle w:val="ListParagraph"/>
        <w:ind w:left="720"/>
        <w:rPr>
          <w:i/>
          <w:lang w:eastAsia="en-US"/>
        </w:rPr>
      </w:pPr>
      <w:proofErr w:type="gramStart"/>
      <w:r w:rsidRPr="004619F1">
        <w:rPr>
          <w:i/>
          <w:lang w:eastAsia="en-US"/>
        </w:rPr>
        <w:t>“Having the opportunity to Precept the New Grad although it was not my role.</w:t>
      </w:r>
      <w:proofErr w:type="gramEnd"/>
      <w:r w:rsidRPr="004619F1">
        <w:rPr>
          <w:i/>
          <w:lang w:eastAsia="en-US"/>
        </w:rPr>
        <w:t xml:space="preserve">  I saw her on occasion needing support so took the opportunity to </w:t>
      </w:r>
      <w:proofErr w:type="spellStart"/>
      <w:r w:rsidRPr="004619F1">
        <w:rPr>
          <w:i/>
          <w:lang w:eastAsia="en-US"/>
        </w:rPr>
        <w:t>awhi</w:t>
      </w:r>
      <w:proofErr w:type="spellEnd"/>
      <w:r w:rsidRPr="004619F1">
        <w:rPr>
          <w:i/>
          <w:lang w:eastAsia="en-US"/>
        </w:rPr>
        <w:t xml:space="preserve"> her as Practice Nurses should.  It helped me increase my Leadership skills.”</w:t>
      </w:r>
      <w:r w:rsidR="00466916">
        <w:rPr>
          <w:i/>
          <w:lang w:eastAsia="en-US"/>
        </w:rPr>
        <w:t xml:space="preserve"> – Practice Nurse</w:t>
      </w:r>
    </w:p>
    <w:p w14:paraId="6535ADDF" w14:textId="77777777" w:rsidR="00F65173" w:rsidRDefault="00F65173" w:rsidP="000F387B">
      <w:pPr>
        <w:rPr>
          <w:lang w:val="en-US"/>
        </w:rPr>
      </w:pPr>
      <w:r>
        <w:rPr>
          <w:lang w:val="en-US"/>
        </w:rPr>
        <w:t xml:space="preserve">When identifying the individual benefits of the scheme in the mid-point survey, the practice staff </w:t>
      </w:r>
      <w:r w:rsidR="00466916">
        <w:rPr>
          <w:lang w:val="en-US"/>
        </w:rPr>
        <w:t xml:space="preserve">also </w:t>
      </w:r>
      <w:r>
        <w:rPr>
          <w:lang w:val="en-US"/>
        </w:rPr>
        <w:t>frequently noted the value of bringing local NGNs into primary care:</w:t>
      </w:r>
    </w:p>
    <w:p w14:paraId="575C1F80" w14:textId="77777777" w:rsidR="00F65173" w:rsidRPr="00F65173" w:rsidRDefault="00F65173" w:rsidP="00F65173">
      <w:pPr>
        <w:pStyle w:val="ListParagraph"/>
        <w:numPr>
          <w:ilvl w:val="0"/>
          <w:numId w:val="39"/>
        </w:numPr>
        <w:rPr>
          <w:i/>
          <w:lang w:eastAsia="en-US"/>
        </w:rPr>
      </w:pPr>
      <w:r w:rsidRPr="00F65173">
        <w:rPr>
          <w:i/>
          <w:lang w:eastAsia="en-US"/>
        </w:rPr>
        <w:t>“Employing a skilled, local Māori NGN.”</w:t>
      </w:r>
    </w:p>
    <w:p w14:paraId="04314307" w14:textId="77777777" w:rsidR="00F65173" w:rsidRPr="00F65173" w:rsidRDefault="00F65173" w:rsidP="00F65173">
      <w:pPr>
        <w:pStyle w:val="ListParagraph"/>
        <w:numPr>
          <w:ilvl w:val="0"/>
          <w:numId w:val="39"/>
        </w:numPr>
        <w:rPr>
          <w:i/>
          <w:lang w:eastAsia="en-US"/>
        </w:rPr>
      </w:pPr>
      <w:r w:rsidRPr="00F65173">
        <w:rPr>
          <w:i/>
          <w:lang w:eastAsia="en-US"/>
        </w:rPr>
        <w:t>“Increase Māori nurses in GP practice.”</w:t>
      </w:r>
    </w:p>
    <w:p w14:paraId="70E508A1" w14:textId="77777777" w:rsidR="00F65173" w:rsidRPr="00F65173" w:rsidRDefault="00F65173" w:rsidP="00F65173">
      <w:pPr>
        <w:pStyle w:val="ListParagraph"/>
        <w:numPr>
          <w:ilvl w:val="0"/>
          <w:numId w:val="39"/>
        </w:numPr>
        <w:rPr>
          <w:i/>
          <w:lang w:eastAsia="en-US"/>
        </w:rPr>
      </w:pPr>
      <w:r w:rsidRPr="00F65173">
        <w:rPr>
          <w:i/>
          <w:lang w:eastAsia="en-US"/>
        </w:rPr>
        <w:t>“Recruiting a potential Pacific nurse to keep long term.”</w:t>
      </w:r>
    </w:p>
    <w:p w14:paraId="1D890552" w14:textId="77777777" w:rsidR="00F65173" w:rsidRPr="00F65173" w:rsidRDefault="00F65173" w:rsidP="000F387B">
      <w:pPr>
        <w:pStyle w:val="ListParagraph"/>
        <w:numPr>
          <w:ilvl w:val="0"/>
          <w:numId w:val="39"/>
        </w:numPr>
        <w:rPr>
          <w:i/>
          <w:lang w:eastAsia="en-US"/>
        </w:rPr>
      </w:pPr>
      <w:r w:rsidRPr="00F65173">
        <w:rPr>
          <w:i/>
          <w:lang w:eastAsia="en-US"/>
        </w:rPr>
        <w:t>“Bringing new 'blood' into primary care before they get snaffled up by the DHB who pay more.”</w:t>
      </w:r>
    </w:p>
    <w:p w14:paraId="2C9DE5F2" w14:textId="77777777" w:rsidR="000F387B" w:rsidRPr="0065761F" w:rsidRDefault="000F387B" w:rsidP="000F387B">
      <w:pPr>
        <w:rPr>
          <w:lang w:val="en-US"/>
        </w:rPr>
      </w:pPr>
      <w:r>
        <w:rPr>
          <w:lang w:val="en-US"/>
        </w:rPr>
        <w:t xml:space="preserve">For other staff at practices that experienced difficulties in recruitment, the satisfaction of working with a more consistent team was a key benefit: </w:t>
      </w:r>
    </w:p>
    <w:p w14:paraId="408B2F82" w14:textId="77777777" w:rsidR="000F387B" w:rsidRDefault="000F387B" w:rsidP="000F387B">
      <w:pPr>
        <w:pStyle w:val="Quote"/>
        <w:spacing w:after="120"/>
      </w:pPr>
      <w:r>
        <w:t>“It was actually better to have somebody that maybe didn’t have the experience but who was going to be here that we could train versus someone who was just coming in periodically</w:t>
      </w:r>
      <w:r w:rsidR="00466916">
        <w:t>,</w:t>
      </w:r>
      <w:r>
        <w:t xml:space="preserve"> that by the time you’ve kind of got them used to the system, they were gone anyway… Now we have two regular nurses and two regular doctors and a nurse practitioner and it’s just a much nicer environment to be working.” - GP</w:t>
      </w:r>
    </w:p>
    <w:p w14:paraId="36AA69B7" w14:textId="77777777" w:rsidR="000F387B" w:rsidRDefault="000F387B" w:rsidP="000F387B">
      <w:pPr>
        <w:rPr>
          <w:lang w:val="en-US"/>
        </w:rPr>
      </w:pPr>
      <w:r>
        <w:rPr>
          <w:lang w:val="en-US"/>
        </w:rPr>
        <w:t xml:space="preserve">However, this was not the case at all practices. One practice nurse </w:t>
      </w:r>
      <w:r w:rsidR="00466916">
        <w:rPr>
          <w:lang w:val="en-US"/>
        </w:rPr>
        <w:t xml:space="preserve">at one of the site visits </w:t>
      </w:r>
      <w:r>
        <w:rPr>
          <w:lang w:val="en-US"/>
        </w:rPr>
        <w:t xml:space="preserve">did not have the role of the NGN </w:t>
      </w:r>
      <w:r w:rsidR="00436F8F">
        <w:rPr>
          <w:lang w:val="en-US"/>
        </w:rPr>
        <w:t xml:space="preserve">or their arrival date </w:t>
      </w:r>
      <w:r>
        <w:rPr>
          <w:lang w:val="en-US"/>
        </w:rPr>
        <w:t>clearly communicated to them</w:t>
      </w:r>
      <w:r w:rsidR="00436F8F">
        <w:rPr>
          <w:lang w:val="en-US"/>
        </w:rPr>
        <w:t>. T</w:t>
      </w:r>
      <w:r>
        <w:rPr>
          <w:lang w:val="en-US"/>
        </w:rPr>
        <w:t xml:space="preserve">his led to resistance towards the introduction of the NGN from some of the staff </w:t>
      </w:r>
      <w:r w:rsidR="00436F8F">
        <w:rPr>
          <w:lang w:val="en-US"/>
        </w:rPr>
        <w:t xml:space="preserve">who </w:t>
      </w:r>
      <w:proofErr w:type="gramStart"/>
      <w:r>
        <w:rPr>
          <w:lang w:val="en-US"/>
        </w:rPr>
        <w:t>were</w:t>
      </w:r>
      <w:proofErr w:type="gramEnd"/>
      <w:r>
        <w:rPr>
          <w:lang w:val="en-US"/>
        </w:rPr>
        <w:t xml:space="preserve"> needed to support the NGN, especially in the early stages of the scheme. </w:t>
      </w:r>
    </w:p>
    <w:p w14:paraId="42A66301" w14:textId="77777777" w:rsidR="000F387B" w:rsidRDefault="000F387B" w:rsidP="000F387B">
      <w:pPr>
        <w:pStyle w:val="Heading3"/>
      </w:pPr>
      <w:r>
        <w:t>New learning</w:t>
      </w:r>
    </w:p>
    <w:p w14:paraId="0430E8D2" w14:textId="77777777" w:rsidR="000F387B" w:rsidRDefault="000F387B" w:rsidP="000F387B">
      <w:r>
        <w:t xml:space="preserve">Hoare et al </w:t>
      </w:r>
      <w:r w:rsidR="009B410D" w:rsidRPr="00755CF3">
        <w:fldChar w:fldCharType="begin"/>
      </w:r>
      <w:r w:rsidRPr="00755CF3">
        <w:instrText>ADDIN RW.CITE{{370 Hoare,K. 2013}}</w:instrText>
      </w:r>
      <w:r w:rsidR="009B410D" w:rsidRPr="00755CF3">
        <w:fldChar w:fldCharType="separate"/>
      </w:r>
      <w:r w:rsidRPr="00146C56">
        <w:t>(4)</w:t>
      </w:r>
      <w:r w:rsidR="009B410D" w:rsidRPr="00755CF3">
        <w:fldChar w:fldCharType="end"/>
      </w:r>
      <w:r>
        <w:t xml:space="preserve"> found that training NGNs in general practice lead to ‘reciprocal role modelling.’ </w:t>
      </w:r>
      <w:r w:rsidR="00466916">
        <w:t xml:space="preserve">They found that </w:t>
      </w:r>
      <w:r>
        <w:t xml:space="preserve">NGNs were often experts at sourcing information. </w:t>
      </w:r>
      <w:r w:rsidR="00436F8F">
        <w:t>Specifically, t</w:t>
      </w:r>
      <w:r>
        <w:t xml:space="preserve">hey would assist </w:t>
      </w:r>
      <w:r>
        <w:lastRenderedPageBreak/>
        <w:t>experienced nurses develop these skills and assist in the dissemination of best practice. This idea of learning from the NGN was also found in the mid-point survey with 80% of practice respondents indicating that NGNs had introduced new skills or processes</w:t>
      </w:r>
      <w:r w:rsidR="008D3F3E">
        <w:t xml:space="preserve"> (n=112)</w:t>
      </w:r>
      <w:r>
        <w:t xml:space="preserve">. </w:t>
      </w:r>
    </w:p>
    <w:p w14:paraId="63607064" w14:textId="77777777" w:rsidR="000F387B" w:rsidRDefault="000F387B" w:rsidP="000F387B">
      <w:r>
        <w:t xml:space="preserve">The finding was </w:t>
      </w:r>
      <w:r w:rsidR="00436F8F">
        <w:t>further</w:t>
      </w:r>
      <w:r>
        <w:t xml:space="preserve"> supported through the site visits. At one practice, colleagues of the NGN suggested that they learnt new skills</w:t>
      </w:r>
      <w:r w:rsidR="00466916">
        <w:t xml:space="preserve">, </w:t>
      </w:r>
      <w:r>
        <w:t>such as finding best practice information and up-to-date brochures on the computer. At this practice, the NGN had also taken leadership in setting up a computer folder where staff could save any resources they found to be particularly useful.</w:t>
      </w:r>
      <w:r w:rsidR="00436F8F">
        <w:t xml:space="preserve"> Some of the practice staff also indicated that mentoring the NGNs supported them to refine and reflect on their own practice. </w:t>
      </w:r>
    </w:p>
    <w:p w14:paraId="05C49DB3" w14:textId="77777777" w:rsidR="000F387B" w:rsidRDefault="000F387B" w:rsidP="000F387B">
      <w:r>
        <w:t>Some of the practice staff also felt the introduction of the NGN brought more than just sharing of new skills and information but influenced the culture in the practice:</w:t>
      </w:r>
    </w:p>
    <w:p w14:paraId="62E288AF" w14:textId="77777777" w:rsidR="000F387B" w:rsidRDefault="000F387B" w:rsidP="000F387B">
      <w:pPr>
        <w:pStyle w:val="Quote"/>
        <w:spacing w:after="120"/>
      </w:pPr>
      <w:r>
        <w:t>“One of the good things I like about bringing new blood into any workplace is it puts some pressure on your already existing people who can actually be a little bit stale and whatever… I think puts a little bit of pressure in the environment for the people that have been around for a little while to lift up their socks.” – Practice owner</w:t>
      </w:r>
    </w:p>
    <w:p w14:paraId="27A2854E" w14:textId="77777777" w:rsidR="000F387B" w:rsidRDefault="00A93FDC" w:rsidP="000F387B">
      <w:r>
        <w:t xml:space="preserve">At </w:t>
      </w:r>
      <w:r w:rsidR="00FB1B5A">
        <w:t>one</w:t>
      </w:r>
      <w:r>
        <w:t xml:space="preserve"> practice, </w:t>
      </w:r>
      <w:r w:rsidR="00FB1B5A">
        <w:t>this shared learning</w:t>
      </w:r>
      <w:r>
        <w:t xml:space="preserve"> was not experienced, and was </w:t>
      </w:r>
      <w:r w:rsidR="00FB1B5A">
        <w:t>considered to be</w:t>
      </w:r>
      <w:r>
        <w:t xml:space="preserve"> due to the young age of the NGN.</w:t>
      </w:r>
      <w:r w:rsidR="000F387B">
        <w:t xml:space="preserve"> One of the DHB staff indicated that from their experience, some NGNs do not feel confident to challenge the status quo as it might indicate a lack of respect for senior staff. In particular, this stakeholder thought that Māori and </w:t>
      </w:r>
      <w:proofErr w:type="spellStart"/>
      <w:r w:rsidR="000F387B">
        <w:t>Pasifika</w:t>
      </w:r>
      <w:proofErr w:type="spellEnd"/>
      <w:r w:rsidR="000F387B">
        <w:t xml:space="preserve"> NGNs might be less likely to challenge existing staff due to a cultural focus on respecting elders. The experiences of the other practices and NGNs identified in the interviews and </w:t>
      </w:r>
      <w:r w:rsidR="00FB1B5A">
        <w:t>survey</w:t>
      </w:r>
      <w:r w:rsidR="000F387B">
        <w:t xml:space="preserve"> however, suggests that this was not generally the case. </w:t>
      </w:r>
    </w:p>
    <w:p w14:paraId="20E0D21C" w14:textId="77777777" w:rsidR="000F387B" w:rsidRDefault="000F387B" w:rsidP="000F387B"/>
    <w:p w14:paraId="6BE94EAA" w14:textId="77777777" w:rsidR="000F387B" w:rsidRPr="00150805" w:rsidRDefault="000F387B" w:rsidP="000F387B">
      <w:pPr>
        <w:pStyle w:val="Heading2"/>
      </w:pPr>
      <w:bookmarkStart w:id="30" w:name="_Toc415657679"/>
      <w:r>
        <w:t>Impacts on the relationships between the practices, PHOs and DHBs</w:t>
      </w:r>
      <w:bookmarkEnd w:id="30"/>
    </w:p>
    <w:p w14:paraId="707BCF6F" w14:textId="77777777" w:rsidR="00436F8F" w:rsidRDefault="00423B47" w:rsidP="000F387B">
      <w:r>
        <w:t xml:space="preserve">Overall, the scheme had increased connections between the practices, PHOs and DHBs. These increased connections were most likely to be experienced between the PHOs and the practices. The role of the NETP coordinator in the implementation of the scheme however, facilitated connections between some practices and the DHBs. </w:t>
      </w:r>
    </w:p>
    <w:p w14:paraId="58D1C2F1" w14:textId="77777777" w:rsidR="000F387B" w:rsidRDefault="000F387B" w:rsidP="000F387B">
      <w:r>
        <w:t>The mid-point survey found that most respondents felt the scheme had increased the connections between the practice and the PHO (62%</w:t>
      </w:r>
      <w:r w:rsidR="002D3F79">
        <w:t>; n=87)</w:t>
      </w:r>
      <w:r>
        <w:t>) and increased the connections between the DHB and the practice (53%</w:t>
      </w:r>
      <w:r w:rsidR="002D3F79">
        <w:t>; n=88</w:t>
      </w:r>
      <w:r>
        <w:t>). PHO and DHB respondents were more likely to agree that the scheme had increased connections than respondents from the VLCA practices.</w:t>
      </w:r>
      <w:r w:rsidR="00E47249">
        <w:t xml:space="preserve"> These increased connections </w:t>
      </w:r>
      <w:r w:rsidR="00E47249">
        <w:lastRenderedPageBreak/>
        <w:t>were also noted as individual benefits of the VLCA scheme by DHB and PHO staff in the mid-point survey:</w:t>
      </w:r>
    </w:p>
    <w:p w14:paraId="02308DDE" w14:textId="77777777" w:rsidR="00E47249" w:rsidRPr="00E47249" w:rsidRDefault="00E47249" w:rsidP="00E47249">
      <w:pPr>
        <w:ind w:firstLine="720"/>
        <w:rPr>
          <w:i/>
          <w:lang w:eastAsia="en-US"/>
        </w:rPr>
      </w:pPr>
      <w:proofErr w:type="gramStart"/>
      <w:r w:rsidRPr="00E47249">
        <w:rPr>
          <w:i/>
          <w:lang w:eastAsia="en-US"/>
        </w:rPr>
        <w:t>“An opportunity to engage with an Iwi provider.”</w:t>
      </w:r>
      <w:proofErr w:type="gramEnd"/>
      <w:r w:rsidR="00803A40">
        <w:rPr>
          <w:i/>
          <w:lang w:eastAsia="en-US"/>
        </w:rPr>
        <w:t xml:space="preserve"> – PHO staff</w:t>
      </w:r>
    </w:p>
    <w:p w14:paraId="1BBF29DC" w14:textId="77777777" w:rsidR="00E47249" w:rsidRPr="00E47249" w:rsidRDefault="00E47249" w:rsidP="00E47249">
      <w:pPr>
        <w:ind w:firstLine="720"/>
        <w:rPr>
          <w:i/>
          <w:lang w:eastAsia="en-US"/>
        </w:rPr>
      </w:pPr>
      <w:r w:rsidRPr="00E47249">
        <w:rPr>
          <w:i/>
          <w:lang w:eastAsia="en-US"/>
        </w:rPr>
        <w:t>“It has increased my positive working relationship with the PHO by supporting</w:t>
      </w:r>
      <w:r>
        <w:rPr>
          <w:i/>
          <w:lang w:eastAsia="en-US"/>
        </w:rPr>
        <w:t xml:space="preserve"> these</w:t>
      </w:r>
      <w:r>
        <w:rPr>
          <w:i/>
          <w:lang w:eastAsia="en-US"/>
        </w:rPr>
        <w:tab/>
      </w:r>
      <w:r w:rsidRPr="00E47249">
        <w:rPr>
          <w:i/>
          <w:lang w:eastAsia="en-US"/>
        </w:rPr>
        <w:t>practices.”</w:t>
      </w:r>
      <w:r w:rsidR="00803A40">
        <w:rPr>
          <w:i/>
          <w:lang w:eastAsia="en-US"/>
        </w:rPr>
        <w:t xml:space="preserve"> NETP Coordinator</w:t>
      </w:r>
    </w:p>
    <w:p w14:paraId="0FB596D9" w14:textId="77777777" w:rsidR="00E47249" w:rsidRPr="003744ED" w:rsidRDefault="00E47249" w:rsidP="00E47249">
      <w:pPr>
        <w:ind w:firstLine="720"/>
        <w:rPr>
          <w:lang w:eastAsia="en-US"/>
        </w:rPr>
      </w:pPr>
      <w:r w:rsidRPr="00E47249">
        <w:rPr>
          <w:i/>
          <w:lang w:eastAsia="en-US"/>
        </w:rPr>
        <w:t>“Getting to know the practice and practice staff better.”</w:t>
      </w:r>
      <w:r w:rsidR="00803A40">
        <w:rPr>
          <w:i/>
          <w:lang w:eastAsia="en-US"/>
        </w:rPr>
        <w:t xml:space="preserve"> – PHO Staff</w:t>
      </w:r>
    </w:p>
    <w:p w14:paraId="4468B69C" w14:textId="77777777" w:rsidR="00E47249" w:rsidRDefault="00E47249" w:rsidP="000F387B"/>
    <w:p w14:paraId="003245DC" w14:textId="77777777" w:rsidR="000F387B" w:rsidRDefault="000F387B" w:rsidP="000F387B">
      <w:r>
        <w:t>The mid-point survey suggests that the scheme has helped to secure relationships between practices and PHOs but there were few</w:t>
      </w:r>
      <w:r w:rsidR="00E47249">
        <w:t>er</w:t>
      </w:r>
      <w:r>
        <w:t xml:space="preserve"> direct links between practices and DHBs, as these relationships tended to be facilitated through the PHO. Some of the practices selected in the site visits were owned by their PHO which made the impact of the scheme on these relationships harder to explore. The other practices involved in the site visits also often had existing relationships with their PHO. </w:t>
      </w:r>
    </w:p>
    <w:p w14:paraId="23AEAB77" w14:textId="77777777" w:rsidR="000F387B" w:rsidRDefault="000F387B" w:rsidP="000F387B">
      <w:r>
        <w:t>The site visit interviews did provide an insight into the impact of the scheme on the relationship between practices and DHBs. For example, one practice suggested that they now had a more positive relationship with the DHB. They suggested that their relationships with the DHB had moved from one of just monitoring practice activities to the practice feeling that they had more traction with the DHB. The increased connections with the DHB had also increased their awareness of the training the DHB offered to primary care staff.</w:t>
      </w:r>
    </w:p>
    <w:p w14:paraId="7EF4C3F4" w14:textId="77777777" w:rsidR="000F387B" w:rsidRDefault="000F387B" w:rsidP="000F387B">
      <w:r>
        <w:t xml:space="preserve">The stakeholder interviews suggested that scheme increased the connections </w:t>
      </w:r>
      <w:r w:rsidR="002D3F79">
        <w:t xml:space="preserve">between </w:t>
      </w:r>
      <w:r>
        <w:t xml:space="preserve">the DHB and PHOs. For example, some of the DHB staff </w:t>
      </w:r>
      <w:proofErr w:type="gramStart"/>
      <w:r>
        <w:t>were</w:t>
      </w:r>
      <w:proofErr w:type="gramEnd"/>
      <w:r>
        <w:t xml:space="preserve"> aware that they did not have the resources or time available to visit all the NGNs in their practices to provide support. This resulted in some increasing their engagement with the PHO nurse leaders to ensure that appropriate support was provided to the NGNs. </w:t>
      </w:r>
    </w:p>
    <w:p w14:paraId="0F0E5A0F" w14:textId="77777777" w:rsidR="000F387B" w:rsidRPr="006718B3" w:rsidRDefault="000F387B" w:rsidP="000F387B"/>
    <w:p w14:paraId="34A1B303" w14:textId="77777777" w:rsidR="000F387B" w:rsidRDefault="000F387B" w:rsidP="000F387B">
      <w:pPr>
        <w:pStyle w:val="Heading2"/>
      </w:pPr>
      <w:bookmarkStart w:id="31" w:name="_Toc415657680"/>
      <w:r>
        <w:t>Impacts on the sustainability of VLCA practices</w:t>
      </w:r>
      <w:bookmarkEnd w:id="31"/>
    </w:p>
    <w:p w14:paraId="3A5D5175" w14:textId="77777777" w:rsidR="00423B47" w:rsidRDefault="00067403" w:rsidP="00423B47">
      <w:r>
        <w:t xml:space="preserve">When reviewing the impact of the scheme on the sustainability of the VLCA practices, it is important to be mindful that this </w:t>
      </w:r>
      <w:proofErr w:type="gramStart"/>
      <w:r>
        <w:t>reports</w:t>
      </w:r>
      <w:proofErr w:type="gramEnd"/>
      <w:r>
        <w:t xml:space="preserve"> provides an insight into the implementation and impacts of the scheme just after the initial 12 months of funding. Following up with the VLCA practices in another six to 12 months would be important for providing further insight into the impact of the scheme on </w:t>
      </w:r>
      <w:r>
        <w:lastRenderedPageBreak/>
        <w:t>the sustainability of the VLCA practices. This follow-up could identify the impact on financial, workforce, clinical and social sustainability after the 12 months of funding.</w:t>
      </w:r>
    </w:p>
    <w:p w14:paraId="290AC767" w14:textId="77777777" w:rsidR="00067403" w:rsidRPr="00423B47" w:rsidRDefault="00067403" w:rsidP="00423B47">
      <w:r>
        <w:t xml:space="preserve">This evaluation however, does provide an insight into the impacts of the scheme on the sustainability of the VLCA practices. </w:t>
      </w:r>
      <w:r w:rsidR="00955E5B">
        <w:t>While</w:t>
      </w:r>
      <w:r w:rsidR="00025213">
        <w:t xml:space="preserve"> practices were less likely to suggest that the NGN had impacted on the financial sustainability of the practice</w:t>
      </w:r>
      <w:r w:rsidR="00955E5B">
        <w:t>, t</w:t>
      </w:r>
      <w:r w:rsidR="00025213">
        <w:t xml:space="preserve">he contribution of the scheme to workforce, clinical and social sustainability was often noted by the practice staff.  </w:t>
      </w:r>
    </w:p>
    <w:p w14:paraId="1D90825A" w14:textId="77777777" w:rsidR="000F387B" w:rsidRDefault="000F387B" w:rsidP="000F387B">
      <w:pPr>
        <w:pStyle w:val="Heading3"/>
      </w:pPr>
      <w:r>
        <w:t>Financial sustainability</w:t>
      </w:r>
    </w:p>
    <w:p w14:paraId="4BE5788F" w14:textId="77777777" w:rsidR="000F387B" w:rsidRDefault="000F387B" w:rsidP="000F387B">
      <w:r>
        <w:t>The mid-point survey suggests that the NGNs only influenced the financial sustainability of half of the practices who took part in the survey.  Specifically, just under half</w:t>
      </w:r>
      <w:r w:rsidRPr="005E6526">
        <w:t xml:space="preserve"> </w:t>
      </w:r>
      <w:r>
        <w:t>felt that the NGN increased the fiscal sustainability of the VLCA practice (45%</w:t>
      </w:r>
      <w:r w:rsidR="002D3F79">
        <w:t>; n=33</w:t>
      </w:r>
      <w:r>
        <w:t>), 35% indicated the NGN had increased revenue at the practice</w:t>
      </w:r>
      <w:r w:rsidR="002D3F79">
        <w:t xml:space="preserve"> (n=34)</w:t>
      </w:r>
      <w:r>
        <w:t xml:space="preserve"> and 34% indicated they reduced costs</w:t>
      </w:r>
      <w:r w:rsidR="002D3F79">
        <w:t xml:space="preserve"> (n=32)</w:t>
      </w:r>
      <w:r>
        <w:t>.</w:t>
      </w:r>
    </w:p>
    <w:p w14:paraId="3D4ED2D3" w14:textId="77777777" w:rsidR="000F387B" w:rsidRDefault="000F387B" w:rsidP="000F387B">
      <w:r>
        <w:t xml:space="preserve">This sentiment was echoed in the site visits. One practice mentioned that the funding does not entirely cover their costs of the NGN for the year and their contribution was an illustration of their commitment to the employment scheme. </w:t>
      </w:r>
      <w:r w:rsidR="00BB0A47">
        <w:t>Some of t</w:t>
      </w:r>
      <w:r>
        <w:t xml:space="preserve">he practices without </w:t>
      </w:r>
      <w:r w:rsidR="00BB0A47">
        <w:t>previous</w:t>
      </w:r>
      <w:r>
        <w:t xml:space="preserve"> experience of NGNs also suggested that they would not take on another NGN without the additional funding to support the role</w:t>
      </w:r>
      <w:r w:rsidRPr="00222885">
        <w:t xml:space="preserve"> </w:t>
      </w:r>
      <w:r>
        <w:t>due to the financial cost of training them.</w:t>
      </w:r>
      <w:r w:rsidR="00421993">
        <w:t xml:space="preserve"> Site visit </w:t>
      </w:r>
      <w:r w:rsidR="002D3F79">
        <w:t>interviews similarly suggest</w:t>
      </w:r>
      <w:r w:rsidR="00BB0A47">
        <w:t>ed that</w:t>
      </w:r>
      <w:r w:rsidR="00421993">
        <w:t xml:space="preserve"> the NGN role had limited impact on financial sustainability</w:t>
      </w:r>
      <w:r>
        <w:t xml:space="preserve">. However, </w:t>
      </w:r>
      <w:r w:rsidR="00BB0A47">
        <w:t xml:space="preserve">the scheme </w:t>
      </w:r>
      <w:r>
        <w:t xml:space="preserve">did provide additional resource for practices to have a new graduate nurse, which for some would not have been possible without the scheme. </w:t>
      </w:r>
    </w:p>
    <w:p w14:paraId="13FAD06E" w14:textId="77777777" w:rsidR="000F387B" w:rsidRDefault="000F387B" w:rsidP="000F387B">
      <w:pPr>
        <w:pStyle w:val="Heading3"/>
      </w:pPr>
      <w:r>
        <w:t>Workforce sustainability</w:t>
      </w:r>
    </w:p>
    <w:p w14:paraId="181AD565" w14:textId="77777777" w:rsidR="000F387B" w:rsidRDefault="000F387B" w:rsidP="000F387B">
      <w:r>
        <w:t>Practice managers and owners suggested that the scheme contributed to the sustainability of the workforce. Most of the practices we visited had a recent resignation or were short-staffed and the NGN filled the gap in their workforce. This was most relevant to practices outside the large metropolitan areas which faced recruiting difficulties. For one practice, just being able to employ a nurse full-time was the most beneficial aspect of the scheme. This shows the value of the scheme in supporting practices to bring on new nurses into the workforce:</w:t>
      </w:r>
    </w:p>
    <w:p w14:paraId="58793777" w14:textId="77777777" w:rsidR="000F387B" w:rsidRDefault="000F387B" w:rsidP="000F387B">
      <w:pPr>
        <w:pStyle w:val="Quote"/>
        <w:spacing w:after="120"/>
      </w:pPr>
      <w:r>
        <w:t xml:space="preserve">“There are a lot of nurses leaving the cities and coming back to rural areas. You </w:t>
      </w:r>
      <w:proofErr w:type="gramStart"/>
      <w:r>
        <w:t>know,</w:t>
      </w:r>
      <w:proofErr w:type="gramEnd"/>
      <w:r>
        <w:t xml:space="preserve"> kind of the semi-retirement option. This practice particularly is not a semi-retirement option. It’s a very, very busy practice.</w:t>
      </w:r>
      <w:r w:rsidRPr="002E6E9C">
        <w:t xml:space="preserve"> </w:t>
      </w:r>
      <w:r>
        <w:t>And so we were looking to groom somebody to be here who was energetic and vibrant and trainable and had a good attitude.” – Practice Manager</w:t>
      </w:r>
    </w:p>
    <w:p w14:paraId="3D51BDC7" w14:textId="77777777" w:rsidR="000F387B" w:rsidRDefault="000F387B" w:rsidP="000F387B">
      <w:pPr>
        <w:rPr>
          <w:lang w:val="en-US"/>
        </w:rPr>
      </w:pPr>
      <w:r>
        <w:rPr>
          <w:lang w:val="en-US"/>
        </w:rPr>
        <w:t>Practice managers also identified the value of having a staff member who was easily molded into their practice culture</w:t>
      </w:r>
      <w:r w:rsidR="00AE2BDA">
        <w:rPr>
          <w:lang w:val="en-US"/>
        </w:rPr>
        <w:t>:</w:t>
      </w:r>
    </w:p>
    <w:p w14:paraId="03EA4434" w14:textId="77777777" w:rsidR="000F387B" w:rsidRDefault="000F387B" w:rsidP="000F387B">
      <w:pPr>
        <w:pStyle w:val="Quote"/>
        <w:spacing w:after="120"/>
      </w:pPr>
      <w:r>
        <w:lastRenderedPageBreak/>
        <w:t xml:space="preserve">“Key benefit is that we were able to mold a person to the style of practice that we have and to adhere to the protocols. Sometimes when you have a more experience person they are quite set in their ways. </w:t>
      </w:r>
      <w:r w:rsidR="00AE2BDA">
        <w:t>I</w:t>
      </w:r>
      <w:r>
        <w:t xml:space="preserve">t’s difficult to move them from how they think nursing should be to our </w:t>
      </w:r>
      <w:proofErr w:type="gramStart"/>
      <w:r>
        <w:t>practice</w:t>
      </w:r>
      <w:r w:rsidR="00AE2BDA">
        <w:t>,</w:t>
      </w:r>
      <w:proofErr w:type="gramEnd"/>
      <w:r>
        <w:t xml:space="preserve"> this is how we want you to provide nursing services. So that is very beneficial. You know, you haven’t got any old habits to get rid of.” – Practice Manager</w:t>
      </w:r>
    </w:p>
    <w:p w14:paraId="4D472840" w14:textId="77777777" w:rsidR="00857E51" w:rsidRDefault="00857E51" w:rsidP="000F387B">
      <w:pPr>
        <w:rPr>
          <w:lang w:val="en-US"/>
        </w:rPr>
      </w:pPr>
      <w:r>
        <w:rPr>
          <w:lang w:val="en-US"/>
        </w:rPr>
        <w:t xml:space="preserve">The mid-point survey also suggested that the introduction of the NGN role had some immediate benefits </w:t>
      </w:r>
      <w:r w:rsidR="00AE2BDA">
        <w:rPr>
          <w:lang w:val="en-US"/>
        </w:rPr>
        <w:t>for</w:t>
      </w:r>
      <w:r>
        <w:rPr>
          <w:lang w:val="en-US"/>
        </w:rPr>
        <w:t xml:space="preserve"> the management of the workforce at the individual practices:</w:t>
      </w:r>
    </w:p>
    <w:p w14:paraId="3DE00348" w14:textId="77777777" w:rsidR="00857E51" w:rsidRPr="00857E51" w:rsidRDefault="00857E51" w:rsidP="00857E51">
      <w:pPr>
        <w:pStyle w:val="ListParagraph"/>
        <w:numPr>
          <w:ilvl w:val="0"/>
          <w:numId w:val="41"/>
        </w:numPr>
        <w:rPr>
          <w:i/>
          <w:lang w:eastAsia="en-US"/>
        </w:rPr>
      </w:pPr>
      <w:r w:rsidRPr="00857E51">
        <w:rPr>
          <w:i/>
          <w:lang w:eastAsia="en-US"/>
        </w:rPr>
        <w:t>“Managing staff resources was a little easier due to additional nurse.”</w:t>
      </w:r>
      <w:r w:rsidR="00AE2BDA">
        <w:rPr>
          <w:i/>
          <w:lang w:eastAsia="en-US"/>
        </w:rPr>
        <w:t xml:space="preserve"> – Practice Manager</w:t>
      </w:r>
    </w:p>
    <w:p w14:paraId="55EAA770" w14:textId="77777777" w:rsidR="00857E51" w:rsidRPr="00A04037" w:rsidRDefault="00857E51" w:rsidP="00857E51">
      <w:pPr>
        <w:pStyle w:val="ListParagraph"/>
        <w:numPr>
          <w:ilvl w:val="0"/>
          <w:numId w:val="41"/>
        </w:numPr>
        <w:rPr>
          <w:lang w:eastAsia="en-US"/>
        </w:rPr>
      </w:pPr>
      <w:r w:rsidRPr="00857E51">
        <w:rPr>
          <w:i/>
          <w:lang w:eastAsia="en-US"/>
        </w:rPr>
        <w:t>“Increased nurse cover - increased availability to patients.”</w:t>
      </w:r>
      <w:r w:rsidR="00AE2BDA">
        <w:rPr>
          <w:i/>
          <w:lang w:eastAsia="en-US"/>
        </w:rPr>
        <w:t xml:space="preserve"> – Practice Nurse</w:t>
      </w:r>
    </w:p>
    <w:p w14:paraId="26265C11" w14:textId="77777777" w:rsidR="000F387B" w:rsidRPr="00A920EB" w:rsidRDefault="000F387B" w:rsidP="000F387B">
      <w:pPr>
        <w:rPr>
          <w:lang w:val="en-US"/>
        </w:rPr>
      </w:pPr>
      <w:r>
        <w:rPr>
          <w:lang w:val="en-US"/>
        </w:rPr>
        <w:t xml:space="preserve">Some practice staff also indicated that the presence of the NGN had increased their satisfaction at work. This related to having a consistent nurse rather than temporary staff, the addition of a teaching dimension to their role, and the personalities of the NGNs themselves. </w:t>
      </w:r>
    </w:p>
    <w:p w14:paraId="28A6ACA1" w14:textId="77777777" w:rsidR="000F387B" w:rsidRDefault="000F387B" w:rsidP="000F387B">
      <w:pPr>
        <w:rPr>
          <w:lang w:val="en-US"/>
        </w:rPr>
      </w:pPr>
      <w:proofErr w:type="gramStart"/>
      <w:r>
        <w:rPr>
          <w:lang w:val="en-US"/>
        </w:rPr>
        <w:t>Staff at the PHO and DHB that were</w:t>
      </w:r>
      <w:proofErr w:type="gramEnd"/>
      <w:r>
        <w:rPr>
          <w:lang w:val="en-US"/>
        </w:rPr>
        <w:t xml:space="preserve"> interviewed for the site visits also thought the scheme was beneficial in raising practice awareness about their role in building workforce capacity and sustainability. The DHB and PHO stakeholders suggested that even if the NGNs are not retained by the practice, the practice has increased the NGNs level of competency and therefore contribute</w:t>
      </w:r>
      <w:r w:rsidR="002D3F79">
        <w:rPr>
          <w:lang w:val="en-US"/>
        </w:rPr>
        <w:t>d</w:t>
      </w:r>
      <w:r>
        <w:rPr>
          <w:lang w:val="en-US"/>
        </w:rPr>
        <w:t xml:space="preserve"> to a more sustainable nursing workforce in their area.</w:t>
      </w:r>
    </w:p>
    <w:p w14:paraId="1D3955A9" w14:textId="77777777" w:rsidR="000F387B" w:rsidRDefault="000F387B" w:rsidP="000F387B">
      <w:pPr>
        <w:pStyle w:val="Heading3"/>
      </w:pPr>
      <w:r>
        <w:t>Clinical and social sustainability</w:t>
      </w:r>
    </w:p>
    <w:p w14:paraId="3B97FE93" w14:textId="77777777" w:rsidR="000F387B" w:rsidRDefault="000F387B" w:rsidP="000F387B">
      <w:r>
        <w:t>There is evidence from the mid-point survey and site visits that the scheme has improved the clinical sustainability of the practice by enabling clinicians to focus on activities that better reflected their scope. At one practice for example, the NGN was described as reducing the number of nursing tasks that needed to be completed by the Doctor. The mid-point survey supported this finding, as three-fifths (60%</w:t>
      </w:r>
      <w:r w:rsidR="008840D4">
        <w:t>; n=103</w:t>
      </w:r>
      <w:r>
        <w:t xml:space="preserve">) of respondents suggested that the NGN had changed other clinician’s practice.  One of the site visits also described the impact of the NGN on the amount of time that Doctors needed to spend with each patient. They suggested that this </w:t>
      </w:r>
      <w:r w:rsidR="00AE2BDA">
        <w:t>resulted in an</w:t>
      </w:r>
      <w:r>
        <w:t xml:space="preserve"> increase </w:t>
      </w:r>
      <w:r w:rsidR="00AE2BDA">
        <w:t>in the</w:t>
      </w:r>
      <w:r>
        <w:t xml:space="preserve"> number of GP consults, as the NGN was able to support the Doctor in meeting the needs of the patient. In this instance, the GP</w:t>
      </w:r>
      <w:r w:rsidR="008840D4">
        <w:t>s</w:t>
      </w:r>
      <w:r>
        <w:t xml:space="preserve"> w</w:t>
      </w:r>
      <w:r w:rsidR="008840D4">
        <w:t>ere</w:t>
      </w:r>
      <w:r>
        <w:t xml:space="preserve"> also able to reduce their hours at the practice. </w:t>
      </w:r>
    </w:p>
    <w:p w14:paraId="510E207F" w14:textId="77777777" w:rsidR="00950397" w:rsidRDefault="000F387B" w:rsidP="000F387B">
      <w:r>
        <w:t xml:space="preserve">The site visits also reinforced the view that the scheme was enabling patients’ social issues to be addressed found in the midpoint survey. </w:t>
      </w:r>
      <w:r w:rsidR="00950397">
        <w:t>Specifically, 87% of practice staff felt that the NGNs increased the time available to support patients’ social needs (n=104). This notion was also supported by comments from some of the NGNs in the mid-point survey:</w:t>
      </w:r>
    </w:p>
    <w:p w14:paraId="260192D6" w14:textId="77777777" w:rsidR="00950397" w:rsidRPr="00950397" w:rsidRDefault="00950397" w:rsidP="000F387B">
      <w:pPr>
        <w:pStyle w:val="ListParagraph"/>
        <w:numPr>
          <w:ilvl w:val="0"/>
          <w:numId w:val="42"/>
        </w:numPr>
        <w:rPr>
          <w:i/>
          <w:lang w:eastAsia="en-US"/>
        </w:rPr>
      </w:pPr>
      <w:r w:rsidRPr="00950397">
        <w:rPr>
          <w:i/>
          <w:lang w:eastAsia="en-US"/>
        </w:rPr>
        <w:lastRenderedPageBreak/>
        <w:t>“Increasing the amount of time we have for each client; particularly those with high social needs.”</w:t>
      </w:r>
      <w:r>
        <w:rPr>
          <w:i/>
          <w:lang w:eastAsia="en-US"/>
        </w:rPr>
        <w:t xml:space="preserve"> – NGN </w:t>
      </w:r>
    </w:p>
    <w:p w14:paraId="256AE865" w14:textId="77777777" w:rsidR="000F387B" w:rsidRDefault="000F387B" w:rsidP="000F387B">
      <w:r>
        <w:t>The interviews suggested that the NGNs were able to do this due to having more time available for patients</w:t>
      </w:r>
      <w:r w:rsidR="00950397">
        <w:t xml:space="preserve">. This also </w:t>
      </w:r>
      <w:r w:rsidR="00AE2BDA">
        <w:t xml:space="preserve">enabled </w:t>
      </w:r>
      <w:r w:rsidR="00950397">
        <w:t xml:space="preserve">the NGNs </w:t>
      </w:r>
      <w:r w:rsidR="00AE2BDA">
        <w:t>to</w:t>
      </w:r>
      <w:r w:rsidR="00950397">
        <w:t xml:space="preserve"> support patient literacy and education: </w:t>
      </w:r>
      <w:r>
        <w:t xml:space="preserve"> </w:t>
      </w:r>
    </w:p>
    <w:p w14:paraId="11623D91" w14:textId="77777777" w:rsidR="000F387B" w:rsidRDefault="000F387B" w:rsidP="000F387B">
      <w:pPr>
        <w:pStyle w:val="Quote"/>
      </w:pPr>
      <w:r>
        <w:t xml:space="preserve">“She does a lot of education. Like the smoking cessation or cardiovascular risk. If you really want to make a difference it takes time. You can’t just say, ‘read this. Next one </w:t>
      </w:r>
      <w:proofErr w:type="gramStart"/>
      <w:r>
        <w:t>please</w:t>
      </w:r>
      <w:proofErr w:type="gramEnd"/>
      <w:r>
        <w:t>.’ You need to actually go through and answer their questions and give them an invitation to ring back and discuss it further. And so she does spend a lot of time with the education and with listening to people on the phone.” – GP</w:t>
      </w:r>
    </w:p>
    <w:p w14:paraId="00E0931C" w14:textId="77777777" w:rsidR="00E62B10" w:rsidRDefault="00E62B10">
      <w:pPr>
        <w:spacing w:after="200" w:line="276" w:lineRule="auto"/>
      </w:pPr>
      <w:r>
        <w:br w:type="page"/>
      </w:r>
    </w:p>
    <w:p w14:paraId="42784BD3" w14:textId="77777777" w:rsidR="003509B1" w:rsidRDefault="00A9676D" w:rsidP="00893C3B">
      <w:pPr>
        <w:pStyle w:val="Heading1"/>
      </w:pPr>
      <w:bookmarkStart w:id="32" w:name="_Toc415657681"/>
      <w:r>
        <w:lastRenderedPageBreak/>
        <w:t>Implementation of the scheme by the VLCA practices, PHOs and DHBs</w:t>
      </w:r>
      <w:bookmarkEnd w:id="32"/>
    </w:p>
    <w:p w14:paraId="1C01AF67" w14:textId="77777777" w:rsidR="0097399A" w:rsidRDefault="0011596E" w:rsidP="0097399A">
      <w:pPr>
        <w:pStyle w:val="Heading2"/>
      </w:pPr>
      <w:bookmarkStart w:id="33" w:name="_Toc415657682"/>
      <w:r>
        <w:t>Application Process and Nurse selection</w:t>
      </w:r>
      <w:bookmarkEnd w:id="33"/>
    </w:p>
    <w:p w14:paraId="07B2C7E1" w14:textId="77777777" w:rsidR="002C6343" w:rsidRDefault="002C6343" w:rsidP="002C6343">
      <w:r>
        <w:t>The practices, PHOs and DHBs tended to suggest that they did not experience many difficulties when applying for the funding, selecting or recruiting the NGN and putting together their contract. Some of the stakeholders however, identified the following considerations:</w:t>
      </w:r>
    </w:p>
    <w:p w14:paraId="70AAC4D3" w14:textId="77777777" w:rsidR="002C6343" w:rsidRDefault="002C6343" w:rsidP="002C6343">
      <w:pPr>
        <w:pStyle w:val="ListParagraph"/>
        <w:numPr>
          <w:ilvl w:val="0"/>
          <w:numId w:val="42"/>
        </w:numPr>
      </w:pPr>
      <w:r>
        <w:t>Extending the time available to complete the application form.</w:t>
      </w:r>
    </w:p>
    <w:p w14:paraId="624DB46F" w14:textId="77777777" w:rsidR="002C6343" w:rsidRDefault="002C6343" w:rsidP="002C6343">
      <w:pPr>
        <w:pStyle w:val="ListParagraph"/>
        <w:numPr>
          <w:ilvl w:val="0"/>
          <w:numId w:val="42"/>
        </w:numPr>
      </w:pPr>
      <w:r>
        <w:t xml:space="preserve">Ensuring that the timing of the application and the scheme enables practices to access the first round of Advanced Choice of Employment (ACE). </w:t>
      </w:r>
    </w:p>
    <w:p w14:paraId="5A0FE1CF" w14:textId="77777777" w:rsidR="002C6343" w:rsidRPr="002C6343" w:rsidRDefault="002C6343" w:rsidP="002C6343">
      <w:pPr>
        <w:pStyle w:val="ListParagraph"/>
        <w:numPr>
          <w:ilvl w:val="0"/>
          <w:numId w:val="42"/>
        </w:numPr>
      </w:pPr>
      <w:r>
        <w:t xml:space="preserve">Providing practices with clearer guidance on the contracting requirements for the NGN. </w:t>
      </w:r>
    </w:p>
    <w:p w14:paraId="2E56BA16" w14:textId="77777777" w:rsidR="007078F6" w:rsidRPr="007078F6" w:rsidRDefault="007078F6" w:rsidP="007078F6">
      <w:pPr>
        <w:pStyle w:val="Heading3"/>
      </w:pPr>
      <w:r>
        <w:t>Application Process</w:t>
      </w:r>
    </w:p>
    <w:p w14:paraId="502DA972" w14:textId="77777777" w:rsidR="00CE71E8" w:rsidRDefault="006F6552" w:rsidP="000806DA">
      <w:r>
        <w:t xml:space="preserve">Overall, practices had no issues with time and capacity to complete the </w:t>
      </w:r>
      <w:r w:rsidR="00A65304">
        <w:t>application. The</w:t>
      </w:r>
      <w:r>
        <w:t xml:space="preserve"> </w:t>
      </w:r>
      <w:r w:rsidR="0014289D">
        <w:t>mid-point</w:t>
      </w:r>
      <w:r>
        <w:t xml:space="preserve"> survey</w:t>
      </w:r>
      <w:r w:rsidR="00BF5F88">
        <w:t xml:space="preserve"> found </w:t>
      </w:r>
      <w:r w:rsidR="00C51B9C">
        <w:t>that of those involved in the process the majority thought there was sufficient time available to complete the application (63% agree and strongly agree</w:t>
      </w:r>
      <w:r w:rsidR="008840D4">
        <w:t>; n=76</w:t>
      </w:r>
      <w:r w:rsidR="00C51B9C">
        <w:t>) and they had sufficient capacity to complete the application (88% agree or strongly agree</w:t>
      </w:r>
      <w:r w:rsidR="008840D4">
        <w:t>; n=75</w:t>
      </w:r>
      <w:r w:rsidR="00C51B9C">
        <w:t>).</w:t>
      </w:r>
      <w:r w:rsidR="000C2B5B">
        <w:t xml:space="preserve"> </w:t>
      </w:r>
      <w:r w:rsidR="00950D5A">
        <w:t xml:space="preserve">DHB </w:t>
      </w:r>
      <w:proofErr w:type="gramStart"/>
      <w:r w:rsidR="00950D5A">
        <w:t>staff were</w:t>
      </w:r>
      <w:proofErr w:type="gramEnd"/>
      <w:r w:rsidR="00950D5A">
        <w:t xml:space="preserve"> most likely to think there was</w:t>
      </w:r>
      <w:r w:rsidR="002C6343">
        <w:t xml:space="preserve"> not</w:t>
      </w:r>
      <w:r w:rsidR="00950D5A">
        <w:t xml:space="preserve"> sufficient time.</w:t>
      </w:r>
    </w:p>
    <w:p w14:paraId="02CA50E3" w14:textId="77777777" w:rsidR="005A24C3" w:rsidRDefault="006F6552" w:rsidP="00CE71E8">
      <w:r>
        <w:t xml:space="preserve">For </w:t>
      </w:r>
      <w:r w:rsidR="004D0155">
        <w:t>others</w:t>
      </w:r>
      <w:r>
        <w:t xml:space="preserve"> the application process was more challenging. The site visits suggest that the time available to complete the application was a challenge for some. The timing of the process was also identified as an issue for some</w:t>
      </w:r>
      <w:r w:rsidR="00A65304">
        <w:t xml:space="preserve"> </w:t>
      </w:r>
      <w:r w:rsidR="004D0155">
        <w:t>who suggested that</w:t>
      </w:r>
      <w:r w:rsidR="00A65304">
        <w:t xml:space="preserve"> there was a reduced pool of NGNs available to them after the first round of </w:t>
      </w:r>
      <w:r w:rsidR="006323A6">
        <w:rPr>
          <w:lang w:val="en-US"/>
        </w:rPr>
        <w:t>ACE</w:t>
      </w:r>
      <w:r w:rsidR="00A65304">
        <w:t xml:space="preserve"> positions had been appointed. </w:t>
      </w:r>
    </w:p>
    <w:p w14:paraId="268DB91B" w14:textId="77777777" w:rsidR="00CE71E8" w:rsidRDefault="00A65304" w:rsidP="00CE71E8">
      <w:r>
        <w:t xml:space="preserve">The </w:t>
      </w:r>
      <w:r w:rsidR="005A24C3">
        <w:t>collaborative approach encouraged through the application however, supported some of the practices. For example, some of the PHO stakeholders described working alongside their practices to support them in accessing opportunities, such as the one-off funding:</w:t>
      </w:r>
    </w:p>
    <w:p w14:paraId="260313D5" w14:textId="77777777" w:rsidR="000B4C2C" w:rsidRDefault="00A65304" w:rsidP="005A0E1A">
      <w:pPr>
        <w:pStyle w:val="Quote"/>
        <w:spacing w:after="120"/>
      </w:pPr>
      <w:r w:rsidDel="00A65304">
        <w:t xml:space="preserve"> </w:t>
      </w:r>
      <w:r w:rsidR="000B4C2C">
        <w:t xml:space="preserve">“They’re really busy practices and quite often if </w:t>
      </w:r>
      <w:proofErr w:type="gramStart"/>
      <w:r w:rsidR="000B4C2C">
        <w:t>there’s applications</w:t>
      </w:r>
      <w:proofErr w:type="gramEnd"/>
      <w:r w:rsidR="000B4C2C">
        <w:t xml:space="preserve"> or expressions of interest they just say we haven’t got time although we’d love to be part of it. So we tend to work, we roll up our sleeves and work really closely with our practices to get them the best opportunities that they can have.”</w:t>
      </w:r>
      <w:r w:rsidR="009B505C">
        <w:t xml:space="preserve"> </w:t>
      </w:r>
      <w:r w:rsidR="005A24C3">
        <w:t>–</w:t>
      </w:r>
      <w:r w:rsidR="009B505C">
        <w:t xml:space="preserve"> PHO</w:t>
      </w:r>
      <w:r w:rsidR="005A24C3">
        <w:t xml:space="preserve"> stakeholder</w:t>
      </w:r>
    </w:p>
    <w:p w14:paraId="5F1CA6BF" w14:textId="77777777" w:rsidR="00BF5F88" w:rsidRDefault="000B4C2C" w:rsidP="00BF5F88">
      <w:r>
        <w:t xml:space="preserve">The </w:t>
      </w:r>
      <w:r w:rsidR="0014289D">
        <w:t xml:space="preserve">mid-point </w:t>
      </w:r>
      <w:r>
        <w:t>survey</w:t>
      </w:r>
      <w:r w:rsidR="000C2B5B">
        <w:t xml:space="preserve"> </w:t>
      </w:r>
      <w:r w:rsidR="008217E2">
        <w:t>suggest</w:t>
      </w:r>
      <w:r w:rsidR="00A65304">
        <w:t>ed</w:t>
      </w:r>
      <w:r w:rsidR="008217E2">
        <w:t xml:space="preserve"> the PHO often acted as a connect</w:t>
      </w:r>
      <w:r w:rsidR="00A65304">
        <w:t>or</w:t>
      </w:r>
      <w:r w:rsidR="008217E2">
        <w:t xml:space="preserve"> between </w:t>
      </w:r>
      <w:r w:rsidR="00A65304">
        <w:t>practices and DHBs</w:t>
      </w:r>
      <w:r w:rsidR="008217E2">
        <w:t xml:space="preserve"> in the application process. </w:t>
      </w:r>
      <w:r w:rsidR="00A65304">
        <w:t>The site visit</w:t>
      </w:r>
      <w:r w:rsidR="005A24C3">
        <w:t xml:space="preserve"> interviews also </w:t>
      </w:r>
      <w:r w:rsidR="00A65304">
        <w:t>found evidence of this role where the PHO worked with the practice and went to the DHB with their recommendations.</w:t>
      </w:r>
      <w:r w:rsidR="00A65304" w:rsidDel="00A65304">
        <w:t xml:space="preserve"> </w:t>
      </w:r>
    </w:p>
    <w:p w14:paraId="6935DB74" w14:textId="77777777" w:rsidR="005A24C3" w:rsidRDefault="00950D5A" w:rsidP="000F387B">
      <w:pPr>
        <w:pStyle w:val="Quote"/>
      </w:pPr>
      <w:r>
        <w:lastRenderedPageBreak/>
        <w:t xml:space="preserve">“So we had good conversations about this and then we also collated that really carefully and then went to the DHB with our recommendations for </w:t>
      </w:r>
      <w:r w:rsidR="005A24C3">
        <w:t xml:space="preserve">the </w:t>
      </w:r>
      <w:r>
        <w:t>practice</w:t>
      </w:r>
      <w:r w:rsidR="007078F6">
        <w:t>.”</w:t>
      </w:r>
      <w:r w:rsidR="009B505C">
        <w:t xml:space="preserve"> </w:t>
      </w:r>
      <w:r w:rsidR="005A24C3">
        <w:t>–</w:t>
      </w:r>
      <w:r w:rsidR="009B505C">
        <w:t xml:space="preserve"> PHO</w:t>
      </w:r>
    </w:p>
    <w:p w14:paraId="5230EAD3" w14:textId="77777777" w:rsidR="000F387B" w:rsidRPr="000F387B" w:rsidRDefault="000F387B" w:rsidP="000F387B">
      <w:pPr>
        <w:rPr>
          <w:lang w:val="en-US"/>
        </w:rPr>
      </w:pPr>
    </w:p>
    <w:p w14:paraId="39AD79E5" w14:textId="77777777" w:rsidR="007078F6" w:rsidRDefault="007078F6" w:rsidP="007078F6">
      <w:pPr>
        <w:pStyle w:val="Heading3"/>
        <w:rPr>
          <w:lang w:val="en-US"/>
        </w:rPr>
      </w:pPr>
      <w:r>
        <w:rPr>
          <w:lang w:val="en-US"/>
        </w:rPr>
        <w:t>Nurse selection and recruiting</w:t>
      </w:r>
    </w:p>
    <w:p w14:paraId="4F2A067B" w14:textId="77777777" w:rsidR="005A24C3" w:rsidRDefault="00A65304" w:rsidP="007078F6">
      <w:pPr>
        <w:rPr>
          <w:lang w:val="en-US"/>
        </w:rPr>
      </w:pPr>
      <w:r>
        <w:rPr>
          <w:lang w:val="en-US"/>
        </w:rPr>
        <w:t xml:space="preserve">Overall, practices </w:t>
      </w:r>
      <w:r w:rsidR="005A24C3">
        <w:rPr>
          <w:lang w:val="en-US"/>
        </w:rPr>
        <w:t>were able to</w:t>
      </w:r>
      <w:r>
        <w:rPr>
          <w:lang w:val="en-US"/>
        </w:rPr>
        <w:t xml:space="preserve"> find a suitable NGN and were happy with the NGN</w:t>
      </w:r>
      <w:r w:rsidR="005A24C3">
        <w:rPr>
          <w:lang w:val="en-US"/>
        </w:rPr>
        <w:t xml:space="preserve"> that was employed through the scheme</w:t>
      </w:r>
      <w:r>
        <w:rPr>
          <w:lang w:val="en-US"/>
        </w:rPr>
        <w:t xml:space="preserve">. </w:t>
      </w:r>
      <w:r w:rsidR="005A24C3">
        <w:rPr>
          <w:lang w:val="en-US"/>
        </w:rPr>
        <w:t xml:space="preserve">This </w:t>
      </w:r>
      <w:r w:rsidR="00E030A8">
        <w:rPr>
          <w:lang w:val="en-US"/>
        </w:rPr>
        <w:t>wa</w:t>
      </w:r>
      <w:r w:rsidR="005A24C3">
        <w:rPr>
          <w:lang w:val="en-US"/>
        </w:rPr>
        <w:t>s reflected in the mid-point survey, were 78% of those involved in the selection of the NGN were positive about the ease of finding a suitable candidate</w:t>
      </w:r>
      <w:r w:rsidR="008840D4">
        <w:rPr>
          <w:lang w:val="en-US"/>
        </w:rPr>
        <w:t xml:space="preserve"> (n=73)</w:t>
      </w:r>
      <w:r w:rsidR="005A24C3">
        <w:rPr>
          <w:lang w:val="en-US"/>
        </w:rPr>
        <w:t xml:space="preserve">. </w:t>
      </w:r>
    </w:p>
    <w:p w14:paraId="1A4770AE" w14:textId="77777777" w:rsidR="00995AFA" w:rsidRDefault="00421993" w:rsidP="007078F6">
      <w:pPr>
        <w:rPr>
          <w:lang w:val="en-US"/>
        </w:rPr>
      </w:pPr>
      <w:r>
        <w:rPr>
          <w:lang w:val="en-US"/>
        </w:rPr>
        <w:t>Three of the five</w:t>
      </w:r>
      <w:r w:rsidR="00AF2C60">
        <w:rPr>
          <w:lang w:val="en-US"/>
        </w:rPr>
        <w:t xml:space="preserve"> practices </w:t>
      </w:r>
      <w:r>
        <w:rPr>
          <w:lang w:val="en-US"/>
        </w:rPr>
        <w:t xml:space="preserve">involved in the site visits </w:t>
      </w:r>
      <w:r w:rsidR="00AF2C60">
        <w:rPr>
          <w:lang w:val="en-US"/>
        </w:rPr>
        <w:t xml:space="preserve">worked with the DHB to produce a list of candidates using the </w:t>
      </w:r>
      <w:r w:rsidR="006323A6">
        <w:rPr>
          <w:lang w:val="en-US"/>
        </w:rPr>
        <w:t xml:space="preserve">ACE </w:t>
      </w:r>
      <w:r w:rsidR="00AF2C60">
        <w:rPr>
          <w:lang w:val="en-US"/>
        </w:rPr>
        <w:t>scheme</w:t>
      </w:r>
      <w:r w:rsidR="007E02C1">
        <w:rPr>
          <w:rStyle w:val="FootnoteReference"/>
          <w:lang w:val="en-US"/>
        </w:rPr>
        <w:footnoteReference w:id="4"/>
      </w:r>
      <w:r w:rsidR="005337B6">
        <w:rPr>
          <w:lang w:val="en-US"/>
        </w:rPr>
        <w:t xml:space="preserve"> which matches employers with new graduates</w:t>
      </w:r>
      <w:r w:rsidR="00AF2C60">
        <w:rPr>
          <w:lang w:val="en-US"/>
        </w:rPr>
        <w:t xml:space="preserve">. </w:t>
      </w:r>
      <w:r w:rsidR="00A837EA">
        <w:rPr>
          <w:lang w:val="en-US"/>
        </w:rPr>
        <w:t xml:space="preserve">Practices found this scheme </w:t>
      </w:r>
      <w:r w:rsidR="000F387B">
        <w:rPr>
          <w:lang w:val="en-US"/>
        </w:rPr>
        <w:t>useful as</w:t>
      </w:r>
      <w:r w:rsidR="00A837EA">
        <w:rPr>
          <w:lang w:val="en-US"/>
        </w:rPr>
        <w:t xml:space="preserve"> it minimized the work required to identify nurses interested in working in primary care in their area. </w:t>
      </w:r>
    </w:p>
    <w:p w14:paraId="41BA8E70" w14:textId="77777777" w:rsidR="00A837EA" w:rsidRDefault="005337B6" w:rsidP="007078F6">
      <w:pPr>
        <w:rPr>
          <w:lang w:val="en-US"/>
        </w:rPr>
      </w:pPr>
      <w:r>
        <w:rPr>
          <w:lang w:val="en-US"/>
        </w:rPr>
        <w:t xml:space="preserve">Practices also received support from their PHO </w:t>
      </w:r>
      <w:r w:rsidR="005A24C3">
        <w:rPr>
          <w:lang w:val="en-US"/>
        </w:rPr>
        <w:t>when</w:t>
      </w:r>
      <w:r>
        <w:rPr>
          <w:lang w:val="en-US"/>
        </w:rPr>
        <w:t xml:space="preserve"> recruiting from the list of candidates</w:t>
      </w:r>
      <w:r w:rsidR="00995AFA">
        <w:rPr>
          <w:lang w:val="en-US"/>
        </w:rPr>
        <w:t>, although the level of involvement was varied</w:t>
      </w:r>
      <w:r>
        <w:rPr>
          <w:lang w:val="en-US"/>
        </w:rPr>
        <w:t xml:space="preserve">. </w:t>
      </w:r>
      <w:r w:rsidR="00995AFA">
        <w:rPr>
          <w:lang w:val="en-US"/>
        </w:rPr>
        <w:t xml:space="preserve">Some </w:t>
      </w:r>
      <w:r>
        <w:rPr>
          <w:lang w:val="en-US"/>
        </w:rPr>
        <w:t>PHO</w:t>
      </w:r>
      <w:r w:rsidR="00995AFA">
        <w:rPr>
          <w:lang w:val="en-US"/>
        </w:rPr>
        <w:t>s</w:t>
      </w:r>
      <w:r>
        <w:rPr>
          <w:lang w:val="en-US"/>
        </w:rPr>
        <w:t xml:space="preserve"> provid</w:t>
      </w:r>
      <w:r w:rsidR="00995AFA">
        <w:rPr>
          <w:lang w:val="en-US"/>
        </w:rPr>
        <w:t xml:space="preserve">ed </w:t>
      </w:r>
      <w:r>
        <w:rPr>
          <w:lang w:val="en-US"/>
        </w:rPr>
        <w:t xml:space="preserve">a shortlist </w:t>
      </w:r>
      <w:r w:rsidR="00995AFA">
        <w:rPr>
          <w:lang w:val="en-US"/>
        </w:rPr>
        <w:t xml:space="preserve">of candidates </w:t>
      </w:r>
      <w:r>
        <w:rPr>
          <w:lang w:val="en-US"/>
        </w:rPr>
        <w:t>for the</w:t>
      </w:r>
      <w:r w:rsidR="005A24C3">
        <w:rPr>
          <w:lang w:val="en-US"/>
        </w:rPr>
        <w:t xml:space="preserve"> practice</w:t>
      </w:r>
      <w:r>
        <w:rPr>
          <w:lang w:val="en-US"/>
        </w:rPr>
        <w:t xml:space="preserve"> and </w:t>
      </w:r>
      <w:r w:rsidR="00995AFA">
        <w:rPr>
          <w:lang w:val="en-US"/>
        </w:rPr>
        <w:t>supported</w:t>
      </w:r>
      <w:r w:rsidR="005A24C3">
        <w:rPr>
          <w:lang w:val="en-US"/>
        </w:rPr>
        <w:t xml:space="preserve"> the inter</w:t>
      </w:r>
      <w:r w:rsidR="00995AFA">
        <w:rPr>
          <w:lang w:val="en-US"/>
        </w:rPr>
        <w:t>view process, whereas others had more of an advisory role, such as review</w:t>
      </w:r>
      <w:r w:rsidR="00E030A8">
        <w:rPr>
          <w:lang w:val="en-US"/>
        </w:rPr>
        <w:t>ing</w:t>
      </w:r>
      <w:r w:rsidR="00995AFA">
        <w:rPr>
          <w:lang w:val="en-US"/>
        </w:rPr>
        <w:t xml:space="preserve"> the short list. </w:t>
      </w:r>
      <w:r w:rsidR="005A24C3">
        <w:rPr>
          <w:lang w:val="en-US"/>
        </w:rPr>
        <w:t xml:space="preserve"> </w:t>
      </w:r>
    </w:p>
    <w:p w14:paraId="2CF7469D" w14:textId="77777777" w:rsidR="00C50FBB" w:rsidRDefault="008A04D8" w:rsidP="00995AFA">
      <w:r>
        <w:rPr>
          <w:lang w:val="en-US"/>
        </w:rPr>
        <w:t>Most practice</w:t>
      </w:r>
      <w:r w:rsidR="00995AFA">
        <w:rPr>
          <w:lang w:val="en-US"/>
        </w:rPr>
        <w:t xml:space="preserve"> staff involved in the interviews suggested </w:t>
      </w:r>
      <w:r>
        <w:rPr>
          <w:lang w:val="en-US"/>
        </w:rPr>
        <w:t xml:space="preserve">that the size of the application pool was sufficient. However, comments from the </w:t>
      </w:r>
      <w:r w:rsidR="0014289D">
        <w:t>mid-point</w:t>
      </w:r>
      <w:r>
        <w:rPr>
          <w:lang w:val="en-US"/>
        </w:rPr>
        <w:t xml:space="preserve"> survey and site visits suggested some practices found they had a limited range of NGNs available. </w:t>
      </w:r>
      <w:r w:rsidR="00995AFA">
        <w:t>These comments sometimes related to the timing of the application process:</w:t>
      </w:r>
      <w:r w:rsidR="00F80F9D" w:rsidRPr="00F80F9D">
        <w:rPr>
          <w:rStyle w:val="FootnoteReference"/>
        </w:rPr>
        <w:t xml:space="preserve"> </w:t>
      </w:r>
    </w:p>
    <w:p w14:paraId="255CCC67" w14:textId="77777777" w:rsidR="000172A3" w:rsidRDefault="00995AFA" w:rsidP="005A0E1A">
      <w:pPr>
        <w:pStyle w:val="Quote"/>
        <w:spacing w:after="120"/>
      </w:pPr>
      <w:r w:rsidDel="00995AFA">
        <w:t xml:space="preserve"> </w:t>
      </w:r>
      <w:r w:rsidR="000172A3">
        <w:t xml:space="preserve">“I get the talent call from ACE in October. I go through it, we pick out the cream of the crop that we want, and because we don’t know which PHO sectors, or what money’s been allocated, automatically those areas are not going </w:t>
      </w:r>
      <w:r w:rsidR="005D4F92">
        <w:t>to get first choice.”</w:t>
      </w:r>
      <w:r w:rsidR="005A0E1A">
        <w:t xml:space="preserve"> – NETP Coordinator</w:t>
      </w:r>
    </w:p>
    <w:p w14:paraId="741A5D50" w14:textId="77777777" w:rsidR="00995AFA" w:rsidRDefault="00995AFA" w:rsidP="00995AFA">
      <w:pPr>
        <w:rPr>
          <w:lang w:val="en-US"/>
        </w:rPr>
      </w:pPr>
      <w:r>
        <w:rPr>
          <w:lang w:val="en-US"/>
        </w:rPr>
        <w:t xml:space="preserve">While the mid-point evaluation survey identified the cultural </w:t>
      </w:r>
      <w:r w:rsidR="00F80F9D">
        <w:rPr>
          <w:lang w:val="en-US"/>
        </w:rPr>
        <w:t xml:space="preserve">competency within </w:t>
      </w:r>
      <w:r>
        <w:rPr>
          <w:lang w:val="en-US"/>
        </w:rPr>
        <w:t>the NGN pool and the value of being able to support local NGNs, one practice that serves a large Māori population commented on the ethnic diversity available in their pool of NGNs:</w:t>
      </w:r>
    </w:p>
    <w:p w14:paraId="327AB45C" w14:textId="77777777" w:rsidR="00995AFA" w:rsidRDefault="00995AFA" w:rsidP="005A0E1A">
      <w:pPr>
        <w:pStyle w:val="Quote"/>
        <w:spacing w:after="120"/>
      </w:pPr>
      <w:r w:rsidDel="008A04D8">
        <w:t xml:space="preserve"> </w:t>
      </w:r>
      <w:r>
        <w:t>“I would have been looking for probably a bit more cultural diversity. We are a Māori health provider. That’s not to say I was necessarily going to pick a Māori staff member but to have had a mix.” – Practice Manager</w:t>
      </w:r>
    </w:p>
    <w:p w14:paraId="2865EF49" w14:textId="77777777" w:rsidR="00995AFA" w:rsidRDefault="00995AFA" w:rsidP="002B2BBC">
      <w:pPr>
        <w:rPr>
          <w:lang w:val="en-US"/>
        </w:rPr>
      </w:pPr>
      <w:r>
        <w:rPr>
          <w:lang w:val="en-US"/>
        </w:rPr>
        <w:lastRenderedPageBreak/>
        <w:t xml:space="preserve">This however, </w:t>
      </w:r>
      <w:r w:rsidR="00E030A8">
        <w:rPr>
          <w:lang w:val="en-US"/>
        </w:rPr>
        <w:t>wa</w:t>
      </w:r>
      <w:r>
        <w:rPr>
          <w:lang w:val="en-US"/>
        </w:rPr>
        <w:t xml:space="preserve">s likely to reflect those nurses that were available within the specific area of this practice, rather than the pools that were available across the country. </w:t>
      </w:r>
    </w:p>
    <w:p w14:paraId="69999065" w14:textId="77777777" w:rsidR="00471F99" w:rsidRDefault="002B2BBC" w:rsidP="002B2BBC">
      <w:pPr>
        <w:rPr>
          <w:lang w:val="en-US"/>
        </w:rPr>
      </w:pPr>
      <w:r>
        <w:rPr>
          <w:lang w:val="en-US"/>
        </w:rPr>
        <w:t xml:space="preserve">The site visits </w:t>
      </w:r>
      <w:r w:rsidR="00995AFA">
        <w:rPr>
          <w:lang w:val="en-US"/>
        </w:rPr>
        <w:t>suggest</w:t>
      </w:r>
      <w:r w:rsidR="00E030A8">
        <w:rPr>
          <w:lang w:val="en-US"/>
        </w:rPr>
        <w:t>ed</w:t>
      </w:r>
      <w:r w:rsidR="00995AFA">
        <w:rPr>
          <w:lang w:val="en-US"/>
        </w:rPr>
        <w:t xml:space="preserve"> </w:t>
      </w:r>
      <w:r>
        <w:rPr>
          <w:lang w:val="en-US"/>
        </w:rPr>
        <w:t>that</w:t>
      </w:r>
      <w:r w:rsidR="009D065F">
        <w:rPr>
          <w:lang w:val="en-US"/>
        </w:rPr>
        <w:t xml:space="preserve"> selection process was facilitated for those already engaging with NGNs. For example, one of the practices described how they identify potential NGNs while nurses are doing their placements as part of their degree. This enabled them to recruit </w:t>
      </w:r>
      <w:r w:rsidR="00E62B10">
        <w:rPr>
          <w:lang w:val="en-US"/>
        </w:rPr>
        <w:t>a NGN</w:t>
      </w:r>
      <w:r w:rsidR="009D065F">
        <w:rPr>
          <w:lang w:val="en-US"/>
        </w:rPr>
        <w:t xml:space="preserve"> that they had some prior experience working with, and subsequently had an understanding of their capabilities and fit with their practice:</w:t>
      </w:r>
    </w:p>
    <w:p w14:paraId="43455A78" w14:textId="77777777" w:rsidR="00471F99" w:rsidRDefault="00471F99" w:rsidP="00471F99">
      <w:pPr>
        <w:pStyle w:val="Quote"/>
      </w:pPr>
      <w:r>
        <w:t>“So what we usually do here, we get some student nurses and we pick from there depending on their ten weeks of placement at our clinic.”</w:t>
      </w:r>
      <w:r w:rsidR="009B505C">
        <w:t xml:space="preserve"> - Preceptor</w:t>
      </w:r>
    </w:p>
    <w:p w14:paraId="56AC7706" w14:textId="77777777" w:rsidR="002B2BBC" w:rsidRDefault="009D065F" w:rsidP="0025798D">
      <w:pPr>
        <w:pStyle w:val="Heading3"/>
        <w:rPr>
          <w:lang w:val="en-US"/>
        </w:rPr>
      </w:pPr>
      <w:r>
        <w:rPr>
          <w:lang w:val="en-US"/>
        </w:rPr>
        <w:t>Clarity of the NGN contract</w:t>
      </w:r>
    </w:p>
    <w:p w14:paraId="315EFB52" w14:textId="77777777" w:rsidR="009D065F" w:rsidRDefault="002B2BBC" w:rsidP="005D4F92">
      <w:pPr>
        <w:rPr>
          <w:lang w:val="en-US"/>
        </w:rPr>
      </w:pPr>
      <w:r>
        <w:rPr>
          <w:lang w:val="en-US"/>
        </w:rPr>
        <w:t>One practice</w:t>
      </w:r>
      <w:r w:rsidR="00471F99">
        <w:rPr>
          <w:lang w:val="en-US"/>
        </w:rPr>
        <w:t xml:space="preserve"> brought up the issue of setting up the employment contract which had not been explored in the </w:t>
      </w:r>
      <w:r w:rsidR="0014289D">
        <w:t xml:space="preserve">mid-point </w:t>
      </w:r>
      <w:r w:rsidR="00471F99">
        <w:rPr>
          <w:lang w:val="en-US"/>
        </w:rPr>
        <w:t xml:space="preserve">survey. </w:t>
      </w:r>
      <w:r w:rsidR="009D065F">
        <w:rPr>
          <w:lang w:val="en-US"/>
        </w:rPr>
        <w:t>They suggested that this process was challenging, as they were putting together the contract when they had not yet received confirmation of the funding. This made them nervous about committing to a full time salary. They were also unclear of the specifics of the NGN contract and the typical level of employment that this involved:</w:t>
      </w:r>
    </w:p>
    <w:p w14:paraId="23DC3FF9" w14:textId="77777777" w:rsidR="00C60531" w:rsidRDefault="009D065F" w:rsidP="00C60531">
      <w:pPr>
        <w:pStyle w:val="Quote"/>
      </w:pPr>
      <w:r w:rsidDel="009D065F">
        <w:t xml:space="preserve"> </w:t>
      </w:r>
      <w:r w:rsidR="00C60531">
        <w:t xml:space="preserve">“That was part of the rush to get them on board. I didn’t </w:t>
      </w:r>
      <w:proofErr w:type="spellStart"/>
      <w:r w:rsidR="00C60531">
        <w:t>realise</w:t>
      </w:r>
      <w:proofErr w:type="spellEnd"/>
      <w:r w:rsidR="00C60531">
        <w:t xml:space="preserve"> everybody else had gone point-eight. And we’d gone a full FTE. And had I known that I probably would have brought her on less. </w:t>
      </w:r>
      <w:proofErr w:type="gramStart"/>
      <w:r w:rsidR="00C60531">
        <w:t>Because that would have given us a break as well in terms of the nurses who were trying to support</w:t>
      </w:r>
      <w:r w:rsidR="00F31A85">
        <w:t xml:space="preserve"> [</w:t>
      </w:r>
      <w:r w:rsidR="00FD1EF9">
        <w:t>them</w:t>
      </w:r>
      <w:r w:rsidR="00F31A85">
        <w:t>]</w:t>
      </w:r>
      <w:r w:rsidR="00C60531">
        <w:t>.”</w:t>
      </w:r>
      <w:proofErr w:type="gramEnd"/>
      <w:r w:rsidR="009B505C">
        <w:t xml:space="preserve"> – Practice Manager</w:t>
      </w:r>
    </w:p>
    <w:p w14:paraId="538EFC5D" w14:textId="77777777" w:rsidR="000F387B" w:rsidRPr="000F387B" w:rsidRDefault="000F387B" w:rsidP="000F387B">
      <w:pPr>
        <w:rPr>
          <w:lang w:val="en-US"/>
        </w:rPr>
      </w:pPr>
    </w:p>
    <w:p w14:paraId="2F744B83" w14:textId="77777777" w:rsidR="0011596E" w:rsidRDefault="0011596E" w:rsidP="0011596E">
      <w:pPr>
        <w:pStyle w:val="Heading2"/>
      </w:pPr>
      <w:bookmarkStart w:id="34" w:name="_Toc415657683"/>
      <w:r>
        <w:t>Practice readiness</w:t>
      </w:r>
      <w:r w:rsidR="003001FA">
        <w:t xml:space="preserve"> and integration of the new graduate nurse</w:t>
      </w:r>
      <w:bookmarkEnd w:id="34"/>
    </w:p>
    <w:p w14:paraId="1B819E42" w14:textId="77777777" w:rsidR="00E340AF" w:rsidRPr="00E340AF" w:rsidRDefault="00E340AF" w:rsidP="00E340AF">
      <w:r>
        <w:t xml:space="preserve">Orientation and induction were key success factors to the integration of the NGNs, with practices who had previous experience with NGNs or students being better equipped for this process. </w:t>
      </w:r>
      <w:proofErr w:type="gramStart"/>
      <w:r>
        <w:t>Expectations of the NGN abilities was</w:t>
      </w:r>
      <w:proofErr w:type="gramEnd"/>
      <w:r>
        <w:t xml:space="preserve"> also important, with over and under estimates of the NGNs impacting on their integration. Overall however, the evaluation found that the NGNs were well integrated and accepted at their practices. </w:t>
      </w:r>
    </w:p>
    <w:p w14:paraId="56A11042" w14:textId="77777777" w:rsidR="0042488E" w:rsidRDefault="0042488E" w:rsidP="0042488E">
      <w:pPr>
        <w:pStyle w:val="Heading3"/>
      </w:pPr>
      <w:r>
        <w:t>Orientation and induction</w:t>
      </w:r>
    </w:p>
    <w:p w14:paraId="7BF99C59" w14:textId="77777777" w:rsidR="003469B1" w:rsidRDefault="0078514C" w:rsidP="003469B1">
      <w:r>
        <w:t xml:space="preserve">The </w:t>
      </w:r>
      <w:r w:rsidR="0014289D">
        <w:t xml:space="preserve">mid-point </w:t>
      </w:r>
      <w:r>
        <w:t xml:space="preserve">survey </w:t>
      </w:r>
      <w:r w:rsidR="00337760">
        <w:t>indicates that the practices were generally well prepared for the arrival of the NGN</w:t>
      </w:r>
      <w:r w:rsidR="00E340AF">
        <w:t>,</w:t>
      </w:r>
      <w:r w:rsidR="00337760">
        <w:t xml:space="preserve"> and good support structures </w:t>
      </w:r>
      <w:r w:rsidR="00E340AF">
        <w:t xml:space="preserve">were </w:t>
      </w:r>
      <w:r w:rsidR="00337760">
        <w:t>in place to support the</w:t>
      </w:r>
      <w:r w:rsidR="00E340AF">
        <w:t>ir</w:t>
      </w:r>
      <w:r w:rsidR="00337760">
        <w:t xml:space="preserve"> integration and development. Specifically, the survey found that </w:t>
      </w:r>
      <w:r>
        <w:t>most practice staff thought the practice was prepared for the arrival of the NGN (86% agree or strongly agree</w:t>
      </w:r>
      <w:r w:rsidR="008840D4">
        <w:t>; n=100</w:t>
      </w:r>
      <w:r>
        <w:t>) and had a good induction process (</w:t>
      </w:r>
      <w:r w:rsidR="00E911A3">
        <w:t>88</w:t>
      </w:r>
      <w:r>
        <w:t>%</w:t>
      </w:r>
      <w:r w:rsidR="008840D4">
        <w:t xml:space="preserve">; </w:t>
      </w:r>
      <w:r w:rsidR="008840D4">
        <w:lastRenderedPageBreak/>
        <w:t>n=102</w:t>
      </w:r>
      <w:r>
        <w:t>).</w:t>
      </w:r>
      <w:r w:rsidR="0047003F">
        <w:t xml:space="preserve"> </w:t>
      </w:r>
      <w:r w:rsidR="003645EC">
        <w:t>Most</w:t>
      </w:r>
      <w:r w:rsidR="003469B1">
        <w:t xml:space="preserve"> NGNs felt supported by their practice</w:t>
      </w:r>
      <w:r w:rsidR="00CC770D">
        <w:t xml:space="preserve">; </w:t>
      </w:r>
      <w:r w:rsidR="003469B1">
        <w:t xml:space="preserve">88% </w:t>
      </w:r>
      <w:r w:rsidR="00CC770D">
        <w:t>felt that</w:t>
      </w:r>
      <w:r w:rsidR="003469B1">
        <w:t xml:space="preserve"> they were supported during their transition into practice</w:t>
      </w:r>
      <w:r w:rsidR="0018495E">
        <w:t xml:space="preserve"> </w:t>
      </w:r>
      <w:r w:rsidR="003469B1">
        <w:t xml:space="preserve">and 94% </w:t>
      </w:r>
      <w:r w:rsidR="00CC770D">
        <w:t>indicated</w:t>
      </w:r>
      <w:r w:rsidR="00337760">
        <w:t xml:space="preserve"> that </w:t>
      </w:r>
      <w:r w:rsidR="003469B1">
        <w:t>they knew who to go to for help and support</w:t>
      </w:r>
      <w:r w:rsidR="008840D4">
        <w:t xml:space="preserve"> (n=32)</w:t>
      </w:r>
      <w:r w:rsidR="003469B1">
        <w:t xml:space="preserve">. </w:t>
      </w:r>
      <w:r w:rsidR="00CC770D">
        <w:t>In terms of development, o</w:t>
      </w:r>
      <w:r w:rsidR="003469B1">
        <w:t>ver three-quarters of NGNs had a professional development plan (78%) and the majority of respondents indicated that the plan was supported by the practice (91%</w:t>
      </w:r>
      <w:r w:rsidR="008840D4">
        <w:t>; n=32</w:t>
      </w:r>
      <w:r w:rsidR="003469B1">
        <w:t xml:space="preserve">). </w:t>
      </w:r>
    </w:p>
    <w:p w14:paraId="6F19C53A" w14:textId="67DD9BDD" w:rsidR="00B36C1A" w:rsidRDefault="00F11067" w:rsidP="003469B1">
      <w:r w:rsidRPr="00B36C1A">
        <w:t>Approximately a third of practice nurses (33%, n=9) and NGNs (29%, n=31) surveyed thought the practice was not well prepared for the NGN’s arrival</w:t>
      </w:r>
      <w:r w:rsidRPr="00F11067">
        <w:t>.</w:t>
      </w:r>
      <w:r w:rsidR="003645EC" w:rsidRPr="00F11067">
        <w:t xml:space="preserve"> </w:t>
      </w:r>
      <w:r w:rsidR="00E340AF" w:rsidRPr="00F11067">
        <w:t>A</w:t>
      </w:r>
      <w:r w:rsidR="003645EC" w:rsidRPr="00F11067">
        <w:t xml:space="preserve"> minority of Practice Nurses, NGNs, and other practice staff </w:t>
      </w:r>
      <w:r w:rsidR="00CC770D" w:rsidRPr="00F11067">
        <w:t xml:space="preserve">suggested that </w:t>
      </w:r>
      <w:r w:rsidR="003645EC" w:rsidRPr="00F11067">
        <w:t xml:space="preserve">the induction process was </w:t>
      </w:r>
      <w:r w:rsidR="00CC770D" w:rsidRPr="00F11067">
        <w:t xml:space="preserve">not </w:t>
      </w:r>
      <w:r w:rsidR="003645EC" w:rsidRPr="00F11067">
        <w:t>good (20%</w:t>
      </w:r>
      <w:r w:rsidR="009A3BAD" w:rsidRPr="00F11067">
        <w:t>; n=</w:t>
      </w:r>
      <w:r w:rsidR="005C5175" w:rsidRPr="00F11067">
        <w:t>51</w:t>
      </w:r>
      <w:r w:rsidR="003645EC" w:rsidRPr="00F11067">
        <w:t>).</w:t>
      </w:r>
      <w:r w:rsidR="00750E58" w:rsidRPr="00F11067">
        <w:t xml:space="preserve"> </w:t>
      </w:r>
      <w:r w:rsidR="004C1A6C">
        <w:t>It is useful to note that</w:t>
      </w:r>
      <w:r w:rsidR="0051512C">
        <w:t>, the</w:t>
      </w:r>
      <w:r w:rsidR="00B36C1A">
        <w:t xml:space="preserve"> staff who </w:t>
      </w:r>
      <w:r w:rsidR="004C1A6C">
        <w:t xml:space="preserve">felt that their practice did not have a good induction process </w:t>
      </w:r>
      <w:proofErr w:type="gramStart"/>
      <w:r w:rsidR="00B36C1A">
        <w:t>were</w:t>
      </w:r>
      <w:proofErr w:type="gramEnd"/>
      <w:r w:rsidR="00B36C1A">
        <w:t xml:space="preserve"> more than twice as likely to come from a practice that had no previous experience with NGNs or student nurses. </w:t>
      </w:r>
    </w:p>
    <w:p w14:paraId="5FC371C2" w14:textId="77777777" w:rsidR="00BA74B8" w:rsidRDefault="003469B1" w:rsidP="003469B1">
      <w:r>
        <w:t>Th</w:t>
      </w:r>
      <w:r w:rsidR="00CC770D">
        <w:t>e value of previous experience in providing a good induction process was also reflected in the</w:t>
      </w:r>
      <w:r>
        <w:t xml:space="preserve"> site visits. </w:t>
      </w:r>
      <w:r w:rsidR="002B0F71">
        <w:t>P</w:t>
      </w:r>
      <w:r>
        <w:t xml:space="preserve">ractices </w:t>
      </w:r>
      <w:r w:rsidR="002B0F71">
        <w:t>with p</w:t>
      </w:r>
      <w:r w:rsidR="00CC770D">
        <w:t>revious/current</w:t>
      </w:r>
      <w:r w:rsidR="002B0F71">
        <w:t xml:space="preserve"> experience </w:t>
      </w:r>
      <w:r w:rsidR="00CC770D">
        <w:t>with NGNs tended to be more</w:t>
      </w:r>
      <w:r>
        <w:t xml:space="preserve"> aware of the support needs of NGNs and already had </w:t>
      </w:r>
      <w:r w:rsidR="0071482B">
        <w:t>existing</w:t>
      </w:r>
      <w:r>
        <w:t xml:space="preserve"> processes in place for their arrival. </w:t>
      </w:r>
      <w:r w:rsidR="00CC770D">
        <w:t>For example, a practice manager from a practice with lots of experience with NGNs was able to identify the core components of a good induction and integration process for NGNs (</w:t>
      </w:r>
      <w:r w:rsidR="009B410D">
        <w:fldChar w:fldCharType="begin"/>
      </w:r>
      <w:r w:rsidR="00E23AC9">
        <w:instrText xml:space="preserve"> REF _Ref415053493 \h </w:instrText>
      </w:r>
      <w:r w:rsidR="009B410D">
        <w:fldChar w:fldCharType="separate"/>
      </w:r>
      <w:r w:rsidR="00307EAC">
        <w:t xml:space="preserve">Figure </w:t>
      </w:r>
      <w:r w:rsidR="00307EAC">
        <w:rPr>
          <w:noProof/>
        </w:rPr>
        <w:t>5</w:t>
      </w:r>
      <w:r w:rsidR="009B410D">
        <w:fldChar w:fldCharType="end"/>
      </w:r>
      <w:r w:rsidR="00CC770D">
        <w:t>).</w:t>
      </w:r>
    </w:p>
    <w:p w14:paraId="67F01004" w14:textId="77777777" w:rsidR="00E23AC9" w:rsidRDefault="00E23AC9" w:rsidP="00E23AC9">
      <w:pPr>
        <w:pStyle w:val="Caption"/>
        <w:keepNext/>
      </w:pPr>
      <w:bookmarkStart w:id="35" w:name="_Ref415053493"/>
      <w:r>
        <w:t xml:space="preserve">Figure </w:t>
      </w:r>
      <w:r w:rsidR="009B410D">
        <w:fldChar w:fldCharType="begin"/>
      </w:r>
      <w:r w:rsidR="007801DA">
        <w:instrText xml:space="preserve"> SEQ Figure \* ARABIC </w:instrText>
      </w:r>
      <w:r w:rsidR="009B410D">
        <w:fldChar w:fldCharType="separate"/>
      </w:r>
      <w:r w:rsidR="00307EAC">
        <w:rPr>
          <w:noProof/>
        </w:rPr>
        <w:t>5</w:t>
      </w:r>
      <w:r w:rsidR="009B410D">
        <w:rPr>
          <w:noProof/>
        </w:rPr>
        <w:fldChar w:fldCharType="end"/>
      </w:r>
      <w:bookmarkEnd w:id="35"/>
      <w:r>
        <w:t xml:space="preserve">: </w:t>
      </w:r>
      <w:r w:rsidR="00CC770D">
        <w:t xml:space="preserve">A practice manager’s </w:t>
      </w:r>
      <w:r w:rsidR="00120BC0">
        <w:t>perspective on the key</w:t>
      </w:r>
      <w:r w:rsidR="00CC770D">
        <w:t xml:space="preserve"> c</w:t>
      </w:r>
      <w:r>
        <w:t xml:space="preserve">omponents of a good </w:t>
      </w:r>
      <w:r w:rsidR="00CC770D">
        <w:t>induction and integration process</w:t>
      </w:r>
      <w:r>
        <w:t xml:space="preserve"> for a NGN</w:t>
      </w:r>
    </w:p>
    <w:p w14:paraId="7FA362E9" w14:textId="77777777" w:rsidR="005A0E1A" w:rsidRDefault="005A0E1A" w:rsidP="0071482B">
      <w:pPr>
        <w:rPr>
          <w:lang w:val="en-US"/>
        </w:rPr>
      </w:pPr>
      <w:r>
        <w:object w:dxaOrig="7567" w:dyaOrig="5186" w14:anchorId="7B5F2FED">
          <v:shape id="_x0000_i1037" type="#_x0000_t75" style="width:374.4pt;height:260.4pt" o:ole="">
            <v:imagedata r:id="rId46" o:title=""/>
          </v:shape>
          <o:OLEObject Type="Embed" ProgID="Visio.Drawing.11" ShapeID="_x0000_i1037" DrawAspect="Content" ObjectID="_1496838896" r:id="rId47"/>
        </w:object>
      </w:r>
      <w:r>
        <w:rPr>
          <w:lang w:val="en-US"/>
        </w:rPr>
        <w:t xml:space="preserve"> </w:t>
      </w:r>
    </w:p>
    <w:p w14:paraId="3A166F58" w14:textId="77777777" w:rsidR="0071482B" w:rsidRDefault="0071482B" w:rsidP="0071482B">
      <w:pPr>
        <w:rPr>
          <w:lang w:val="en-US"/>
        </w:rPr>
      </w:pPr>
      <w:r>
        <w:rPr>
          <w:lang w:val="en-US"/>
        </w:rPr>
        <w:t xml:space="preserve">The importance of </w:t>
      </w:r>
      <w:proofErr w:type="spellStart"/>
      <w:r>
        <w:rPr>
          <w:lang w:val="en-US"/>
        </w:rPr>
        <w:t>Med</w:t>
      </w:r>
      <w:r w:rsidR="00C156F5">
        <w:rPr>
          <w:lang w:val="en-US"/>
        </w:rPr>
        <w:t>T</w:t>
      </w:r>
      <w:r>
        <w:rPr>
          <w:lang w:val="en-US"/>
        </w:rPr>
        <w:t>ech</w:t>
      </w:r>
      <w:proofErr w:type="spellEnd"/>
      <w:r>
        <w:rPr>
          <w:lang w:val="en-US"/>
        </w:rPr>
        <w:t xml:space="preserve"> or patient management system training was reinforced by the other practices. As these systems also record their performance against health targets, they needed to be sure that NGNs were recording the work being done to contribute to these targets.</w:t>
      </w:r>
    </w:p>
    <w:p w14:paraId="09BA4FA0" w14:textId="77777777" w:rsidR="0046466B" w:rsidRPr="000F387B" w:rsidRDefault="0046466B" w:rsidP="0071482B">
      <w:r>
        <w:lastRenderedPageBreak/>
        <w:t>In terms of cultural support during induction, the mid-point survey found that all except one NGN (97%</w:t>
      </w:r>
      <w:r w:rsidR="009A3BAD">
        <w:t>; n=32</w:t>
      </w:r>
      <w:r>
        <w:t xml:space="preserve">) felt that they were supported to practice in a culturally competent manner. This was explored in the site visits to determine what type of cultural support had been provided. There was a limited amount of specific cultural support provided to NGNs. Most of the NGNs were local nurses who already knew the populations they were working with. The normal orientation they received along with support from the preceptor, practice staff and education from the NETP programme was identified as being sufficient to support them. The NGNs also suggested they knew who to ask if they had any questions or needed support. </w:t>
      </w:r>
      <w:r w:rsidR="00481F41">
        <w:t xml:space="preserve">The employment of local nurses is important to note here, as the scheme sought to </w:t>
      </w:r>
      <w:r w:rsidR="00A97AA6">
        <w:t xml:space="preserve">enhance the alignment between patient population and </w:t>
      </w:r>
      <w:r w:rsidR="00481F41" w:rsidRPr="00481F41">
        <w:t>nursing workforce demograph</w:t>
      </w:r>
      <w:r w:rsidR="00A97AA6">
        <w:t>y</w:t>
      </w:r>
      <w:r w:rsidR="00481F41" w:rsidRPr="00481F41">
        <w:t>.</w:t>
      </w:r>
      <w:r w:rsidR="00481F41">
        <w:t xml:space="preserve"> The value of employing local nurses was also reflected in the mid-point survey. </w:t>
      </w:r>
    </w:p>
    <w:p w14:paraId="4B8D59A2" w14:textId="77777777" w:rsidR="00120BC0" w:rsidRDefault="00120BC0" w:rsidP="00120BC0">
      <w:pPr>
        <w:pStyle w:val="Heading4"/>
        <w:rPr>
          <w:lang w:val="en-US"/>
        </w:rPr>
      </w:pPr>
      <w:r>
        <w:rPr>
          <w:lang w:val="en-US"/>
        </w:rPr>
        <w:t>Understanding the role of context in orientation and induction</w:t>
      </w:r>
    </w:p>
    <w:p w14:paraId="08B471A6" w14:textId="77777777" w:rsidR="00120BC0" w:rsidRDefault="00C156F5" w:rsidP="00FF04D8">
      <w:pPr>
        <w:rPr>
          <w:lang w:val="en-US"/>
        </w:rPr>
      </w:pPr>
      <w:r>
        <w:rPr>
          <w:lang w:val="en-US"/>
        </w:rPr>
        <w:t xml:space="preserve">One of the practices </w:t>
      </w:r>
      <w:r w:rsidR="008E6060">
        <w:rPr>
          <w:lang w:val="en-US"/>
        </w:rPr>
        <w:t xml:space="preserve">that </w:t>
      </w:r>
      <w:r>
        <w:rPr>
          <w:lang w:val="en-US"/>
        </w:rPr>
        <w:t>we visited did not have past experience with NGNs and also had a change of practice</w:t>
      </w:r>
      <w:r w:rsidR="00626650">
        <w:rPr>
          <w:lang w:val="en-US"/>
        </w:rPr>
        <w:t xml:space="preserve"> manager during the employment scheme. Th</w:t>
      </w:r>
      <w:r w:rsidR="00120BC0">
        <w:rPr>
          <w:lang w:val="en-US"/>
        </w:rPr>
        <w:t>is practice suggested that they</w:t>
      </w:r>
      <w:r w:rsidR="00626650">
        <w:rPr>
          <w:lang w:val="en-US"/>
        </w:rPr>
        <w:t xml:space="preserve"> struggled to properly orientate the NGN</w:t>
      </w:r>
      <w:r w:rsidR="00120BC0">
        <w:rPr>
          <w:lang w:val="en-US"/>
        </w:rPr>
        <w:t xml:space="preserve">. Specifically, the interviews suggested that </w:t>
      </w:r>
      <w:r w:rsidR="00626650">
        <w:rPr>
          <w:lang w:val="en-US"/>
        </w:rPr>
        <w:t xml:space="preserve">they were not clear on the capability of a NGN </w:t>
      </w:r>
      <w:r w:rsidR="00120BC0">
        <w:rPr>
          <w:lang w:val="en-US"/>
        </w:rPr>
        <w:t>or</w:t>
      </w:r>
      <w:r w:rsidR="00626650">
        <w:rPr>
          <w:lang w:val="en-US"/>
        </w:rPr>
        <w:t xml:space="preserve"> the support required </w:t>
      </w:r>
      <w:proofErr w:type="gramStart"/>
      <w:r w:rsidR="00626650">
        <w:rPr>
          <w:lang w:val="en-US"/>
        </w:rPr>
        <w:t>to train</w:t>
      </w:r>
      <w:proofErr w:type="gramEnd"/>
      <w:r w:rsidR="00626650">
        <w:rPr>
          <w:lang w:val="en-US"/>
        </w:rPr>
        <w:t xml:space="preserve"> them. </w:t>
      </w:r>
      <w:r w:rsidR="00120BC0">
        <w:rPr>
          <w:lang w:val="en-US"/>
        </w:rPr>
        <w:t xml:space="preserve">The change in the practice manager also meant that the arrival of the NGN was not well communicated to other practice staff. The lack of communication </w:t>
      </w:r>
      <w:r w:rsidR="00120BC0">
        <w:t xml:space="preserve">led to problems where the practice </w:t>
      </w:r>
      <w:proofErr w:type="gramStart"/>
      <w:r w:rsidR="00120BC0">
        <w:t>staff were</w:t>
      </w:r>
      <w:proofErr w:type="gramEnd"/>
      <w:r w:rsidR="00120BC0">
        <w:t xml:space="preserve"> not clear on the NGNs role, scope of practice, and development plan. Clinical staff in the practice either did not want to make the effort to support the NGN or did not know what would be most useful. This resulted in the NGN feeling unsupported in </w:t>
      </w:r>
      <w:r w:rsidR="00120BC0">
        <w:rPr>
          <w:lang w:val="en-US"/>
        </w:rPr>
        <w:t>the clinic.</w:t>
      </w:r>
    </w:p>
    <w:p w14:paraId="0D789FF6" w14:textId="77777777" w:rsidR="0046466B" w:rsidRDefault="00120BC0" w:rsidP="00FF04D8">
      <w:pPr>
        <w:rPr>
          <w:lang w:val="en-US"/>
        </w:rPr>
      </w:pPr>
      <w:r>
        <w:rPr>
          <w:lang w:val="en-US"/>
        </w:rPr>
        <w:t xml:space="preserve">To add to these challenges, the preceptor at this site was working in the community nursing team rather than in the clinic where the NGN was based meaning that initially support was largely the responsibility of the practice nurse and other staff. </w:t>
      </w:r>
      <w:r w:rsidR="004903DB">
        <w:rPr>
          <w:lang w:val="en-US"/>
        </w:rPr>
        <w:t xml:space="preserve">While the location of the preceptor was not ideal for NGN development, the practice responded by having the </w:t>
      </w:r>
      <w:r>
        <w:rPr>
          <w:lang w:val="en-US"/>
        </w:rPr>
        <w:t xml:space="preserve">preceptor on site at the practice for approximately six weeks. Following this, the </w:t>
      </w:r>
      <w:r w:rsidR="004903DB">
        <w:rPr>
          <w:lang w:val="en-US"/>
        </w:rPr>
        <w:t xml:space="preserve">NGN </w:t>
      </w:r>
      <w:r>
        <w:rPr>
          <w:lang w:val="en-US"/>
        </w:rPr>
        <w:t xml:space="preserve">would then </w:t>
      </w:r>
      <w:r w:rsidR="004903DB">
        <w:rPr>
          <w:lang w:val="en-US"/>
        </w:rPr>
        <w:t xml:space="preserve">spend a day each week working in the community alongside their preceptor. </w:t>
      </w:r>
    </w:p>
    <w:p w14:paraId="679D4BC0" w14:textId="77777777" w:rsidR="00E63B23" w:rsidRPr="00E63B23" w:rsidRDefault="0046466B" w:rsidP="0046466B">
      <w:pPr>
        <w:rPr>
          <w:lang w:val="en-US"/>
        </w:rPr>
      </w:pPr>
      <w:r>
        <w:rPr>
          <w:lang w:val="en-US"/>
        </w:rPr>
        <w:t xml:space="preserve">The impact of changes in staff on the induction and integration of the NGNs was also identified by two other sites. Specifically, two practices </w:t>
      </w:r>
      <w:r w:rsidR="00045683">
        <w:rPr>
          <w:lang w:val="en-US"/>
        </w:rPr>
        <w:t xml:space="preserve">had nurse resignations that impacted on the way the NGN was utilized in the practice. </w:t>
      </w:r>
      <w:r w:rsidR="0071482B">
        <w:rPr>
          <w:lang w:val="en-US"/>
        </w:rPr>
        <w:t>In these cases</w:t>
      </w:r>
      <w:r w:rsidR="00045683">
        <w:rPr>
          <w:lang w:val="en-US"/>
        </w:rPr>
        <w:t xml:space="preserve"> this </w:t>
      </w:r>
      <w:r w:rsidR="00E0582D">
        <w:rPr>
          <w:lang w:val="en-US"/>
        </w:rPr>
        <w:t>meant there was more pressure to have the NGN independent as soon as possible</w:t>
      </w:r>
      <w:r>
        <w:rPr>
          <w:lang w:val="en-US"/>
        </w:rPr>
        <w:t>:</w:t>
      </w:r>
    </w:p>
    <w:p w14:paraId="186FE51C" w14:textId="77777777" w:rsidR="00411721" w:rsidRDefault="00E0582D" w:rsidP="00E0582D">
      <w:pPr>
        <w:pStyle w:val="Quote"/>
      </w:pPr>
      <w:r>
        <w:t xml:space="preserve">“Just before she started, we’d had a couple of nurses resign and we were in a bit of a crisis in terms of staffing. So she was a bit of a godsend coming on in that we were having an extra </w:t>
      </w:r>
      <w:r>
        <w:lastRenderedPageBreak/>
        <w:t>staff member, but it was also going to take its toll on me being a bit slowed down to train her, and that she was going to get pushed a little bit harder.”</w:t>
      </w:r>
      <w:r w:rsidR="009B505C">
        <w:t xml:space="preserve"> </w:t>
      </w:r>
      <w:r w:rsidR="0046466B">
        <w:t>–</w:t>
      </w:r>
      <w:r w:rsidR="009B505C">
        <w:t xml:space="preserve"> Preceptor</w:t>
      </w:r>
    </w:p>
    <w:p w14:paraId="17B52D47" w14:textId="77777777" w:rsidR="0046466B" w:rsidRPr="0046466B" w:rsidRDefault="0046466B" w:rsidP="0046466B">
      <w:pPr>
        <w:rPr>
          <w:lang w:val="en-US"/>
        </w:rPr>
      </w:pPr>
    </w:p>
    <w:p w14:paraId="1C96C8EC" w14:textId="77777777" w:rsidR="00120BC0" w:rsidRPr="004903DB" w:rsidRDefault="00E13FB6" w:rsidP="004903DB">
      <w:pPr>
        <w:rPr>
          <w:lang w:val="en-US"/>
        </w:rPr>
      </w:pPr>
      <w:r>
        <w:rPr>
          <w:lang w:val="en-US"/>
        </w:rPr>
        <w:t xml:space="preserve">The NGNs </w:t>
      </w:r>
      <w:r w:rsidR="0046466B">
        <w:rPr>
          <w:lang w:val="en-US"/>
        </w:rPr>
        <w:t xml:space="preserve">at these practices </w:t>
      </w:r>
      <w:r>
        <w:rPr>
          <w:lang w:val="en-US"/>
        </w:rPr>
        <w:t xml:space="preserve">still </w:t>
      </w:r>
      <w:r w:rsidR="0046466B">
        <w:rPr>
          <w:lang w:val="en-US"/>
        </w:rPr>
        <w:t>suggested that</w:t>
      </w:r>
      <w:r>
        <w:rPr>
          <w:lang w:val="en-US"/>
        </w:rPr>
        <w:t xml:space="preserve"> they were well supported and </w:t>
      </w:r>
      <w:r w:rsidR="0046466B">
        <w:rPr>
          <w:lang w:val="en-US"/>
        </w:rPr>
        <w:t>often noted the</w:t>
      </w:r>
      <w:r>
        <w:rPr>
          <w:lang w:val="en-US"/>
        </w:rPr>
        <w:t xml:space="preserve"> high level of support they received from other </w:t>
      </w:r>
      <w:r w:rsidR="0046466B">
        <w:rPr>
          <w:lang w:val="en-US"/>
        </w:rPr>
        <w:t xml:space="preserve">practice </w:t>
      </w:r>
      <w:r>
        <w:rPr>
          <w:lang w:val="en-US"/>
        </w:rPr>
        <w:t xml:space="preserve">staff including nurses and GPs. </w:t>
      </w:r>
      <w:r w:rsidR="0046466B">
        <w:rPr>
          <w:lang w:val="en-US"/>
        </w:rPr>
        <w:t>This suggest</w:t>
      </w:r>
      <w:r w:rsidR="00CF26FD">
        <w:rPr>
          <w:lang w:val="en-US"/>
        </w:rPr>
        <w:t>s</w:t>
      </w:r>
      <w:r w:rsidR="0046466B">
        <w:rPr>
          <w:lang w:val="en-US"/>
        </w:rPr>
        <w:t xml:space="preserve"> that h</w:t>
      </w:r>
      <w:r>
        <w:rPr>
          <w:lang w:val="en-US"/>
        </w:rPr>
        <w:t xml:space="preserve">aving support </w:t>
      </w:r>
      <w:r w:rsidR="0046466B">
        <w:rPr>
          <w:lang w:val="en-US"/>
        </w:rPr>
        <w:t xml:space="preserve">for NGNs from across the practice is important for reducing the impact of staff turnover on support for the NGN. </w:t>
      </w:r>
    </w:p>
    <w:p w14:paraId="5FA6CE30" w14:textId="77777777" w:rsidR="0042488E" w:rsidRDefault="00CB71D1" w:rsidP="0042488E">
      <w:pPr>
        <w:pStyle w:val="Heading3"/>
      </w:pPr>
      <w:r>
        <w:t>Expectation</w:t>
      </w:r>
      <w:r w:rsidR="000811B4">
        <w:t>s</w:t>
      </w:r>
      <w:r>
        <w:t xml:space="preserve"> of the NGN ability and support needs</w:t>
      </w:r>
    </w:p>
    <w:p w14:paraId="1D40FA15" w14:textId="77777777" w:rsidR="00E911A3" w:rsidRDefault="00FC00A2" w:rsidP="00873C35">
      <w:r>
        <w:t xml:space="preserve">Overall, there was a good level of </w:t>
      </w:r>
      <w:r w:rsidR="00E911A3">
        <w:t>understanding about what the NGN was capable of with 90% of practice respondents agreeing they knew the NGNs role and the activities they were able to undertake</w:t>
      </w:r>
      <w:r w:rsidR="00CF26FD">
        <w:t xml:space="preserve"> (n=102)</w:t>
      </w:r>
      <w:r w:rsidR="00E911A3">
        <w:t xml:space="preserve">. </w:t>
      </w:r>
      <w:r w:rsidR="00785929">
        <w:t xml:space="preserve">The </w:t>
      </w:r>
      <w:r w:rsidR="00AD5A2A">
        <w:t xml:space="preserve">interim survey and the site visits suggested that the </w:t>
      </w:r>
      <w:r w:rsidR="00785929">
        <w:t>level of understanding a practice has about the ability and support needs of their NGN is influenced by their past experience with NGNs and nursing students</w:t>
      </w:r>
      <w:r>
        <w:t xml:space="preserve">. </w:t>
      </w:r>
      <w:r w:rsidR="00AD5A2A">
        <w:t xml:space="preserve">Previous and/or current experience with NGNs and/or student nurses </w:t>
      </w:r>
      <w:r w:rsidR="00A03664">
        <w:t xml:space="preserve">helped </w:t>
      </w:r>
      <w:r w:rsidR="00AD5A2A">
        <w:t xml:space="preserve">practices </w:t>
      </w:r>
      <w:r w:rsidR="00A03664">
        <w:t xml:space="preserve">to better </w:t>
      </w:r>
      <w:r w:rsidR="00AD5A2A">
        <w:t>understand</w:t>
      </w:r>
      <w:r w:rsidR="00A03664">
        <w:t xml:space="preserve"> </w:t>
      </w:r>
      <w:r w:rsidR="00AD5A2A">
        <w:t xml:space="preserve">and meet the needs of the NGN. Still, the site visits suggested that some of the practices who had experience with student nurses but not </w:t>
      </w:r>
      <w:r w:rsidR="00E62B10">
        <w:t>a NGN</w:t>
      </w:r>
      <w:r w:rsidR="00AD5A2A">
        <w:t xml:space="preserve"> underestimated the study </w:t>
      </w:r>
      <w:r>
        <w:t xml:space="preserve">needs and amount of time off required by a NGN on the NETP programme. </w:t>
      </w:r>
    </w:p>
    <w:p w14:paraId="60C6A7A8" w14:textId="77777777" w:rsidR="00E75510" w:rsidRDefault="00467E91" w:rsidP="00873C35">
      <w:r>
        <w:t xml:space="preserve">A </w:t>
      </w:r>
      <w:r w:rsidR="00AD5A2A">
        <w:t>NETP Coordinator supporting a number of NGNs involved in the scheme</w:t>
      </w:r>
      <w:r>
        <w:t xml:space="preserve"> </w:t>
      </w:r>
      <w:r w:rsidR="00AD5A2A">
        <w:t>suggested that</w:t>
      </w:r>
      <w:r>
        <w:t xml:space="preserve"> </w:t>
      </w:r>
      <w:r w:rsidR="00FC00A2">
        <w:t xml:space="preserve">practices </w:t>
      </w:r>
      <w:r>
        <w:t>without</w:t>
      </w:r>
      <w:r w:rsidR="00FC00A2">
        <w:t xml:space="preserve"> previous experience w</w:t>
      </w:r>
      <w:r w:rsidR="00AD5A2A">
        <w:t>ith</w:t>
      </w:r>
      <w:r w:rsidR="00FC00A2">
        <w:t xml:space="preserve"> NGNs or nursing students </w:t>
      </w:r>
      <w:r>
        <w:t>were</w:t>
      </w:r>
      <w:r w:rsidR="00FC00A2">
        <w:t xml:space="preserve"> more likely </w:t>
      </w:r>
      <w:r>
        <w:t xml:space="preserve">to </w:t>
      </w:r>
      <w:r w:rsidR="00E911A3">
        <w:t xml:space="preserve">have </w:t>
      </w:r>
      <w:r>
        <w:t>in</w:t>
      </w:r>
      <w:r w:rsidR="00E911A3">
        <w:t xml:space="preserve">accurate expectations of the </w:t>
      </w:r>
      <w:r w:rsidR="00FC00A2">
        <w:t>ability of a NGN.</w:t>
      </w:r>
      <w:r w:rsidR="00E911A3">
        <w:t xml:space="preserve"> </w:t>
      </w:r>
      <w:r w:rsidR="00AD5A2A">
        <w:t>They suggested that s</w:t>
      </w:r>
      <w:r w:rsidR="00E911A3">
        <w:t xml:space="preserve">ome </w:t>
      </w:r>
      <w:r w:rsidR="00AD5A2A">
        <w:t xml:space="preserve">practices </w:t>
      </w:r>
      <w:r w:rsidR="00E911A3">
        <w:t xml:space="preserve">overestimated the ability of a NGN and expected them to </w:t>
      </w:r>
      <w:r w:rsidR="00E62B10">
        <w:t xml:space="preserve">be capable of </w:t>
      </w:r>
      <w:r w:rsidR="00E911A3">
        <w:t>work</w:t>
      </w:r>
      <w:r w:rsidR="00E62B10">
        <w:t>ing</w:t>
      </w:r>
      <w:r w:rsidR="00E911A3">
        <w:t xml:space="preserve"> as a</w:t>
      </w:r>
      <w:r w:rsidR="00E7675B">
        <w:t>n</w:t>
      </w:r>
      <w:r w:rsidR="00E62B10">
        <w:t xml:space="preserve"> experienced</w:t>
      </w:r>
      <w:r w:rsidR="00E911A3">
        <w:t xml:space="preserve"> practice nurse. Other practices underestimated their ability and limited their activities in a way that restricted the</w:t>
      </w:r>
      <w:r w:rsidR="00AD5A2A">
        <w:t xml:space="preserve"> NGN</w:t>
      </w:r>
      <w:r w:rsidR="00E7675B">
        <w:t>’s</w:t>
      </w:r>
      <w:r w:rsidR="00AD5A2A">
        <w:t xml:space="preserve"> opportunity</w:t>
      </w:r>
      <w:r w:rsidR="00E911A3">
        <w:t xml:space="preserve"> to </w:t>
      </w:r>
      <w:r w:rsidR="00AD5A2A">
        <w:t>learn and develop their skills and expertise</w:t>
      </w:r>
      <w:r w:rsidR="00E911A3">
        <w:t xml:space="preserve">. In these situations, </w:t>
      </w:r>
      <w:r w:rsidR="00AD5A2A">
        <w:t xml:space="preserve">the NETP coordinator suggested that </w:t>
      </w:r>
      <w:r w:rsidR="00E911A3">
        <w:t xml:space="preserve">support from the DHB or PHO was important </w:t>
      </w:r>
      <w:r w:rsidR="00A03664">
        <w:t xml:space="preserve">to help </w:t>
      </w:r>
      <w:r w:rsidR="00E911A3">
        <w:t xml:space="preserve">the practice learn what was </w:t>
      </w:r>
      <w:r w:rsidR="00AD5A2A">
        <w:t>needed</w:t>
      </w:r>
      <w:r w:rsidR="00E911A3">
        <w:t xml:space="preserve"> to support the development of the NGN.</w:t>
      </w:r>
    </w:p>
    <w:p w14:paraId="401AC26E" w14:textId="77777777" w:rsidR="00785929" w:rsidRDefault="00E75510" w:rsidP="00E75510">
      <w:pPr>
        <w:pStyle w:val="Heading4"/>
      </w:pPr>
      <w:r>
        <w:t>Communicating expectations of the NGN role across the practice</w:t>
      </w:r>
    </w:p>
    <w:p w14:paraId="5DA1CD1A" w14:textId="77777777" w:rsidR="00E13FB6" w:rsidRDefault="00E911A3" w:rsidP="00E13FB6">
      <w:r>
        <w:t xml:space="preserve">Within practices, non-clinical </w:t>
      </w:r>
      <w:proofErr w:type="gramStart"/>
      <w:r>
        <w:t>staff were</w:t>
      </w:r>
      <w:proofErr w:type="gramEnd"/>
      <w:r>
        <w:t xml:space="preserve"> </w:t>
      </w:r>
      <w:r w:rsidR="00AD5A2A">
        <w:t xml:space="preserve">even </w:t>
      </w:r>
      <w:r>
        <w:t>less likely to know what they could expect from a NGN. This could involve non-clinical reception, administration staff or practice management staff. One practice</w:t>
      </w:r>
      <w:r w:rsidR="00E13FB6">
        <w:t xml:space="preserve"> mentioned that in the early stages of the scheme reception </w:t>
      </w:r>
      <w:proofErr w:type="gramStart"/>
      <w:r w:rsidR="00E13FB6">
        <w:t>staff were</w:t>
      </w:r>
      <w:proofErr w:type="gramEnd"/>
      <w:r w:rsidR="00E13FB6">
        <w:t xml:space="preserve"> unsure on wh</w:t>
      </w:r>
      <w:r w:rsidR="00E75510">
        <w:t xml:space="preserve">ich </w:t>
      </w:r>
      <w:r w:rsidR="00E13FB6">
        <w:t xml:space="preserve">appointments </w:t>
      </w:r>
      <w:r>
        <w:t>should</w:t>
      </w:r>
      <w:r w:rsidR="00E13FB6">
        <w:t xml:space="preserve"> be booked with the NGN</w:t>
      </w:r>
      <w:r w:rsidR="00E75510">
        <w:t xml:space="preserve"> and the value of booking in appointments with the Doctor to support training and development</w:t>
      </w:r>
      <w:r w:rsidR="00E13FB6">
        <w:t xml:space="preserve">. </w:t>
      </w:r>
      <w:proofErr w:type="gramStart"/>
      <w:r w:rsidR="00E13FB6">
        <w:t xml:space="preserve">This lead to the NGN </w:t>
      </w:r>
      <w:r w:rsidR="00E75510">
        <w:t>having</w:t>
      </w:r>
      <w:r w:rsidR="00E13FB6">
        <w:t xml:space="preserve"> many gaps in their schedule.</w:t>
      </w:r>
      <w:proofErr w:type="gramEnd"/>
      <w:r w:rsidR="00E13FB6">
        <w:t xml:space="preserve"> </w:t>
      </w:r>
      <w:r w:rsidR="00E75510">
        <w:t>When the other nurses noticed the lack of bookings for the NGN, t</w:t>
      </w:r>
      <w:r w:rsidR="00E13FB6">
        <w:t>he</w:t>
      </w:r>
      <w:r w:rsidR="00E75510">
        <w:t>y</w:t>
      </w:r>
      <w:r w:rsidR="00E13FB6">
        <w:t xml:space="preserve"> helped to communicate </w:t>
      </w:r>
      <w:r w:rsidR="00E75510">
        <w:t>the</w:t>
      </w:r>
      <w:r w:rsidR="00E13FB6">
        <w:t xml:space="preserve"> role and the types of appointments that should be booked with the NGN</w:t>
      </w:r>
      <w:r w:rsidR="00E75510">
        <w:t>:</w:t>
      </w:r>
    </w:p>
    <w:p w14:paraId="234641CD" w14:textId="77777777" w:rsidR="0090186B" w:rsidRDefault="00E13FB6" w:rsidP="00467E91">
      <w:pPr>
        <w:pStyle w:val="Quote"/>
      </w:pPr>
      <w:r>
        <w:lastRenderedPageBreak/>
        <w:t>“But it wasn’t until a little while later we noticed things still weren’t being booked with her. And I said… ‘This could have been booked with [NGN]’. And ‘Oh, we’re not booking anything with her that needs a doctor’. Well, actually, those are the best things to book with her... But they were looking at it from a clogging up the schedules timing sort of thing rather than assisting her to train”</w:t>
      </w:r>
      <w:r w:rsidR="009B505C">
        <w:t xml:space="preserve"> - Preceptor</w:t>
      </w:r>
    </w:p>
    <w:p w14:paraId="595729C4" w14:textId="77777777" w:rsidR="003001FA" w:rsidRDefault="00AD5A2A" w:rsidP="00B718B5">
      <w:r>
        <w:t xml:space="preserve">This </w:t>
      </w:r>
      <w:r w:rsidR="00E75510">
        <w:t xml:space="preserve">highlights the importance of ensuring that clinical and non-clinical </w:t>
      </w:r>
      <w:proofErr w:type="gramStart"/>
      <w:r w:rsidR="00E75510">
        <w:t>staff are</w:t>
      </w:r>
      <w:proofErr w:type="gramEnd"/>
      <w:r w:rsidR="00E75510">
        <w:t xml:space="preserve"> fully informed of the NGN role and the steps needed to support their integration into the practice. </w:t>
      </w:r>
      <w:r>
        <w:t xml:space="preserve"> </w:t>
      </w:r>
      <w:r w:rsidR="00E75510">
        <w:t>In this instance the leadership and experience of clinical staff will be valuable for enabling non-clinical staff to understand the role.</w:t>
      </w:r>
    </w:p>
    <w:p w14:paraId="7FEA2B4D" w14:textId="77777777" w:rsidR="003001FA" w:rsidRDefault="003001FA" w:rsidP="003001FA">
      <w:pPr>
        <w:pStyle w:val="Heading3"/>
      </w:pPr>
      <w:r>
        <w:t>Integration of the New Graduate Nurse</w:t>
      </w:r>
    </w:p>
    <w:p w14:paraId="558C26C7" w14:textId="77777777" w:rsidR="003001FA" w:rsidRDefault="003001FA" w:rsidP="003001FA">
      <w:pPr>
        <w:rPr>
          <w:lang w:eastAsia="en-US"/>
        </w:rPr>
      </w:pPr>
      <w:r>
        <w:rPr>
          <w:lang w:eastAsia="en-US"/>
        </w:rPr>
        <w:t xml:space="preserve">Overall, NGNs were well integrated into their practices. The </w:t>
      </w:r>
      <w:r>
        <w:t xml:space="preserve">mid-point </w:t>
      </w:r>
      <w:r>
        <w:rPr>
          <w:lang w:eastAsia="en-US"/>
        </w:rPr>
        <w:t>survey found NGNs were being accepted as part of the team (98% agreeing or strongly agreeing</w:t>
      </w:r>
      <w:r w:rsidR="00CF26FD">
        <w:rPr>
          <w:lang w:eastAsia="en-US"/>
        </w:rPr>
        <w:t>; n=89</w:t>
      </w:r>
      <w:r>
        <w:rPr>
          <w:lang w:eastAsia="en-US"/>
        </w:rPr>
        <w:t>), supported by other nurses (99%</w:t>
      </w:r>
      <w:r w:rsidR="00CF26FD">
        <w:rPr>
          <w:lang w:eastAsia="en-US"/>
        </w:rPr>
        <w:t>; n=89</w:t>
      </w:r>
      <w:r>
        <w:rPr>
          <w:lang w:eastAsia="en-US"/>
        </w:rPr>
        <w:t>), supported by other practice staff (99%</w:t>
      </w:r>
      <w:r w:rsidR="00CF26FD">
        <w:rPr>
          <w:lang w:eastAsia="en-US"/>
        </w:rPr>
        <w:t>; n=87</w:t>
      </w:r>
      <w:r>
        <w:rPr>
          <w:lang w:eastAsia="en-US"/>
        </w:rPr>
        <w:t>), and had arrangements in place to provide professional development or support (94%</w:t>
      </w:r>
      <w:r w:rsidR="00CF26FD">
        <w:rPr>
          <w:lang w:eastAsia="en-US"/>
        </w:rPr>
        <w:t>; n=89</w:t>
      </w:r>
      <w:r>
        <w:rPr>
          <w:lang w:eastAsia="en-US"/>
        </w:rPr>
        <w:t xml:space="preserve">). This finding was supported by the site visits. At one practice, integration of the NGN also involved participating in social events outside work. </w:t>
      </w:r>
    </w:p>
    <w:p w14:paraId="7CB8793B" w14:textId="77777777" w:rsidR="003001FA" w:rsidRDefault="00A67F8C" w:rsidP="003001FA">
      <w:pPr>
        <w:rPr>
          <w:lang w:eastAsia="en-US"/>
        </w:rPr>
      </w:pPr>
      <w:r>
        <w:rPr>
          <w:lang w:eastAsia="en-US"/>
        </w:rPr>
        <w:t>T</w:t>
      </w:r>
      <w:r w:rsidR="000811B4">
        <w:rPr>
          <w:lang w:eastAsia="en-US"/>
        </w:rPr>
        <w:t xml:space="preserve">he support from other clinical staff </w:t>
      </w:r>
      <w:r>
        <w:rPr>
          <w:lang w:eastAsia="en-US"/>
        </w:rPr>
        <w:t xml:space="preserve">facilitated the </w:t>
      </w:r>
      <w:r w:rsidR="000811B4">
        <w:rPr>
          <w:lang w:eastAsia="en-US"/>
        </w:rPr>
        <w:t xml:space="preserve">integration </w:t>
      </w:r>
      <w:r>
        <w:rPr>
          <w:lang w:eastAsia="en-US"/>
        </w:rPr>
        <w:t xml:space="preserve">of </w:t>
      </w:r>
      <w:r w:rsidR="000811B4">
        <w:rPr>
          <w:lang w:eastAsia="en-US"/>
        </w:rPr>
        <w:t>the NGN</w:t>
      </w:r>
      <w:r>
        <w:rPr>
          <w:lang w:eastAsia="en-US"/>
        </w:rPr>
        <w:t>,</w:t>
      </w:r>
      <w:r w:rsidR="000811B4">
        <w:rPr>
          <w:lang w:eastAsia="en-US"/>
        </w:rPr>
        <w:t xml:space="preserve"> even </w:t>
      </w:r>
      <w:r>
        <w:rPr>
          <w:lang w:eastAsia="en-US"/>
        </w:rPr>
        <w:t>when</w:t>
      </w:r>
      <w:r w:rsidR="000811B4">
        <w:rPr>
          <w:lang w:eastAsia="en-US"/>
        </w:rPr>
        <w:t xml:space="preserve"> the preceptor was not regularly available. For example, one</w:t>
      </w:r>
      <w:r w:rsidR="003001FA">
        <w:rPr>
          <w:lang w:eastAsia="en-US"/>
        </w:rPr>
        <w:t xml:space="preserve"> NGN moved to a rural clinic after a 3 month orientation due to a shortage of nursing staff at t</w:t>
      </w:r>
      <w:r w:rsidR="000811B4">
        <w:rPr>
          <w:lang w:eastAsia="en-US"/>
        </w:rPr>
        <w:t>hat</w:t>
      </w:r>
      <w:r w:rsidR="003001FA">
        <w:rPr>
          <w:lang w:eastAsia="en-US"/>
        </w:rPr>
        <w:t xml:space="preserve"> clinic. </w:t>
      </w:r>
      <w:r w:rsidR="000811B4">
        <w:rPr>
          <w:lang w:eastAsia="en-US"/>
        </w:rPr>
        <w:t xml:space="preserve">While this resulted in </w:t>
      </w:r>
      <w:r w:rsidR="00F80F9D">
        <w:rPr>
          <w:lang w:eastAsia="en-US"/>
        </w:rPr>
        <w:t xml:space="preserve">the NGN being based </w:t>
      </w:r>
      <w:r w:rsidR="000811B4">
        <w:rPr>
          <w:lang w:eastAsia="en-US"/>
        </w:rPr>
        <w:t xml:space="preserve">some distance from the preceptor, the NGN described </w:t>
      </w:r>
      <w:r w:rsidR="0018495E">
        <w:rPr>
          <w:lang w:eastAsia="en-US"/>
        </w:rPr>
        <w:t>receiving considerable</w:t>
      </w:r>
      <w:r w:rsidR="000811B4">
        <w:rPr>
          <w:lang w:eastAsia="en-US"/>
        </w:rPr>
        <w:t xml:space="preserve"> support from the </w:t>
      </w:r>
      <w:r w:rsidR="0018495E">
        <w:rPr>
          <w:lang w:eastAsia="en-US"/>
        </w:rPr>
        <w:t xml:space="preserve">other </w:t>
      </w:r>
      <w:r w:rsidR="000811B4">
        <w:rPr>
          <w:lang w:eastAsia="en-US"/>
        </w:rPr>
        <w:t xml:space="preserve">staff at the clinic. </w:t>
      </w:r>
      <w:r w:rsidR="003001FA">
        <w:rPr>
          <w:lang w:eastAsia="en-US"/>
        </w:rPr>
        <w:t xml:space="preserve">The NGN also commented that at the </w:t>
      </w:r>
      <w:r w:rsidR="00EB06F5">
        <w:rPr>
          <w:lang w:eastAsia="en-US"/>
        </w:rPr>
        <w:t xml:space="preserve">rural </w:t>
      </w:r>
      <w:r w:rsidR="003001FA">
        <w:rPr>
          <w:lang w:eastAsia="en-US"/>
        </w:rPr>
        <w:t xml:space="preserve">clinic she felt like a more valuable part of the team as the environment was </w:t>
      </w:r>
      <w:r w:rsidR="0018495E">
        <w:rPr>
          <w:lang w:eastAsia="en-US"/>
        </w:rPr>
        <w:t xml:space="preserve">smaller and </w:t>
      </w:r>
      <w:r w:rsidR="003001FA">
        <w:rPr>
          <w:lang w:eastAsia="en-US"/>
        </w:rPr>
        <w:t>more</w:t>
      </w:r>
      <w:r w:rsidR="00EB06F5">
        <w:rPr>
          <w:lang w:eastAsia="en-US"/>
        </w:rPr>
        <w:t xml:space="preserve"> </w:t>
      </w:r>
      <w:r w:rsidR="003001FA">
        <w:rPr>
          <w:lang w:eastAsia="en-US"/>
        </w:rPr>
        <w:t>intimate than the larger urban practice.</w:t>
      </w:r>
    </w:p>
    <w:p w14:paraId="4C0FBD93" w14:textId="3935D79E" w:rsidR="000811B4" w:rsidRDefault="000811B4" w:rsidP="000811B4">
      <w:pPr>
        <w:rPr>
          <w:lang w:eastAsia="en-US"/>
        </w:rPr>
      </w:pPr>
      <w:r>
        <w:rPr>
          <w:lang w:eastAsia="en-US"/>
        </w:rPr>
        <w:t xml:space="preserve">Expectations of the NGN role could also affect their integration into a practice. While most NGNs suggested that they </w:t>
      </w:r>
      <w:r>
        <w:t xml:space="preserve">were undertaking clinical processes appropriate </w:t>
      </w:r>
      <w:r w:rsidR="005936E1">
        <w:t>to</w:t>
      </w:r>
      <w:r>
        <w:t xml:space="preserve"> their skill set </w:t>
      </w:r>
      <w:r w:rsidR="005936E1">
        <w:rPr>
          <w:lang w:eastAsia="en-US"/>
        </w:rPr>
        <w:t xml:space="preserve">in the mid-point survey </w:t>
      </w:r>
      <w:r>
        <w:t>(97%</w:t>
      </w:r>
      <w:r w:rsidR="00CF26FD">
        <w:t>; n=30</w:t>
      </w:r>
      <w:r>
        <w:t xml:space="preserve">), </w:t>
      </w:r>
      <w:r w:rsidR="00133380">
        <w:t xml:space="preserve">that </w:t>
      </w:r>
      <w:r>
        <w:t>s</w:t>
      </w:r>
      <w:r w:rsidR="005936E1">
        <w:t>urvey</w:t>
      </w:r>
      <w:r w:rsidR="00133380">
        <w:t xml:space="preserve"> </w:t>
      </w:r>
      <w:proofErr w:type="gramStart"/>
      <w:r w:rsidR="00133380">
        <w:t xml:space="preserve">also </w:t>
      </w:r>
      <w:r>
        <w:t xml:space="preserve"> suggested</w:t>
      </w:r>
      <w:proofErr w:type="gramEnd"/>
      <w:r>
        <w:t xml:space="preserve"> that some practices needed to be reminded of the role of the NGN. In one practice for example, the survey comments suggested that the practice began to use the NGN to cover the receptionists’ sick leave:</w:t>
      </w:r>
    </w:p>
    <w:p w14:paraId="12E89509" w14:textId="77777777" w:rsidR="001766E9" w:rsidRDefault="000811B4" w:rsidP="00755CF3">
      <w:pPr>
        <w:pStyle w:val="Quote"/>
        <w:spacing w:after="120"/>
      </w:pPr>
      <w:r>
        <w:t>“[The</w:t>
      </w:r>
      <w:r w:rsidR="00F80F9D">
        <w:t>]</w:t>
      </w:r>
      <w:r>
        <w:t xml:space="preserve"> </w:t>
      </w:r>
      <w:proofErr w:type="spellStart"/>
      <w:r>
        <w:t>o</w:t>
      </w:r>
      <w:r w:rsidRPr="00B41DB9">
        <w:t>rganisation</w:t>
      </w:r>
      <w:proofErr w:type="spellEnd"/>
      <w:r w:rsidRPr="00B41DB9">
        <w:t xml:space="preserve"> </w:t>
      </w:r>
      <w:proofErr w:type="gramStart"/>
      <w:r>
        <w:t xml:space="preserve">[was] </w:t>
      </w:r>
      <w:r w:rsidRPr="00B41DB9">
        <w:t>wanting</w:t>
      </w:r>
      <w:proofErr w:type="gramEnd"/>
      <w:r w:rsidRPr="00B41DB9">
        <w:t xml:space="preserve"> to use new graduate RN as receptionist role when receptionist had extended sick leave. This was reversed after NETP coordinator met with the Practice Manager.”</w:t>
      </w:r>
      <w:r>
        <w:t xml:space="preserve"> – NETP coordinator (from mid-point survey)</w:t>
      </w:r>
    </w:p>
    <w:p w14:paraId="3E566DCF" w14:textId="2BE631B1" w:rsidR="000F387B" w:rsidRDefault="001766E9" w:rsidP="00755CF3">
      <w:r>
        <w:t xml:space="preserve">These findings highlight the role and value of support from the DHB and the PHO, particularly when practices have limited experience with NGNs. </w:t>
      </w:r>
    </w:p>
    <w:p w14:paraId="14BF7C16" w14:textId="77777777" w:rsidR="00B718B5" w:rsidRDefault="00393FD9" w:rsidP="000263AD">
      <w:pPr>
        <w:pStyle w:val="Heading2"/>
      </w:pPr>
      <w:bookmarkStart w:id="36" w:name="_Toc415657684"/>
      <w:r>
        <w:lastRenderedPageBreak/>
        <w:t>DHB and PHO involvement</w:t>
      </w:r>
      <w:bookmarkEnd w:id="36"/>
    </w:p>
    <w:p w14:paraId="11082253" w14:textId="77777777" w:rsidR="00332B48" w:rsidRPr="00332B48" w:rsidRDefault="00332B48" w:rsidP="00332B48">
      <w:r>
        <w:t xml:space="preserve">The evaluation identifies the </w:t>
      </w:r>
      <w:r w:rsidR="00D24C91">
        <w:t xml:space="preserve">key </w:t>
      </w:r>
      <w:r>
        <w:t xml:space="preserve">role of the DHB and the PHO in supporting the implementation of the initiative. DHB involvement was through the provision of the NETP programme and PHOs often supported practices through their nursing leaders. While the DHBs and PHOs drew on existing systems and structures to support the NGNs, the NETP Coordinators often noted an extension or change in the level of support that they were used to providing for nurses in secondary care. This was particularly apparent when practices had little or no previous experience with NGNs. </w:t>
      </w:r>
    </w:p>
    <w:p w14:paraId="001984D3" w14:textId="77777777" w:rsidR="00135FBB" w:rsidRDefault="00467E91" w:rsidP="000263AD">
      <w:pPr>
        <w:pStyle w:val="Heading3"/>
      </w:pPr>
      <w:r>
        <w:t>DHB Involvement</w:t>
      </w:r>
    </w:p>
    <w:p w14:paraId="6E094EBE" w14:textId="77777777" w:rsidR="009A4560" w:rsidRDefault="005933FD" w:rsidP="005F6171">
      <w:r>
        <w:t xml:space="preserve">The </w:t>
      </w:r>
      <w:r w:rsidR="0014289D">
        <w:t xml:space="preserve">mid-point </w:t>
      </w:r>
      <w:r>
        <w:t>survey</w:t>
      </w:r>
      <w:r w:rsidR="002122CE">
        <w:t xml:space="preserve"> and site visits</w:t>
      </w:r>
      <w:r>
        <w:t xml:space="preserve"> found that </w:t>
      </w:r>
      <w:r w:rsidR="00362FDD">
        <w:t xml:space="preserve">DHB involvement included the provision of the NETP programme including study days, coordinating the assessment component, practice visits and providing preceptor support. </w:t>
      </w:r>
      <w:r w:rsidR="009A4560">
        <w:t>The newness of the scheme and the limited experience of some of the practices with NGNs did have some implications on the level of supported needed from staff at the DHB, and most frequently the NETP Coordinator:</w:t>
      </w:r>
    </w:p>
    <w:p w14:paraId="761EC2C9" w14:textId="77777777" w:rsidR="00437EF5" w:rsidRPr="00437EF5" w:rsidRDefault="009A4560" w:rsidP="00437EF5">
      <w:pPr>
        <w:ind w:left="720"/>
        <w:rPr>
          <w:i/>
        </w:rPr>
      </w:pPr>
      <w:r w:rsidRPr="009A4560">
        <w:rPr>
          <w:i/>
        </w:rPr>
        <w:t>“</w:t>
      </w:r>
      <w:r>
        <w:rPr>
          <w:i/>
        </w:rPr>
        <w:t>So the [practices]</w:t>
      </w:r>
      <w:r w:rsidRPr="009A4560">
        <w:rPr>
          <w:i/>
        </w:rPr>
        <w:t xml:space="preserve"> don’t have a strong understanding of our Regulatory Requirements basically.  So there are lots of different levels of support which I don’t have to do here in the DHB because the Clinical Nurse Managers know the structure and system” - NETP coordinator</w:t>
      </w:r>
    </w:p>
    <w:p w14:paraId="152398ED" w14:textId="77777777" w:rsidR="009A4560" w:rsidRDefault="009A4560" w:rsidP="005F6171">
      <w:r>
        <w:t xml:space="preserve">This level of support was exacerbated in the practice were the NGN did not feel well supported. </w:t>
      </w:r>
      <w:r w:rsidR="00437EF5">
        <w:t xml:space="preserve">At this practice, the NETP Coordinator provided </w:t>
      </w:r>
      <w:r w:rsidR="00437EF5">
        <w:rPr>
          <w:lang w:val="en-US"/>
        </w:rPr>
        <w:t xml:space="preserve">an orientation checklist, a specialist nurse educator, and a DHB nurse leader giving supervision. </w:t>
      </w:r>
      <w:r w:rsidR="00437EF5">
        <w:t>In this context, the level of support provided was perceived to be beyond their typical role and responsibilities:</w:t>
      </w:r>
    </w:p>
    <w:p w14:paraId="11AE71F9" w14:textId="77777777" w:rsidR="005F6171" w:rsidRDefault="00437EF5" w:rsidP="00755CF3">
      <w:pPr>
        <w:pStyle w:val="Quote"/>
        <w:spacing w:after="120"/>
      </w:pPr>
      <w:r w:rsidDel="00F965D2">
        <w:t xml:space="preserve"> </w:t>
      </w:r>
      <w:r w:rsidR="005F6171">
        <w:t>“The biggest challenge for me was that I had to provide an excessive amount of support to that Practice than any other of the 40 Graduates I had…It was time consuming and it was about me being aware that there was no support for the Graduate so I took on an additional role, which is not my role.  I’m a facilitator.”</w:t>
      </w:r>
      <w:r w:rsidR="009B505C">
        <w:t xml:space="preserve"> – NETP coordinator</w:t>
      </w:r>
    </w:p>
    <w:p w14:paraId="6C5727EF" w14:textId="77777777" w:rsidR="009A556D" w:rsidRDefault="00437EF5" w:rsidP="00042FA2">
      <w:r>
        <w:t xml:space="preserve">In line with this notion, one NETP coordinator noted that they found it difficult to support all the NGNs in their DHB within their current resources. To address </w:t>
      </w:r>
      <w:proofErr w:type="gramStart"/>
      <w:r>
        <w:t>this challenges</w:t>
      </w:r>
      <w:proofErr w:type="gramEnd"/>
      <w:r>
        <w:t xml:space="preserve">, the NETP Coordinator worked in collaboration with the PHOs to ensure that all NGNs were being visited by a PHO nurse leader.  </w:t>
      </w:r>
      <w:r w:rsidR="009A556D">
        <w:t>As practices become more aware and experienced in supporting NGNs, this higher level of support need is likely to reduce over</w:t>
      </w:r>
      <w:r w:rsidR="00A03664">
        <w:t xml:space="preserve"> </w:t>
      </w:r>
      <w:r w:rsidR="009A556D">
        <w:t xml:space="preserve">time. </w:t>
      </w:r>
    </w:p>
    <w:p w14:paraId="66A3EACA" w14:textId="77777777" w:rsidR="00135FBB" w:rsidRDefault="00135FBB" w:rsidP="000263AD">
      <w:pPr>
        <w:pStyle w:val="Heading3"/>
      </w:pPr>
      <w:r>
        <w:lastRenderedPageBreak/>
        <w:t>PHO Involvement</w:t>
      </w:r>
    </w:p>
    <w:p w14:paraId="39734809" w14:textId="77777777" w:rsidR="009A556D" w:rsidRDefault="009A556D" w:rsidP="001622A1">
      <w:r>
        <w:rPr>
          <w:lang w:val="en-US"/>
        </w:rPr>
        <w:t>The site visit interviews identified the level</w:t>
      </w:r>
      <w:r w:rsidR="00A03664">
        <w:rPr>
          <w:lang w:val="en-US"/>
        </w:rPr>
        <w:t xml:space="preserve"> of</w:t>
      </w:r>
      <w:r>
        <w:rPr>
          <w:lang w:val="en-US"/>
        </w:rPr>
        <w:t xml:space="preserve"> </w:t>
      </w:r>
      <w:r w:rsidR="007415E6">
        <w:rPr>
          <w:lang w:val="en-US"/>
        </w:rPr>
        <w:t>PHO involvement</w:t>
      </w:r>
      <w:r w:rsidR="005933FD">
        <w:rPr>
          <w:lang w:val="en-US"/>
        </w:rPr>
        <w:t xml:space="preserve"> after recruitment</w:t>
      </w:r>
      <w:r>
        <w:rPr>
          <w:lang w:val="en-US"/>
        </w:rPr>
        <w:t xml:space="preserve">. This often </w:t>
      </w:r>
      <w:r w:rsidR="005933FD">
        <w:rPr>
          <w:lang w:val="en-US"/>
        </w:rPr>
        <w:t xml:space="preserve">included </w:t>
      </w:r>
      <w:r w:rsidR="005933FD">
        <w:t>making regular contact with the NGN, assisting in the orientation, and providing ongoing education and peer support.</w:t>
      </w:r>
      <w:r w:rsidR="007415E6">
        <w:t xml:space="preserve"> </w:t>
      </w:r>
      <w:r w:rsidR="003A4B32">
        <w:t>The</w:t>
      </w:r>
      <w:r>
        <w:t xml:space="preserve"> PHO</w:t>
      </w:r>
      <w:r w:rsidR="006C140E">
        <w:t>s</w:t>
      </w:r>
      <w:r w:rsidR="003A4B32">
        <w:t xml:space="preserve"> were available to</w:t>
      </w:r>
      <w:r w:rsidR="002122CE">
        <w:t xml:space="preserve"> support </w:t>
      </w:r>
      <w:r w:rsidR="003A4B32">
        <w:t>both the practice and the NGNs</w:t>
      </w:r>
      <w:r w:rsidR="002122CE">
        <w:t xml:space="preserve"> if required</w:t>
      </w:r>
      <w:r w:rsidR="003A4B32">
        <w:t>.</w:t>
      </w:r>
      <w:r w:rsidR="008975D0">
        <w:t xml:space="preserve"> </w:t>
      </w:r>
      <w:r>
        <w:t xml:space="preserve">This type of support was not unique to the NGN one-off funding scheme, rather one PHO CEO mentioned that the scheme was able to draw on existing support systems and structures. </w:t>
      </w:r>
      <w:r w:rsidR="00075C07">
        <w:t xml:space="preserve">They went on to suggest that this type of support can be particularly useful when </w:t>
      </w:r>
      <w:r w:rsidR="00E62B10">
        <w:t>a NGN</w:t>
      </w:r>
      <w:r w:rsidR="00075C07">
        <w:t xml:space="preserve"> is feeling unsatisfied in their role, as they can engage with the preceptor and the practice. </w:t>
      </w:r>
    </w:p>
    <w:p w14:paraId="169F5664" w14:textId="77777777" w:rsidR="00075C07" w:rsidRDefault="00075C07" w:rsidP="001622A1">
      <w:r>
        <w:t>The PHOs were also identified as having a role in supporting the unique training needs of some of the NGNs:</w:t>
      </w:r>
    </w:p>
    <w:p w14:paraId="79C1FAFD" w14:textId="77777777" w:rsidR="0031449B" w:rsidRDefault="0031449B" w:rsidP="00755CF3">
      <w:pPr>
        <w:pStyle w:val="Quote"/>
        <w:spacing w:after="120"/>
      </w:pPr>
      <w:r>
        <w:t xml:space="preserve">“We had a new grad at a GP practice </w:t>
      </w:r>
      <w:proofErr w:type="gramStart"/>
      <w:r>
        <w:t>who</w:t>
      </w:r>
      <w:proofErr w:type="gramEnd"/>
      <w:r>
        <w:t xml:space="preserve"> was running asthma clinics and we thought wow, that’s a huge responsibility.  So once we </w:t>
      </w:r>
      <w:proofErr w:type="spellStart"/>
      <w:r w:rsidR="006C140E">
        <w:t>reali</w:t>
      </w:r>
      <w:r w:rsidR="00D24C91">
        <w:t>s</w:t>
      </w:r>
      <w:r w:rsidR="006C140E">
        <w:t>ed</w:t>
      </w:r>
      <w:proofErr w:type="spellEnd"/>
      <w:r>
        <w:t xml:space="preserve"> what her actual role was and how specific it was, the ADON from that PHO got her on a lot of the asthma courses, respiratory courses and really brought her up to speed in terms of putting her on the courses for the skills and knowledge that she needed for that particular practice.”</w:t>
      </w:r>
      <w:r w:rsidR="009B505C">
        <w:t xml:space="preserve"> </w:t>
      </w:r>
      <w:r w:rsidR="00075C07">
        <w:t>–</w:t>
      </w:r>
      <w:r w:rsidR="009B505C">
        <w:t xml:space="preserve"> </w:t>
      </w:r>
      <w:r w:rsidR="00A97AA6">
        <w:t>NETP coordinator</w:t>
      </w:r>
    </w:p>
    <w:p w14:paraId="21C6B2C0" w14:textId="77777777" w:rsidR="00075C07" w:rsidRDefault="00D24C91" w:rsidP="002D0159">
      <w:r>
        <w:t>The s</w:t>
      </w:r>
      <w:r w:rsidR="000E6D3D">
        <w:t>ite visits indicated that t</w:t>
      </w:r>
      <w:r w:rsidR="003A4B32">
        <w:t>he level of support from PHO</w:t>
      </w:r>
      <w:r w:rsidR="000E6D3D">
        <w:t>s</w:t>
      </w:r>
      <w:r w:rsidR="003A4B32">
        <w:t xml:space="preserve"> </w:t>
      </w:r>
      <w:r w:rsidR="000E6D3D">
        <w:t>to practices</w:t>
      </w:r>
      <w:r w:rsidR="00075C07">
        <w:t xml:space="preserve"> tended to be bolstered when the PHO owns the practice. The interviews suggested that this high level of integration facilitates easy access to different types of support and efficiencies in terms of resources and time. </w:t>
      </w:r>
    </w:p>
    <w:p w14:paraId="5EC42685" w14:textId="77777777" w:rsidR="00335767" w:rsidRDefault="00335767" w:rsidP="002D0159"/>
    <w:p w14:paraId="2606B40E" w14:textId="77777777" w:rsidR="0011596E" w:rsidRDefault="0011596E" w:rsidP="0011596E">
      <w:pPr>
        <w:pStyle w:val="Heading2"/>
      </w:pPr>
      <w:bookmarkStart w:id="37" w:name="_Toc415138869"/>
      <w:bookmarkStart w:id="38" w:name="_Toc415584692"/>
      <w:bookmarkStart w:id="39" w:name="_Toc415657685"/>
      <w:bookmarkEnd w:id="37"/>
      <w:bookmarkEnd w:id="38"/>
      <w:r>
        <w:t>New graduate nurse development and support</w:t>
      </w:r>
      <w:bookmarkEnd w:id="39"/>
    </w:p>
    <w:p w14:paraId="6A363A9A" w14:textId="77777777" w:rsidR="000F009E" w:rsidRDefault="000F009E" w:rsidP="000F009E">
      <w:r>
        <w:t>The NGNs were provided with a range of professional development opportunities and supports. This included the NETP programme, preceptor support and specific clinical skills training. All of these supports were highly valued by the NGNs and were considered to improve their clinical knowledge and skills. The NGN</w:t>
      </w:r>
      <w:r w:rsidR="00EE7AD9">
        <w:t>s suggested that</w:t>
      </w:r>
      <w:r>
        <w:t xml:space="preserve"> the support from the preceptor </w:t>
      </w:r>
      <w:r w:rsidR="00EE7AD9">
        <w:t>was</w:t>
      </w:r>
      <w:r>
        <w:t xml:space="preserve"> the most valuable</w:t>
      </w:r>
      <w:r w:rsidR="00EE7AD9">
        <w:t xml:space="preserve">. The NGNs felt that the value of the NETP programme could be enhanced through increasing the relevance to primary care.  </w:t>
      </w:r>
    </w:p>
    <w:p w14:paraId="3D7304A8" w14:textId="77777777" w:rsidR="00EE7AD9" w:rsidRDefault="00EE7AD9" w:rsidP="00EE7AD9">
      <w:pPr>
        <w:pStyle w:val="Heading3"/>
      </w:pPr>
      <w:r>
        <w:t>Preceptor support</w:t>
      </w:r>
    </w:p>
    <w:p w14:paraId="00866B4A" w14:textId="77777777" w:rsidR="00EE7AD9" w:rsidRDefault="00EE7AD9" w:rsidP="00EE7AD9">
      <w:r>
        <w:t xml:space="preserve">The midpoint survey found that NGNs were happy with the support from their preceptors. The survey found that preceptors were a key support for the NGNs. Nearly all (97%; n=31) agreed that their preceptor had the skills and experience required to support their role and 84% felt that their preceptor was providing mentoring that met their support needs (n=31). The site visits also found that the NGNs considered their preceptor to be their most valuable source of support, and they </w:t>
      </w:r>
      <w:r>
        <w:lastRenderedPageBreak/>
        <w:t>were identified as the key point of contact for help and support. The preceptor role was also particularly important for consistency, organisational policy and procedure questions, and maintaining their development portfolio.</w:t>
      </w:r>
    </w:p>
    <w:p w14:paraId="3FCEA995" w14:textId="77777777" w:rsidR="00EE7AD9" w:rsidRDefault="00EE7AD9" w:rsidP="00EE7AD9">
      <w:r>
        <w:t>The mid-point survey indicated that NGNs in the employment scheme had high quality preceptors</w:t>
      </w:r>
      <w:r w:rsidR="00215FC2">
        <w:t>. A</w:t>
      </w:r>
      <w:r>
        <w:t>ll had completed preceptor training, 69% held a post-graduate qualification, and only 12% did not have past experience as a preceptor (n=16). The site visits supported this finding.</w:t>
      </w:r>
    </w:p>
    <w:p w14:paraId="764C9FB4" w14:textId="77777777" w:rsidR="00EE7AD9" w:rsidRDefault="00215FC2" w:rsidP="00EE7AD9">
      <w:r>
        <w:t>While preceptor</w:t>
      </w:r>
      <w:r w:rsidR="00EE7AD9">
        <w:t xml:space="preserve"> support was </w:t>
      </w:r>
      <w:r>
        <w:t xml:space="preserve">highly </w:t>
      </w:r>
      <w:r w:rsidR="00EE7AD9">
        <w:t>valu</w:t>
      </w:r>
      <w:r>
        <w:t>ed</w:t>
      </w:r>
      <w:r w:rsidR="00EE7AD9">
        <w:t>, the amount of time preceptors had available</w:t>
      </w:r>
      <w:r>
        <w:t xml:space="preserve"> was sometimes limited</w:t>
      </w:r>
      <w:r w:rsidR="00EE7AD9">
        <w:t>. NGNs considered their preceptors to be accessible but busy. Preceptors suggested that they did not have as much protected time as they would have liked to provide regular, structured support to the NGNs. One stakeholder at the DHB also suggested there was the potential for preceptor burnout whe</w:t>
      </w:r>
      <w:r>
        <w:t>n</w:t>
      </w:r>
      <w:r w:rsidR="00EE7AD9">
        <w:t xml:space="preserve"> practices do not have multiple preceptors available. When the preceptor was busy however, the NGNs often suggested that other practice staff would help them. Indeed, many NGNs noted the multiple levels of support from a broad range of staff at the practices. The site visits suggested that this extended support was particularly important at the two </w:t>
      </w:r>
      <w:r>
        <w:t>practices</w:t>
      </w:r>
      <w:r w:rsidR="00EE7AD9">
        <w:t xml:space="preserve"> </w:t>
      </w:r>
      <w:proofErr w:type="gramStart"/>
      <w:r w:rsidR="00EE7AD9">
        <w:t>who</w:t>
      </w:r>
      <w:proofErr w:type="gramEnd"/>
      <w:r w:rsidR="00EE7AD9">
        <w:t xml:space="preserve"> did not have a preceptor on-site. </w:t>
      </w:r>
    </w:p>
    <w:p w14:paraId="7497BB3E" w14:textId="77777777" w:rsidR="00EE7AD9" w:rsidRPr="000F009E" w:rsidRDefault="00EE7AD9" w:rsidP="000F009E"/>
    <w:p w14:paraId="7BF7274A" w14:textId="77777777" w:rsidR="00BF5F88" w:rsidRDefault="00BF5F88" w:rsidP="00BF5F88">
      <w:pPr>
        <w:pStyle w:val="Heading3"/>
      </w:pPr>
      <w:r>
        <w:t>NETP</w:t>
      </w:r>
    </w:p>
    <w:p w14:paraId="53AB4621" w14:textId="77777777" w:rsidR="004F5D17" w:rsidRDefault="003C6BD4" w:rsidP="00AC1D01">
      <w:r>
        <w:t xml:space="preserve">The NETP programme was valued by NGNs. </w:t>
      </w:r>
      <w:r w:rsidR="00AC1D01">
        <w:t xml:space="preserve">The </w:t>
      </w:r>
      <w:r w:rsidR="009F6231">
        <w:t xml:space="preserve">mid-point </w:t>
      </w:r>
      <w:r w:rsidR="00AC1D01">
        <w:t>survey found that most NGNs thought the NETP programme supported their professional development in primary care (81% agree or strongly agree</w:t>
      </w:r>
      <w:r w:rsidR="00FB231E">
        <w:t>; n=31</w:t>
      </w:r>
      <w:r w:rsidR="00AC1D01">
        <w:t>), met their theoretical and academic training needs (80%</w:t>
      </w:r>
      <w:r w:rsidR="00FB231E">
        <w:t>; n=30</w:t>
      </w:r>
      <w:r w:rsidR="00AC1D01">
        <w:t xml:space="preserve">), </w:t>
      </w:r>
      <w:r w:rsidR="00FB231E">
        <w:t xml:space="preserve">and </w:t>
      </w:r>
      <w:r w:rsidR="00AC1D01">
        <w:t>met their practical and clinical training needs (77%</w:t>
      </w:r>
      <w:r w:rsidR="00FB231E">
        <w:t>; n=30</w:t>
      </w:r>
      <w:r w:rsidR="00AC1D01">
        <w:t>)</w:t>
      </w:r>
      <w:r w:rsidR="00B8554A">
        <w:t>.</w:t>
      </w:r>
      <w:r w:rsidR="002161CD">
        <w:t xml:space="preserve"> </w:t>
      </w:r>
      <w:r w:rsidR="004F5D17">
        <w:t xml:space="preserve">When making comments on the NETP Programme in the survey however, the NGNs tended to </w:t>
      </w:r>
      <w:r w:rsidR="006C140E">
        <w:t xml:space="preserve">report </w:t>
      </w:r>
      <w:r w:rsidR="004F5D17">
        <w:t>that the programme was overly focused on the hospital setting</w:t>
      </w:r>
      <w:r w:rsidR="006C140E">
        <w:t>,</w:t>
      </w:r>
      <w:r w:rsidR="004F5D17">
        <w:t xml:space="preserve"> and that the preceptor support </w:t>
      </w:r>
      <w:r w:rsidR="006C140E">
        <w:t xml:space="preserve">in practices </w:t>
      </w:r>
      <w:r w:rsidR="004F5D17">
        <w:t>was often more relevant to developing skills and expertise as a nurse in primary care. This notion was reflected during some of the NGN interviews:</w:t>
      </w:r>
    </w:p>
    <w:p w14:paraId="6CAE50C1" w14:textId="77777777" w:rsidR="004F5D17" w:rsidRDefault="004F5D17" w:rsidP="00755CF3">
      <w:pPr>
        <w:pStyle w:val="Quote"/>
        <w:spacing w:after="120"/>
      </w:pPr>
      <w:r>
        <w:t>“I think it’s aimed towards more hospital. And I think that I could have gotten away with not going to some of the days considering it was a lot about hospital stuff” - NGN</w:t>
      </w:r>
    </w:p>
    <w:p w14:paraId="765CE41C" w14:textId="7161319F" w:rsidR="00455662" w:rsidRDefault="00CA72CA" w:rsidP="009E75F6">
      <w:pPr>
        <w:rPr>
          <w:lang w:val="en-US"/>
        </w:rPr>
      </w:pPr>
      <w:r>
        <w:rPr>
          <w:lang w:val="en-US"/>
        </w:rPr>
        <w:t xml:space="preserve">The </w:t>
      </w:r>
      <w:r w:rsidR="00EB06F5">
        <w:rPr>
          <w:lang w:val="en-US"/>
        </w:rPr>
        <w:t>evaluation found</w:t>
      </w:r>
      <w:r>
        <w:rPr>
          <w:lang w:val="en-US"/>
        </w:rPr>
        <w:t xml:space="preserve"> that some aspects of the NETP </w:t>
      </w:r>
      <w:proofErr w:type="spellStart"/>
      <w:r>
        <w:rPr>
          <w:lang w:val="en-US"/>
        </w:rPr>
        <w:t>programme</w:t>
      </w:r>
      <w:proofErr w:type="spellEnd"/>
      <w:r>
        <w:rPr>
          <w:lang w:val="en-US"/>
        </w:rPr>
        <w:t xml:space="preserve"> can be highly relevant to primary care or could be applied at the </w:t>
      </w:r>
      <w:r w:rsidR="00FB231E">
        <w:rPr>
          <w:lang w:val="en-US"/>
        </w:rPr>
        <w:t>practice</w:t>
      </w:r>
      <w:r w:rsidR="009E75F6">
        <w:rPr>
          <w:lang w:val="en-US"/>
        </w:rPr>
        <w:t xml:space="preserve">. At one DHB, for example, the NETP </w:t>
      </w:r>
      <w:proofErr w:type="spellStart"/>
      <w:r w:rsidR="009E75F6">
        <w:rPr>
          <w:lang w:val="en-US"/>
        </w:rPr>
        <w:t>programme</w:t>
      </w:r>
      <w:proofErr w:type="spellEnd"/>
      <w:r w:rsidR="009E75F6">
        <w:rPr>
          <w:lang w:val="en-US"/>
        </w:rPr>
        <w:t xml:space="preserve"> included a quality improvement project. The result of this project was a pre-diabetes screening project, which was seen as a key benefit for the NGN, the practice and their patients. This </w:t>
      </w:r>
      <w:r w:rsidR="00455662">
        <w:rPr>
          <w:lang w:val="en-US"/>
        </w:rPr>
        <w:t xml:space="preserve">example highlights </w:t>
      </w:r>
      <w:r w:rsidR="009E75F6">
        <w:rPr>
          <w:lang w:val="en-US"/>
        </w:rPr>
        <w:t xml:space="preserve">the benefits that can be achieved </w:t>
      </w:r>
      <w:r w:rsidR="00455662">
        <w:rPr>
          <w:lang w:val="en-US"/>
        </w:rPr>
        <w:t xml:space="preserve">when the NETP </w:t>
      </w:r>
      <w:proofErr w:type="spellStart"/>
      <w:r w:rsidR="00105190">
        <w:rPr>
          <w:lang w:val="en-US"/>
        </w:rPr>
        <w:t>p</w:t>
      </w:r>
      <w:r w:rsidR="00455662">
        <w:rPr>
          <w:lang w:val="en-US"/>
        </w:rPr>
        <w:t>rogramme</w:t>
      </w:r>
      <w:proofErr w:type="spellEnd"/>
      <w:r w:rsidR="00455662">
        <w:rPr>
          <w:lang w:val="en-US"/>
        </w:rPr>
        <w:t xml:space="preserve"> has the potential to be adapted or applied to primary care. </w:t>
      </w:r>
    </w:p>
    <w:p w14:paraId="64A80ADE" w14:textId="77777777" w:rsidR="00455662" w:rsidRDefault="00455662" w:rsidP="009E75F6">
      <w:r>
        <w:lastRenderedPageBreak/>
        <w:t>During the site visits, one practice manager also commented that they valued the NETP programme as it reduced some of the training and development burden for the practice.</w:t>
      </w:r>
    </w:p>
    <w:p w14:paraId="1DB5DADD" w14:textId="77777777" w:rsidR="00D24C91" w:rsidRDefault="00D24C91" w:rsidP="00D24C91">
      <w:pPr>
        <w:rPr>
          <w:lang w:val="en-US"/>
        </w:rPr>
      </w:pPr>
      <w:r>
        <w:rPr>
          <w:lang w:val="en-US"/>
        </w:rPr>
        <w:t xml:space="preserve">Practices that had not had a NGN before would </w:t>
      </w:r>
      <w:r w:rsidR="002822C6">
        <w:rPr>
          <w:lang w:val="en-US"/>
        </w:rPr>
        <w:t xml:space="preserve">however, </w:t>
      </w:r>
      <w:r>
        <w:rPr>
          <w:lang w:val="en-US"/>
        </w:rPr>
        <w:t xml:space="preserve">have liked more information on the NETP curriculum. They felt that this would enable them to reinforce what the NGN was learning on their study days. They suggested that the communication they received was related to compliance with the </w:t>
      </w:r>
      <w:proofErr w:type="spellStart"/>
      <w:r>
        <w:rPr>
          <w:lang w:val="en-US"/>
        </w:rPr>
        <w:t>programme</w:t>
      </w:r>
      <w:proofErr w:type="spellEnd"/>
      <w:r>
        <w:rPr>
          <w:lang w:val="en-US"/>
        </w:rPr>
        <w:t xml:space="preserve"> rather than assisting a consistent approach to developing the NGN:</w:t>
      </w:r>
    </w:p>
    <w:p w14:paraId="649A1F8F" w14:textId="77777777" w:rsidR="00D24C91" w:rsidRDefault="00D24C91" w:rsidP="00D24C91">
      <w:pPr>
        <w:pStyle w:val="Quote"/>
      </w:pPr>
      <w:r>
        <w:t xml:space="preserve">“They didn’t really talk to us a lot. They sent us forms to say fill in your feedback. But there wasn’t any, for example, this is what we’re covering in the NETP </w:t>
      </w:r>
      <w:proofErr w:type="spellStart"/>
      <w:r>
        <w:t>programme</w:t>
      </w:r>
      <w:proofErr w:type="spellEnd"/>
      <w:r>
        <w:t xml:space="preserve"> in the three days coming up. There was no two-way conversation. It just seemed like we were doing our thing. They were doing their thing.”</w:t>
      </w:r>
      <w:r w:rsidRPr="00063252">
        <w:t xml:space="preserve"> </w:t>
      </w:r>
      <w:r>
        <w:t>– Practice Manager</w:t>
      </w:r>
    </w:p>
    <w:p w14:paraId="07B99189" w14:textId="77777777" w:rsidR="00D24C91" w:rsidRPr="00455662" w:rsidRDefault="00D24C91" w:rsidP="009E75F6"/>
    <w:p w14:paraId="7510ED6A" w14:textId="77777777" w:rsidR="009E75F6" w:rsidRDefault="00455662" w:rsidP="009E75F6">
      <w:pPr>
        <w:rPr>
          <w:lang w:val="en-US"/>
        </w:rPr>
      </w:pPr>
      <w:r>
        <w:rPr>
          <w:lang w:val="en-US"/>
        </w:rPr>
        <w:t xml:space="preserve">In addition to the training, NGNs valued the presence of the NETP staff as a neutral support party. They felt that they could contact the NETP coordinators if they had any issues. Even when they did not access the NETP coordinator for help, the NGNs valued having the option </w:t>
      </w:r>
      <w:r w:rsidR="002822C6">
        <w:rPr>
          <w:lang w:val="en-US"/>
        </w:rPr>
        <w:t xml:space="preserve">of support </w:t>
      </w:r>
      <w:r>
        <w:rPr>
          <w:lang w:val="en-US"/>
        </w:rPr>
        <w:t>outside of their practice.</w:t>
      </w:r>
    </w:p>
    <w:p w14:paraId="2570E1A3" w14:textId="77777777" w:rsidR="009E75F6" w:rsidRDefault="00455662" w:rsidP="00455662">
      <w:pPr>
        <w:pStyle w:val="Heading4"/>
        <w:rPr>
          <w:lang w:val="en-US"/>
        </w:rPr>
      </w:pPr>
      <w:r>
        <w:rPr>
          <w:lang w:val="en-US"/>
        </w:rPr>
        <w:t>Balancing work and study commitments</w:t>
      </w:r>
    </w:p>
    <w:p w14:paraId="768CF3DE" w14:textId="77777777" w:rsidR="00434850" w:rsidRDefault="00434850" w:rsidP="00434850">
      <w:pPr>
        <w:rPr>
          <w:lang w:val="en-US"/>
        </w:rPr>
      </w:pPr>
      <w:r>
        <w:rPr>
          <w:lang w:val="en-US"/>
        </w:rPr>
        <w:t>Balancing working</w:t>
      </w:r>
      <w:r w:rsidR="00455662">
        <w:rPr>
          <w:lang w:val="en-US"/>
        </w:rPr>
        <w:t xml:space="preserve"> life with NETP study was </w:t>
      </w:r>
      <w:r>
        <w:rPr>
          <w:lang w:val="en-US"/>
        </w:rPr>
        <w:t>challenging for some of the NGNs. In the site visits, the NGNs who were working full-time were more likely to note these challenges tha</w:t>
      </w:r>
      <w:r w:rsidR="00F80F9D">
        <w:rPr>
          <w:lang w:val="en-US"/>
        </w:rPr>
        <w:t>n</w:t>
      </w:r>
      <w:r>
        <w:rPr>
          <w:lang w:val="en-US"/>
        </w:rPr>
        <w:t xml:space="preserve"> those who were working fewer hours at their practice. Previous experience with </w:t>
      </w:r>
      <w:r w:rsidR="00E62B10">
        <w:rPr>
          <w:lang w:val="en-US"/>
        </w:rPr>
        <w:t>a NGN</w:t>
      </w:r>
      <w:r>
        <w:rPr>
          <w:lang w:val="en-US"/>
        </w:rPr>
        <w:t xml:space="preserve"> was also important here, as one practice encouraged the NGN to take on fewer hours despite their initial interest in working full time:</w:t>
      </w:r>
    </w:p>
    <w:p w14:paraId="18747AB2" w14:textId="77777777" w:rsidR="00434850" w:rsidRDefault="00434850" w:rsidP="00434850">
      <w:pPr>
        <w:pStyle w:val="Quote"/>
      </w:pPr>
      <w:r>
        <w:t xml:space="preserve"> “Before I started working here, like last year I wanted to do 40 hours a week, but they said they don’t recommend it in your first year. And now that I’ve worked this year I understand.” - NGN</w:t>
      </w:r>
    </w:p>
    <w:p w14:paraId="4793B9A2" w14:textId="77777777" w:rsidR="00755CF3" w:rsidRPr="00755CF3" w:rsidRDefault="009E75F6" w:rsidP="00755CF3">
      <w:r>
        <w:rPr>
          <w:lang w:val="en-US"/>
        </w:rPr>
        <w:t>While the response rate was low for the follow-up survey</w:t>
      </w:r>
      <w:r w:rsidR="00CA72CA">
        <w:rPr>
          <w:lang w:val="en-US"/>
        </w:rPr>
        <w:t xml:space="preserve"> (17% for NGNs)</w:t>
      </w:r>
      <w:r>
        <w:rPr>
          <w:lang w:val="en-US"/>
        </w:rPr>
        <w:t xml:space="preserve">, it did identify the variation in the work commitments of the NGNs. Specifically, the </w:t>
      </w:r>
      <w:r w:rsidR="00434850">
        <w:rPr>
          <w:lang w:val="en-US"/>
        </w:rPr>
        <w:t xml:space="preserve">follow up survey </w:t>
      </w:r>
      <w:r w:rsidR="005C5175">
        <w:rPr>
          <w:lang w:val="en-US"/>
        </w:rPr>
        <w:t>received eight responses from NGNs and</w:t>
      </w:r>
      <w:r w:rsidR="00434850">
        <w:rPr>
          <w:lang w:val="en-US"/>
        </w:rPr>
        <w:t xml:space="preserve"> found that </w:t>
      </w:r>
      <w:r w:rsidR="005C5175">
        <w:rPr>
          <w:lang w:val="en-US"/>
        </w:rPr>
        <w:t>four</w:t>
      </w:r>
      <w:r w:rsidR="00434850">
        <w:rPr>
          <w:lang w:val="en-US"/>
        </w:rPr>
        <w:t xml:space="preserve"> </w:t>
      </w:r>
      <w:r w:rsidR="005C5175">
        <w:rPr>
          <w:lang w:val="en-US"/>
        </w:rPr>
        <w:t>of the</w:t>
      </w:r>
      <w:r w:rsidR="00434850">
        <w:rPr>
          <w:lang w:val="en-US"/>
        </w:rPr>
        <w:t xml:space="preserve"> NGN respondents were working full time, </w:t>
      </w:r>
      <w:r w:rsidR="005C5175">
        <w:rPr>
          <w:lang w:val="en-US"/>
        </w:rPr>
        <w:t>two</w:t>
      </w:r>
      <w:r w:rsidR="00434850">
        <w:rPr>
          <w:lang w:val="en-US"/>
        </w:rPr>
        <w:t xml:space="preserve"> were working 4.5 days (0.9 FTE) and </w:t>
      </w:r>
      <w:r w:rsidR="005C5175">
        <w:rPr>
          <w:lang w:val="en-US"/>
        </w:rPr>
        <w:t>two</w:t>
      </w:r>
      <w:r w:rsidR="00434850">
        <w:rPr>
          <w:lang w:val="en-US"/>
        </w:rPr>
        <w:t xml:space="preserve"> were working 4 days (0.8FTE</w:t>
      </w:r>
      <w:r w:rsidR="00FB231E">
        <w:rPr>
          <w:lang w:val="en-US"/>
        </w:rPr>
        <w:t>)</w:t>
      </w:r>
      <w:r w:rsidR="00434850">
        <w:rPr>
          <w:lang w:val="en-US"/>
        </w:rPr>
        <w:t xml:space="preserve">. </w:t>
      </w:r>
      <w:r>
        <w:rPr>
          <w:lang w:val="en-US"/>
        </w:rPr>
        <w:t xml:space="preserve">These variations highlight the potential value of providing practices with guidelines on the ideal level of work and study time for a NGN. </w:t>
      </w:r>
    </w:p>
    <w:p w14:paraId="094553D2" w14:textId="77777777" w:rsidR="000176F3" w:rsidRPr="000176F3" w:rsidRDefault="000176F3" w:rsidP="000176F3">
      <w:pPr>
        <w:pStyle w:val="Heading3"/>
      </w:pPr>
      <w:r>
        <w:lastRenderedPageBreak/>
        <w:t>Skill training</w:t>
      </w:r>
    </w:p>
    <w:p w14:paraId="43AD5C35" w14:textId="77777777" w:rsidR="003C43B9" w:rsidRPr="006430A8" w:rsidRDefault="00F709C6" w:rsidP="00A13C5C">
      <w:pPr>
        <w:spacing w:after="200"/>
        <w:rPr>
          <w:i/>
          <w:lang w:eastAsia="en-US"/>
        </w:rPr>
      </w:pPr>
      <w:r>
        <w:t xml:space="preserve">Both surveys </w:t>
      </w:r>
      <w:r w:rsidR="00EC5050">
        <w:t>found that</w:t>
      </w:r>
      <w:r>
        <w:t xml:space="preserve"> NGNs have </w:t>
      </w:r>
      <w:r w:rsidR="00EB06F5">
        <w:t xml:space="preserve">undertaken </w:t>
      </w:r>
      <w:r>
        <w:t>many formal training requirements during the year.</w:t>
      </w:r>
      <w:r w:rsidR="006430A8">
        <w:rPr>
          <w:i/>
          <w:lang w:eastAsia="en-US"/>
        </w:rPr>
        <w:t xml:space="preserve"> </w:t>
      </w:r>
      <w:r>
        <w:t xml:space="preserve">The most common have been vaccinator training, ABC for cessation training, and cervical smear taker training. Whilst these courses are useful for developing the skills of NGNs, the </w:t>
      </w:r>
      <w:r w:rsidR="00A13C5C">
        <w:t xml:space="preserve">site visit interviews suggested that the </w:t>
      </w:r>
      <w:r w:rsidR="007753BB">
        <w:t xml:space="preserve">stage and pace of NGN </w:t>
      </w:r>
      <w:r w:rsidR="00B1794C">
        <w:t xml:space="preserve">professional </w:t>
      </w:r>
      <w:r w:rsidR="007753BB">
        <w:t>development</w:t>
      </w:r>
      <w:r w:rsidR="00B1794C">
        <w:t xml:space="preserve"> activities</w:t>
      </w:r>
      <w:r w:rsidR="007753BB">
        <w:t xml:space="preserve"> </w:t>
      </w:r>
      <w:r w:rsidR="00151443">
        <w:t xml:space="preserve">may warrant </w:t>
      </w:r>
      <w:r w:rsidR="00B1794C">
        <w:t xml:space="preserve">more </w:t>
      </w:r>
      <w:r w:rsidR="00151443">
        <w:t>consideration</w:t>
      </w:r>
      <w:r w:rsidR="00A13C5C">
        <w:t xml:space="preserve"> when providing training opportunities</w:t>
      </w:r>
      <w:r w:rsidR="007753BB">
        <w:t xml:space="preserve">. </w:t>
      </w:r>
      <w:r w:rsidR="00EB06F5">
        <w:t>For example, o</w:t>
      </w:r>
      <w:r w:rsidR="003C43B9">
        <w:t xml:space="preserve">ne practice </w:t>
      </w:r>
      <w:r w:rsidR="00A13C5C">
        <w:t>with extensive experience with</w:t>
      </w:r>
      <w:r w:rsidR="003C43B9">
        <w:t xml:space="preserve"> NGNs </w:t>
      </w:r>
      <w:r w:rsidR="00EB06F5">
        <w:t>noted</w:t>
      </w:r>
      <w:r w:rsidR="00A13C5C">
        <w:t xml:space="preserve"> that they </w:t>
      </w:r>
      <w:r w:rsidR="003C43B9">
        <w:t>would not usually expect a NGN to complete smear taker training in their first year</w:t>
      </w:r>
      <w:r w:rsidR="00EB06F5">
        <w:t>:</w:t>
      </w:r>
    </w:p>
    <w:p w14:paraId="6CB72A94" w14:textId="77777777" w:rsidR="003C43B9" w:rsidRDefault="003C43B9" w:rsidP="003C43B9">
      <w:pPr>
        <w:pStyle w:val="Quote"/>
      </w:pPr>
      <w:r>
        <w:t>“They said that all their VLCA nurses need to have done the cervical smear takers certificate in the first year. And I’ve been working for a long time and I never get them to do that because seriously, they’re figuring out how the heart beats</w:t>
      </w:r>
      <w:r w:rsidR="00A13C5C">
        <w:t xml:space="preserve">…. </w:t>
      </w:r>
      <w:r>
        <w:t>at that stage.”</w:t>
      </w:r>
      <w:r w:rsidR="00ED2599">
        <w:t xml:space="preserve"> – PHO nurse leader</w:t>
      </w:r>
    </w:p>
    <w:p w14:paraId="49E95AFD" w14:textId="77777777" w:rsidR="006430A8" w:rsidRDefault="006430A8" w:rsidP="006430A8">
      <w:pPr>
        <w:spacing w:after="200"/>
      </w:pPr>
      <w:bookmarkStart w:id="40" w:name="_Toc410391924"/>
      <w:bookmarkStart w:id="41" w:name="_Toc410391996"/>
      <w:bookmarkStart w:id="42" w:name="_Toc410391925"/>
      <w:bookmarkStart w:id="43" w:name="_Toc410391997"/>
      <w:bookmarkEnd w:id="40"/>
      <w:bookmarkEnd w:id="41"/>
      <w:bookmarkEnd w:id="42"/>
      <w:bookmarkEnd w:id="43"/>
      <w:r>
        <w:t xml:space="preserve">While the site visits suggested that most of the NGNs were conducting cervical smear tests, this was an area that they were still developing their confidence with. </w:t>
      </w:r>
    </w:p>
    <w:p w14:paraId="1854730E" w14:textId="77777777" w:rsidR="006430A8" w:rsidRDefault="00EC5050" w:rsidP="006430A8">
      <w:pPr>
        <w:spacing w:after="200"/>
      </w:pPr>
      <w:r>
        <w:t>Formal</w:t>
      </w:r>
      <w:r w:rsidR="006430A8">
        <w:t xml:space="preserve"> training was further bolstered by the support provided from the practice staff</w:t>
      </w:r>
      <w:r w:rsidR="0095489F">
        <w:t xml:space="preserve"> that </w:t>
      </w:r>
      <w:r>
        <w:t xml:space="preserve">enabled </w:t>
      </w:r>
      <w:r w:rsidR="0095489F">
        <w:t xml:space="preserve">the NGNs </w:t>
      </w:r>
      <w:r>
        <w:t>to</w:t>
      </w:r>
      <w:r w:rsidR="0095489F">
        <w:t xml:space="preserve"> develop their clinical practice skills</w:t>
      </w:r>
      <w:r w:rsidR="006430A8">
        <w:t>:</w:t>
      </w:r>
    </w:p>
    <w:p w14:paraId="7ACE9D13" w14:textId="77777777" w:rsidR="006430A8" w:rsidRDefault="006430A8" w:rsidP="006430A8">
      <w:pPr>
        <w:ind w:firstLine="720"/>
        <w:rPr>
          <w:i/>
          <w:lang w:eastAsia="en-US"/>
        </w:rPr>
      </w:pPr>
      <w:r w:rsidRPr="006430A8">
        <w:rPr>
          <w:i/>
          <w:lang w:eastAsia="en-US"/>
        </w:rPr>
        <w:t>“I have received an amazing amount of extra training and s</w:t>
      </w:r>
      <w:r>
        <w:rPr>
          <w:i/>
          <w:lang w:eastAsia="en-US"/>
        </w:rPr>
        <w:t>upport as opposed to some of my</w:t>
      </w:r>
      <w:r>
        <w:rPr>
          <w:i/>
          <w:lang w:eastAsia="en-US"/>
        </w:rPr>
        <w:tab/>
      </w:r>
      <w:r w:rsidRPr="006430A8">
        <w:rPr>
          <w:i/>
          <w:lang w:eastAsia="en-US"/>
        </w:rPr>
        <w:t>colleagues in the DHB NETP programme.”</w:t>
      </w:r>
      <w:r>
        <w:rPr>
          <w:i/>
          <w:lang w:eastAsia="en-US"/>
        </w:rPr>
        <w:t xml:space="preserve"> – NGN </w:t>
      </w:r>
    </w:p>
    <w:p w14:paraId="636CDC8F" w14:textId="77777777" w:rsidR="0095489F" w:rsidRPr="0095489F" w:rsidRDefault="0095489F" w:rsidP="0095489F">
      <w:pPr>
        <w:ind w:firstLine="720"/>
        <w:rPr>
          <w:i/>
          <w:lang w:eastAsia="en-US"/>
        </w:rPr>
      </w:pPr>
      <w:r w:rsidRPr="0095489F">
        <w:rPr>
          <w:i/>
          <w:lang w:eastAsia="en-US"/>
        </w:rPr>
        <w:t>“Getting some experience in a practice that has been so supportive.”</w:t>
      </w:r>
      <w:r>
        <w:rPr>
          <w:i/>
          <w:lang w:eastAsia="en-US"/>
        </w:rPr>
        <w:t xml:space="preserve"> – NGN </w:t>
      </w:r>
    </w:p>
    <w:p w14:paraId="62564120" w14:textId="77777777" w:rsidR="0095489F" w:rsidRPr="006430A8" w:rsidRDefault="0095489F" w:rsidP="006430A8">
      <w:pPr>
        <w:ind w:firstLine="720"/>
        <w:rPr>
          <w:i/>
          <w:lang w:eastAsia="en-US"/>
        </w:rPr>
      </w:pPr>
    </w:p>
    <w:p w14:paraId="220D4709" w14:textId="77777777" w:rsidR="00AF0548" w:rsidRDefault="00AF0548">
      <w:pPr>
        <w:spacing w:after="200" w:line="276" w:lineRule="auto"/>
        <w:rPr>
          <w:rFonts w:cs="Arial"/>
          <w:b/>
          <w:smallCaps/>
          <w:color w:val="006E95"/>
          <w:spacing w:val="20"/>
          <w:kern w:val="28"/>
          <w:sz w:val="32"/>
          <w:szCs w:val="28"/>
        </w:rPr>
      </w:pPr>
      <w:r>
        <w:br w:type="page"/>
      </w:r>
    </w:p>
    <w:p w14:paraId="726AF903" w14:textId="77777777" w:rsidR="00AF0548" w:rsidRDefault="00AF0548" w:rsidP="00AF0548">
      <w:pPr>
        <w:pStyle w:val="Heading1"/>
      </w:pPr>
      <w:bookmarkStart w:id="44" w:name="_Toc415657686"/>
      <w:r>
        <w:lastRenderedPageBreak/>
        <w:t>Ideas for modifications and improvements</w:t>
      </w:r>
      <w:bookmarkEnd w:id="44"/>
    </w:p>
    <w:p w14:paraId="0CDFD2A4" w14:textId="77777777" w:rsidR="006E45C5" w:rsidRPr="006E45C5" w:rsidRDefault="006E45C5" w:rsidP="006E45C5">
      <w:r>
        <w:t>This section identifies the sectors ideas for modifications and improvements as identified through the mid-point evaluation survey, site visit interviews and follow-up survey.</w:t>
      </w:r>
    </w:p>
    <w:p w14:paraId="01A09C72" w14:textId="77777777" w:rsidR="00074E20" w:rsidRDefault="00074E20" w:rsidP="00074E20">
      <w:pPr>
        <w:pStyle w:val="Heading2"/>
      </w:pPr>
      <w:bookmarkStart w:id="45" w:name="_Toc415657687"/>
      <w:r>
        <w:t>Practice eligibility</w:t>
      </w:r>
      <w:bookmarkEnd w:id="45"/>
    </w:p>
    <w:p w14:paraId="099E841B" w14:textId="77777777" w:rsidR="006E5087" w:rsidRDefault="00593A5D" w:rsidP="00593A5D">
      <w:r>
        <w:t xml:space="preserve">Stakeholders </w:t>
      </w:r>
      <w:r w:rsidR="00257D2D">
        <w:t xml:space="preserve">from the site visits </w:t>
      </w:r>
      <w:r w:rsidR="004A65B5">
        <w:t xml:space="preserve">and mid-point survey </w:t>
      </w:r>
      <w:r w:rsidR="006E5087">
        <w:t xml:space="preserve">suggested that the eligibility criteria for inclusion in the scheme could be reviewed. These comments tended to relate to the exclusion of non-VLCA practices. For example, when discussing eligibility some of the stakeholders identified the value of other practices in supporting the sector to develop a sustainable primary care nursing workforce. </w:t>
      </w:r>
      <w:r w:rsidR="00DD522D">
        <w:t>Specifically, they</w:t>
      </w:r>
      <w:r w:rsidR="00B61D45">
        <w:t xml:space="preserve"> suggested that non-VLCA practices, and particularly rural practices experiencing difficulties with recruitment might benefit from the scheme.  </w:t>
      </w:r>
    </w:p>
    <w:p w14:paraId="213EA640" w14:textId="77777777" w:rsidR="006E5087" w:rsidRDefault="006E5087" w:rsidP="00593A5D">
      <w:r>
        <w:t xml:space="preserve">In terms of ongoing eligibility, the practices also queried the value of not being able to apply for the second round of funding due to their involvement in round one.  One practice with extensive experience in training NGNs felt they were penalised for developing high quality NGNs, as they could not have the opportunity again. This relates to clarity on the purpose of the employment scheme – if the aim is to give opportunities to NGNs then the one-off component could pose a barrier to having NGNs developed by quality teaching practices, as well as the opportunities for other practices to build on their initial experiences of having a new graduate nurse. One PHO representative stated that the one-off component also reduced the pool of practices eligible to participate in the second round and made it more difficult to secure opportunities for NGNs in their region. The ability for practices to apply for a second round of funding however, would need to be balanced against the potential for the funding to be seen as an ongoing funding source that might discourage some practices from sustaining their current NGN. </w:t>
      </w:r>
    </w:p>
    <w:p w14:paraId="7B7CAB31" w14:textId="77777777" w:rsidR="00074E20" w:rsidRDefault="00074E20" w:rsidP="00074E20">
      <w:pPr>
        <w:pStyle w:val="Heading2"/>
      </w:pPr>
      <w:bookmarkStart w:id="46" w:name="_Toc415657688"/>
      <w:r>
        <w:t>Improved application process</w:t>
      </w:r>
      <w:bookmarkEnd w:id="46"/>
    </w:p>
    <w:p w14:paraId="78C0795C" w14:textId="77777777" w:rsidR="005E5AE0" w:rsidRPr="005E5AE0" w:rsidRDefault="005E5AE0" w:rsidP="005E5AE0">
      <w:r>
        <w:t xml:space="preserve">The application process was an area that stakeholders thought required improvement. This involves lengthening the application </w:t>
      </w:r>
      <w:r w:rsidR="00B61D45">
        <w:t>timeframe</w:t>
      </w:r>
      <w:r>
        <w:t xml:space="preserve"> to give practices, PHOs and DHBs </w:t>
      </w:r>
      <w:r w:rsidR="00B61D45">
        <w:t xml:space="preserve">more </w:t>
      </w:r>
      <w:r>
        <w:t xml:space="preserve">time to respond and collaborate in the application. </w:t>
      </w:r>
      <w:r w:rsidR="00B61D45">
        <w:t>The stakeholders also felt that this process</w:t>
      </w:r>
      <w:r>
        <w:t xml:space="preserve"> could be improved </w:t>
      </w:r>
      <w:r w:rsidR="00CC225A">
        <w:t>by changing the tim</w:t>
      </w:r>
      <w:r w:rsidR="00B61D45">
        <w:t>ing</w:t>
      </w:r>
      <w:r w:rsidR="00CC225A">
        <w:t xml:space="preserve"> of the application process. </w:t>
      </w:r>
      <w:r w:rsidR="00B61D45">
        <w:t>Specifically, it was suggested that it</w:t>
      </w:r>
      <w:r w:rsidR="00CC225A">
        <w:t xml:space="preserve"> would be more appropriate earlier in the year when the first round of ACE applications occur. </w:t>
      </w:r>
    </w:p>
    <w:p w14:paraId="0AFCBF14" w14:textId="77777777" w:rsidR="00074E20" w:rsidRDefault="00074E20" w:rsidP="00074E20">
      <w:pPr>
        <w:pStyle w:val="Heading2"/>
      </w:pPr>
      <w:bookmarkStart w:id="47" w:name="_Toc415657689"/>
      <w:r>
        <w:lastRenderedPageBreak/>
        <w:t>Role sharing</w:t>
      </w:r>
      <w:bookmarkEnd w:id="47"/>
    </w:p>
    <w:p w14:paraId="1D3B1119" w14:textId="77777777" w:rsidR="00CC225A" w:rsidRDefault="00BB1101" w:rsidP="00CC225A">
      <w:r>
        <w:t>In the mid-point survey and interviews, s</w:t>
      </w:r>
      <w:r w:rsidR="00CC225A">
        <w:t xml:space="preserve">ome </w:t>
      </w:r>
      <w:r>
        <w:t xml:space="preserve">of the </w:t>
      </w:r>
      <w:r w:rsidR="00CC225A">
        <w:t xml:space="preserve">stakeholders </w:t>
      </w:r>
      <w:r>
        <w:t>identified the potential</w:t>
      </w:r>
      <w:r w:rsidR="00CC225A">
        <w:t xml:space="preserve"> opportunities for role sharing</w:t>
      </w:r>
      <w:r>
        <w:t>. They suggested that this</w:t>
      </w:r>
      <w:r w:rsidR="00CC225A">
        <w:t xml:space="preserve"> could be </w:t>
      </w:r>
      <w:r>
        <w:t xml:space="preserve">particularly </w:t>
      </w:r>
      <w:r w:rsidR="00CC225A">
        <w:t xml:space="preserve">valuable for </w:t>
      </w:r>
      <w:r>
        <w:t xml:space="preserve">smaller practices </w:t>
      </w:r>
      <w:proofErr w:type="gramStart"/>
      <w:r>
        <w:t>who</w:t>
      </w:r>
      <w:proofErr w:type="gramEnd"/>
      <w:r>
        <w:t xml:space="preserve"> might not be able to support a full time NGN</w:t>
      </w:r>
      <w:r w:rsidR="00CC225A">
        <w:t>. Th</w:t>
      </w:r>
      <w:r>
        <w:t>e interviews suggested that this</w:t>
      </w:r>
      <w:r w:rsidR="00CC225A">
        <w:t xml:space="preserve"> could involve sharing the NGN across practices that could support a part-time nurse or sharing the NGN between </w:t>
      </w:r>
      <w:r w:rsidR="00DD522D">
        <w:t xml:space="preserve">a </w:t>
      </w:r>
      <w:r w:rsidR="00CC225A">
        <w:t>practice and the DHB.</w:t>
      </w:r>
    </w:p>
    <w:p w14:paraId="7E0BB3B6" w14:textId="77777777" w:rsidR="00CC225A" w:rsidRDefault="007C1F7B" w:rsidP="00CC225A">
      <w:r>
        <w:t>The interviews suggested that this could bring the benefits of the NGN to a broader range of practices. They</w:t>
      </w:r>
      <w:r w:rsidR="00885B2A">
        <w:t xml:space="preserve"> also </w:t>
      </w:r>
      <w:r>
        <w:t xml:space="preserve">suggested that this would </w:t>
      </w:r>
      <w:r w:rsidR="00DD522D">
        <w:t>give</w:t>
      </w:r>
      <w:r>
        <w:t xml:space="preserve"> </w:t>
      </w:r>
      <w:r w:rsidR="00885B2A">
        <w:t xml:space="preserve">practices </w:t>
      </w:r>
      <w:r>
        <w:t>the</w:t>
      </w:r>
      <w:r w:rsidR="00885B2A">
        <w:t xml:space="preserve"> flexibility to utilise the NGN where there is the most patient demand or the greatest learning opportunities at the time. It </w:t>
      </w:r>
      <w:r>
        <w:t>useful to note that</w:t>
      </w:r>
      <w:r w:rsidR="002A49CF">
        <w:t xml:space="preserve"> two</w:t>
      </w:r>
      <w:r w:rsidR="00722D2A">
        <w:t xml:space="preserve"> of the</w:t>
      </w:r>
      <w:r>
        <w:t xml:space="preserve"> </w:t>
      </w:r>
      <w:r w:rsidR="002A49CF">
        <w:t xml:space="preserve">VLCA </w:t>
      </w:r>
      <w:r>
        <w:t xml:space="preserve">practices </w:t>
      </w:r>
      <w:r w:rsidR="00722D2A">
        <w:t xml:space="preserve">had multiple physical sites that the NGN could work at. </w:t>
      </w:r>
      <w:r>
        <w:t xml:space="preserve">When discussing the retention of the NGN with these practices, one of the practice managers suggested that </w:t>
      </w:r>
      <w:r w:rsidR="00885B2A">
        <w:t>they were able to sustain the NGN because they were spread across more than one practice</w:t>
      </w:r>
      <w:r w:rsidR="00722D2A">
        <w:t xml:space="preserve"> site</w:t>
      </w:r>
      <w:r w:rsidR="00885B2A">
        <w:t>.</w:t>
      </w:r>
    </w:p>
    <w:p w14:paraId="21FA3FD6" w14:textId="77777777" w:rsidR="00885B2A" w:rsidRDefault="00885B2A" w:rsidP="00CC225A">
      <w:r>
        <w:t>Another potential for role-sharing is between practices and the DHB. Th</w:t>
      </w:r>
      <w:r w:rsidR="000B0689">
        <w:t>e interviewees suggested that this would</w:t>
      </w:r>
      <w:r>
        <w:t xml:space="preserve"> </w:t>
      </w:r>
      <w:r w:rsidR="000B0689">
        <w:t>provide</w:t>
      </w:r>
      <w:r>
        <w:t xml:space="preserve"> the NGN</w:t>
      </w:r>
      <w:r w:rsidR="000B0689">
        <w:t>s</w:t>
      </w:r>
      <w:r>
        <w:t xml:space="preserve"> </w:t>
      </w:r>
      <w:r w:rsidR="000B0689">
        <w:t>with</w:t>
      </w:r>
      <w:r>
        <w:t xml:space="preserve"> a broader experience in their first year. </w:t>
      </w:r>
      <w:r w:rsidR="000B0689">
        <w:t xml:space="preserve">Some of the interviewees also suggested that this would support the </w:t>
      </w:r>
      <w:r>
        <w:t xml:space="preserve">NGNs to </w:t>
      </w:r>
      <w:r w:rsidR="000B0689">
        <w:t>develop</w:t>
      </w:r>
      <w:r>
        <w:t xml:space="preserve"> different skills</w:t>
      </w:r>
      <w:r w:rsidR="000B0689">
        <w:t>, which would develop</w:t>
      </w:r>
      <w:r>
        <w:t xml:space="preserve"> a more flexible nursing workforce that is capable of transitioning easily between primary and secondary care.</w:t>
      </w:r>
    </w:p>
    <w:p w14:paraId="186FABD1" w14:textId="77777777" w:rsidR="00DD522D" w:rsidRPr="00CC225A" w:rsidRDefault="00DD522D" w:rsidP="00CC225A">
      <w:r>
        <w:t>The evalu</w:t>
      </w:r>
      <w:r w:rsidR="009C4D72">
        <w:t>ation evidence however, indicates</w:t>
      </w:r>
      <w:r>
        <w:t xml:space="preserve"> that consideration would need to be given to the induction, support and professional development process when sharing an NGN across sites. Further, the need to introduce the nurse to different clinical settings and contexts may pose an additional challenge to the NGNs. </w:t>
      </w:r>
    </w:p>
    <w:p w14:paraId="0F1F37D0" w14:textId="77777777" w:rsidR="00074E20" w:rsidRDefault="00074E20" w:rsidP="00074E20">
      <w:pPr>
        <w:pStyle w:val="Heading2"/>
      </w:pPr>
      <w:bookmarkStart w:id="48" w:name="_Toc415657690"/>
      <w:r>
        <w:t xml:space="preserve">Sharing </w:t>
      </w:r>
      <w:r w:rsidR="0013009F">
        <w:t>learning</w:t>
      </w:r>
      <w:bookmarkEnd w:id="48"/>
    </w:p>
    <w:p w14:paraId="3BACD398" w14:textId="77777777" w:rsidR="00885B2A" w:rsidRPr="00885B2A" w:rsidRDefault="0013009F" w:rsidP="00885B2A">
      <w:r>
        <w:t>The practices involved in the scheme had different levels of experience in supporting the development of NGNs. For some of the practices, this lack of experience posed challenges to the integration of the role. Some of the staff at the</w:t>
      </w:r>
      <w:r w:rsidR="009C4D72">
        <w:t>se</w:t>
      </w:r>
      <w:r>
        <w:t xml:space="preserve"> practices </w:t>
      </w:r>
      <w:r w:rsidR="009C4D72">
        <w:t xml:space="preserve">noted </w:t>
      </w:r>
      <w:r>
        <w:t xml:space="preserve">that it would be useful </w:t>
      </w:r>
      <w:r w:rsidR="00885B2A">
        <w:t xml:space="preserve">to have </w:t>
      </w:r>
      <w:r>
        <w:t>a means of</w:t>
      </w:r>
      <w:r w:rsidR="00885B2A">
        <w:t xml:space="preserve"> sharing learnings across practices. </w:t>
      </w:r>
      <w:r w:rsidR="009C4D72">
        <w:t>T</w:t>
      </w:r>
      <w:r>
        <w:t xml:space="preserve">hey </w:t>
      </w:r>
      <w:r w:rsidR="009C4D72">
        <w:t>suggested</w:t>
      </w:r>
      <w:r>
        <w:t xml:space="preserve"> that this could be driven at a national level or be more focused on context specific learnings relevant to their area or region. </w:t>
      </w:r>
      <w:r w:rsidR="00C53413">
        <w:t xml:space="preserve"> </w:t>
      </w:r>
      <w:r w:rsidR="00885B2A">
        <w:t xml:space="preserve">This would allow those who have had NGNs before to </w:t>
      </w:r>
      <w:r w:rsidR="009C4D72">
        <w:t>support</w:t>
      </w:r>
      <w:r w:rsidR="00C53413">
        <w:t xml:space="preserve"> practices new to training NGNs. </w:t>
      </w:r>
      <w:r>
        <w:t>It was anticipated, that t</w:t>
      </w:r>
      <w:r w:rsidR="00C53413">
        <w:t xml:space="preserve">his would lead to a less </w:t>
      </w:r>
      <w:r>
        <w:t>variation in the support provided to</w:t>
      </w:r>
      <w:r w:rsidR="00C53413">
        <w:t xml:space="preserve"> NGNs </w:t>
      </w:r>
      <w:r>
        <w:t>in primary care</w:t>
      </w:r>
      <w:r w:rsidR="00C53413">
        <w:t>.</w:t>
      </w:r>
    </w:p>
    <w:p w14:paraId="703E4E6D" w14:textId="77777777" w:rsidR="00074E20" w:rsidRDefault="00074E20" w:rsidP="00074E20">
      <w:pPr>
        <w:pStyle w:val="Heading2"/>
      </w:pPr>
      <w:bookmarkStart w:id="49" w:name="_Toc415657691"/>
      <w:r>
        <w:lastRenderedPageBreak/>
        <w:t>Extending the scheme</w:t>
      </w:r>
      <w:bookmarkEnd w:id="49"/>
    </w:p>
    <w:p w14:paraId="21538E21" w14:textId="77777777" w:rsidR="00C53413" w:rsidRDefault="00C53413" w:rsidP="00C53413">
      <w:r>
        <w:t xml:space="preserve">A common </w:t>
      </w:r>
      <w:r w:rsidR="00B1794C">
        <w:t>theme</w:t>
      </w:r>
      <w:r>
        <w:t xml:space="preserve">, in both the </w:t>
      </w:r>
      <w:r w:rsidR="009F6231">
        <w:t xml:space="preserve">mid-point </w:t>
      </w:r>
      <w:r>
        <w:t>survey and site visits, was the idea of extending the employment scheme</w:t>
      </w:r>
      <w:r w:rsidR="001B0A17">
        <w:t xml:space="preserve"> beyond the current twelve months of funding</w:t>
      </w:r>
      <w:r>
        <w:t xml:space="preserve">. Most </w:t>
      </w:r>
      <w:r w:rsidR="001B0A17">
        <w:t>practice staff, DHB and PHO stakeholders</w:t>
      </w:r>
      <w:r>
        <w:t xml:space="preserve"> </w:t>
      </w:r>
      <w:r w:rsidR="009C4D72">
        <w:t>felt</w:t>
      </w:r>
      <w:r w:rsidR="003058CD">
        <w:t xml:space="preserve"> </w:t>
      </w:r>
      <w:r w:rsidR="001B0A17">
        <w:t xml:space="preserve">that </w:t>
      </w:r>
      <w:r>
        <w:t xml:space="preserve">two years </w:t>
      </w:r>
      <w:r w:rsidR="001B0A17">
        <w:t xml:space="preserve">funding </w:t>
      </w:r>
      <w:r>
        <w:t xml:space="preserve">would be more </w:t>
      </w:r>
      <w:r w:rsidR="001B0A17">
        <w:t>valuable</w:t>
      </w:r>
      <w:r>
        <w:t xml:space="preserve">. </w:t>
      </w:r>
      <w:r w:rsidR="001B0A17">
        <w:t xml:space="preserve">The interviewees </w:t>
      </w:r>
      <w:r w:rsidR="009C4D72">
        <w:t>indicated</w:t>
      </w:r>
      <w:r w:rsidR="001B0A17">
        <w:t xml:space="preserve"> that p</w:t>
      </w:r>
      <w:r>
        <w:t>ractices would be more able to sustain the position after two years</w:t>
      </w:r>
      <w:r w:rsidR="001B0A17">
        <w:t>,</w:t>
      </w:r>
      <w:r>
        <w:t xml:space="preserve"> as they would have more time to make changes to either their model of care or business model. </w:t>
      </w:r>
      <w:r w:rsidR="001B0A17">
        <w:t>T</w:t>
      </w:r>
      <w:r>
        <w:t xml:space="preserve">he </w:t>
      </w:r>
      <w:r w:rsidR="001B0A17">
        <w:t xml:space="preserve">interviews also </w:t>
      </w:r>
      <w:r w:rsidR="009C4D72">
        <w:t>noted</w:t>
      </w:r>
      <w:r w:rsidR="003058CD">
        <w:t xml:space="preserve"> </w:t>
      </w:r>
      <w:r w:rsidR="001B0A17">
        <w:t xml:space="preserve">that the </w:t>
      </w:r>
      <w:r>
        <w:t xml:space="preserve">NGN is more likely to be generating sufficient income to sustain their position after an extra year. </w:t>
      </w:r>
    </w:p>
    <w:p w14:paraId="1D805C6F" w14:textId="77777777" w:rsidR="00C53413" w:rsidRDefault="001B0A17" w:rsidP="00C53413">
      <w:r>
        <w:t>The interviews also</w:t>
      </w:r>
      <w:r w:rsidR="000E6D3D">
        <w:t xml:space="preserve"> </w:t>
      </w:r>
      <w:r w:rsidR="009C4D72">
        <w:t>suggested</w:t>
      </w:r>
      <w:r>
        <w:t xml:space="preserve"> that the NGNs</w:t>
      </w:r>
      <w:r w:rsidR="00C53413">
        <w:t xml:space="preserve"> would benefit from extending the scheme</w:t>
      </w:r>
      <w:r>
        <w:t xml:space="preserve">. This tended to relate to the level of training and professional development that is required over the twelve months. </w:t>
      </w:r>
      <w:r w:rsidR="00C53413">
        <w:t xml:space="preserve"> </w:t>
      </w:r>
      <w:r w:rsidR="00256C3C">
        <w:t>It was considered</w:t>
      </w:r>
      <w:r>
        <w:t xml:space="preserve"> that s</w:t>
      </w:r>
      <w:r w:rsidR="00C53413">
        <w:t xml:space="preserve">preading this learning across two years could help address the high workload for NGNs. One </w:t>
      </w:r>
      <w:proofErr w:type="gramStart"/>
      <w:r w:rsidR="00C53413">
        <w:t>preceptor</w:t>
      </w:r>
      <w:proofErr w:type="gramEnd"/>
      <w:r w:rsidR="00C53413">
        <w:t xml:space="preserve"> who has also trained NGNs in Australia </w:t>
      </w:r>
      <w:r>
        <w:t xml:space="preserve">over a two year period, </w:t>
      </w:r>
      <w:r w:rsidR="00256C3C">
        <w:t>mentioned</w:t>
      </w:r>
      <w:r>
        <w:t xml:space="preserve"> that the training and support </w:t>
      </w:r>
      <w:r w:rsidR="00C53413">
        <w:t xml:space="preserve">was </w:t>
      </w:r>
      <w:r>
        <w:t xml:space="preserve">far </w:t>
      </w:r>
      <w:r w:rsidR="00C53413">
        <w:t xml:space="preserve">easier to manage. </w:t>
      </w:r>
      <w:r>
        <w:t>From the perspective of the</w:t>
      </w:r>
      <w:r w:rsidR="00C53413">
        <w:t xml:space="preserve"> NGNs</w:t>
      </w:r>
      <w:r>
        <w:t xml:space="preserve">, two years of work experience </w:t>
      </w:r>
      <w:r w:rsidR="009C4D72">
        <w:t xml:space="preserve">would also </w:t>
      </w:r>
      <w:r>
        <w:t>ma</w:t>
      </w:r>
      <w:r w:rsidR="009C4D72">
        <w:t>k</w:t>
      </w:r>
      <w:r>
        <w:t xml:space="preserve">e them more employable </w:t>
      </w:r>
      <w:r w:rsidR="00C53413">
        <w:t>as many job advertisements asked for at least two years’ experience.</w:t>
      </w:r>
    </w:p>
    <w:p w14:paraId="6066DCFF" w14:textId="77777777" w:rsidR="00C53413" w:rsidRDefault="00A12389" w:rsidP="00C53413">
      <w:r>
        <w:t>There were different</w:t>
      </w:r>
      <w:r w:rsidR="00256C3C">
        <w:t xml:space="preserve"> ideas on</w:t>
      </w:r>
      <w:r>
        <w:t xml:space="preserve"> how an extended scheme could be implemented and funded. </w:t>
      </w:r>
      <w:r w:rsidR="00256C3C">
        <w:t xml:space="preserve">Ideas </w:t>
      </w:r>
      <w:r>
        <w:t xml:space="preserve">included keeping the first year the same and </w:t>
      </w:r>
      <w:r w:rsidR="006C5F21">
        <w:t>providing</w:t>
      </w:r>
      <w:r>
        <w:t xml:space="preserve"> a reduced amount of funding for the practice to sustain the NGN for a second year. Other </w:t>
      </w:r>
      <w:r w:rsidR="009C4D72">
        <w:t>ideas</w:t>
      </w:r>
      <w:r>
        <w:t xml:space="preserve"> included keeping the overall amount the same but allocating the funding support at different levels in line with the support needs of the NGN. This would involve initial front-loading to cover induction and reduced productivity of other staff </w:t>
      </w:r>
      <w:r w:rsidR="00FE3CC0">
        <w:t xml:space="preserve">resulting </w:t>
      </w:r>
      <w:r w:rsidR="00722D2A">
        <w:t>from the</w:t>
      </w:r>
      <w:r>
        <w:t xml:space="preserve"> introduction of the NGN and reducing the amount of funding from the scheme as the NGN becomes more independent and requires less training and support.</w:t>
      </w:r>
    </w:p>
    <w:p w14:paraId="65391832" w14:textId="77777777" w:rsidR="00074E20" w:rsidRDefault="00074E20" w:rsidP="00074E20">
      <w:pPr>
        <w:pStyle w:val="Heading2"/>
      </w:pPr>
      <w:bookmarkStart w:id="50" w:name="_Toc415657692"/>
      <w:r>
        <w:t>Promoting primary care</w:t>
      </w:r>
      <w:bookmarkEnd w:id="50"/>
    </w:p>
    <w:p w14:paraId="5A623624" w14:textId="77777777" w:rsidR="00A12389" w:rsidRDefault="00A12389" w:rsidP="00A12389">
      <w:r>
        <w:t xml:space="preserve">Many stakeholders </w:t>
      </w:r>
      <w:r w:rsidR="004B5A98">
        <w:t>felt</w:t>
      </w:r>
      <w:r>
        <w:t xml:space="preserve"> that the employment scheme was a good initiative </w:t>
      </w:r>
      <w:r w:rsidR="00FE3CC0">
        <w:t>that had provided a role and</w:t>
      </w:r>
      <w:r>
        <w:t xml:space="preserve"> an opportunity for </w:t>
      </w:r>
      <w:r w:rsidR="004B5A98">
        <w:t>nurses</w:t>
      </w:r>
      <w:r>
        <w:t xml:space="preserve"> </w:t>
      </w:r>
      <w:r w:rsidR="004B5A98">
        <w:t>wanting</w:t>
      </w:r>
      <w:r>
        <w:t xml:space="preserve"> to work in primary care. However, they thought more needed to be done to encourage nursing students to consider a career in primary care.</w:t>
      </w:r>
      <w:r w:rsidR="00661A18">
        <w:t xml:space="preserve"> </w:t>
      </w:r>
      <w:r w:rsidR="004B5A98">
        <w:t xml:space="preserve">The interviewees </w:t>
      </w:r>
      <w:r w:rsidR="003058CD">
        <w:t xml:space="preserve">portrayed </w:t>
      </w:r>
      <w:r w:rsidR="004B5A98">
        <w:t>that p</w:t>
      </w:r>
      <w:r w:rsidR="00661A18">
        <w:t xml:space="preserve">rimary care needs to be promoted while nurses are still studying to create the motivation for a career in primary care. One practice with connections to the university was already contributing to </w:t>
      </w:r>
      <w:proofErr w:type="gramStart"/>
      <w:r w:rsidR="00661A18">
        <w:t>this</w:t>
      </w:r>
      <w:proofErr w:type="gramEnd"/>
      <w:r w:rsidR="00661A18">
        <w:t xml:space="preserve"> themselves</w:t>
      </w:r>
      <w:r w:rsidR="004B5A98">
        <w:t>:</w:t>
      </w:r>
    </w:p>
    <w:p w14:paraId="04C3E636" w14:textId="77777777" w:rsidR="00661A18" w:rsidRDefault="00661A18" w:rsidP="00755CF3">
      <w:pPr>
        <w:pStyle w:val="Quote"/>
        <w:spacing w:after="120"/>
      </w:pPr>
      <w:r>
        <w:t>“What we do is we get [NGN] and [young nurse] they go and talk to the third year students.</w:t>
      </w:r>
      <w:r w:rsidRPr="00661A18">
        <w:t xml:space="preserve"> </w:t>
      </w:r>
      <w:r>
        <w:t xml:space="preserve">So that’s a way of getting the students then to want to choose primary healthcare for their </w:t>
      </w:r>
      <w:r>
        <w:lastRenderedPageBreak/>
        <w:t>10 week placement which then sets them up to become new grads in primary healthcare.”</w:t>
      </w:r>
      <w:r w:rsidR="00FD326D">
        <w:t xml:space="preserve"> – Nurse Practitioner</w:t>
      </w:r>
    </w:p>
    <w:p w14:paraId="6A636501" w14:textId="77777777" w:rsidR="00661A18" w:rsidRPr="00661A18" w:rsidRDefault="0069386E" w:rsidP="00661A18">
      <w:pPr>
        <w:rPr>
          <w:lang w:val="en-US"/>
        </w:rPr>
      </w:pPr>
      <w:r>
        <w:rPr>
          <w:lang w:val="en-US"/>
        </w:rPr>
        <w:t>Other stakeholders also mentioned promoting rural and VLCA practices to new graduates with initiatives similar to the rural bonding scheme for doctors. This would encourage NGNs to work in practices that struggle with recruitment and can</w:t>
      </w:r>
      <w:r w:rsidR="004B5A98">
        <w:rPr>
          <w:lang w:val="en-US"/>
        </w:rPr>
        <w:t>not</w:t>
      </w:r>
      <w:r>
        <w:rPr>
          <w:lang w:val="en-US"/>
        </w:rPr>
        <w:t xml:space="preserve"> compete with the salaries that DHBs can offer to nurses.</w:t>
      </w:r>
    </w:p>
    <w:p w14:paraId="0226CAD5" w14:textId="77777777" w:rsidR="00411721" w:rsidRPr="00C53413" w:rsidRDefault="00411721" w:rsidP="00034578">
      <w:pPr>
        <w:rPr>
          <w:kern w:val="28"/>
          <w:sz w:val="32"/>
          <w:szCs w:val="28"/>
        </w:rPr>
      </w:pPr>
    </w:p>
    <w:p w14:paraId="253FFD56" w14:textId="77777777" w:rsidR="00776F27" w:rsidRDefault="00776F27" w:rsidP="00776F27">
      <w:pPr>
        <w:pStyle w:val="Heading1"/>
      </w:pPr>
      <w:bookmarkStart w:id="51" w:name="_Toc415584718"/>
      <w:bookmarkStart w:id="52" w:name="_Toc411855059"/>
      <w:bookmarkStart w:id="53" w:name="_Toc415657693"/>
      <w:bookmarkEnd w:id="51"/>
      <w:r>
        <w:t>Strengths and limitations</w:t>
      </w:r>
      <w:bookmarkEnd w:id="52"/>
    </w:p>
    <w:p w14:paraId="22E68950" w14:textId="77777777" w:rsidR="00776F27" w:rsidRDefault="00776F27" w:rsidP="00776F27">
      <w:r>
        <w:t>When reviewing the findings from this evaluation it is important to consider the strengths and limitations of the design. The evaluation presented here presents a comprehensive evaluation design that draws on multiple data sources to identify the implementation and impacts of the Round One funding for the new graduate nurse employment scheme</w:t>
      </w:r>
      <w:r w:rsidRPr="0049351B">
        <w:t xml:space="preserve">. </w:t>
      </w:r>
      <w:r>
        <w:t xml:space="preserve">This mixed methods approach supports the evaluation in moving beyond the findings from one data source to address the aims and objectives of the evaluation. </w:t>
      </w:r>
    </w:p>
    <w:p w14:paraId="012E8DF8" w14:textId="77777777" w:rsidR="00776F27" w:rsidRDefault="00776F27" w:rsidP="00776F27">
      <w:r>
        <w:t xml:space="preserve">These data sources were implemented and analysed in line with methods and analyses traditionally associated with each data source. For example, the surveys were analysed using descriptive statistics and interviews were analysed using a general inductive approach. There are however, some limitations that warrant consideration when interpreting the findings. Firstly, the evaluation describes the impact on patient care and safety without engaging patients directly in the evaluation. Instead, the views and experiences of practice staff are used as indicators of patient experience. </w:t>
      </w:r>
    </w:p>
    <w:p w14:paraId="720916A4" w14:textId="77777777" w:rsidR="00776F27" w:rsidRDefault="00776F27" w:rsidP="00776F27">
      <w:r>
        <w:t xml:space="preserve">Secondly, the follow-up survey did not have a high response rate in comparison to the mid-point survey. This limited the quantitative insights into the impacts at the end of the scheme from some of the practices, and particularly from the NGNs. To address this limitation we telephoned the Practice Managers to complete the questions on the retention of the NGN. This was important for supporting the evaluation in understanding the sustainability of the NGN role at the practices at the end of the scheme.  Future evaluation </w:t>
      </w:r>
      <w:r w:rsidR="00AC1402">
        <w:t xml:space="preserve">may wish to consider further follow-up with the NGNs involved in the scheme. </w:t>
      </w:r>
    </w:p>
    <w:p w14:paraId="61B69095" w14:textId="77777777" w:rsidR="00AC1402" w:rsidRDefault="00AC1402" w:rsidP="00776F27">
      <w:r>
        <w:t xml:space="preserve">Thirdly, the evaluation was unable to secure the level of quantitative data that we anticipated.  Future evaluation would benefit from conducting a more in-depth analysis of practice level data, including consultation rates and financial data. When considering this however, it is important to </w:t>
      </w:r>
      <w:r>
        <w:lastRenderedPageBreak/>
        <w:t xml:space="preserve">note that this </w:t>
      </w:r>
      <w:r w:rsidR="006C7FDA">
        <w:t xml:space="preserve">data </w:t>
      </w:r>
      <w:r>
        <w:t xml:space="preserve">is difficult for many practices to provide and may require onsite support to extract data from their patient management system and financial records.  </w:t>
      </w:r>
    </w:p>
    <w:p w14:paraId="33D58503" w14:textId="77777777" w:rsidR="00AC1402" w:rsidRDefault="00AC1402" w:rsidP="00776F27">
      <w:r>
        <w:t xml:space="preserve">Overall however, the evaluation has provided a valuable insight into the implementation and initial impacts of the scheme. Furthermore, these insights </w:t>
      </w:r>
      <w:r w:rsidR="006C7FDA">
        <w:t>are</w:t>
      </w:r>
      <w:r>
        <w:t xml:space="preserve"> supported across multiple data sources and practice sites. </w:t>
      </w:r>
    </w:p>
    <w:p w14:paraId="215C989C" w14:textId="77777777" w:rsidR="006C7FDA" w:rsidRDefault="006C7FDA" w:rsidP="00776F27"/>
    <w:p w14:paraId="78576E50" w14:textId="77777777" w:rsidR="00FD2106" w:rsidRDefault="00195DDD" w:rsidP="00E91A42">
      <w:pPr>
        <w:pStyle w:val="Heading1"/>
      </w:pPr>
      <w:r>
        <w:t>Conclusions</w:t>
      </w:r>
      <w:bookmarkEnd w:id="53"/>
    </w:p>
    <w:p w14:paraId="4D2FE481" w14:textId="77777777" w:rsidR="00CB02CE" w:rsidRDefault="00FE3CC0" w:rsidP="00CB02CE">
      <w:r>
        <w:t>This evaluation</w:t>
      </w:r>
      <w:r w:rsidR="00CB02CE">
        <w:t xml:space="preserve"> was designed to evaluate the implementation of the scheme and its impacts on the new graduate nurses and the practices. While the evaluation has provided a comprehensive insight into the implementation and impacts of the scheme, it is important to be mindful that this evaluation only reflects the initial twelve months</w:t>
      </w:r>
      <w:r>
        <w:t xml:space="preserve"> of the NGNs experience. In addition a second round of the initiative and funding for 25 NGNs has commenced in early 2015.</w:t>
      </w:r>
      <w:r w:rsidR="00CB02CE">
        <w:t xml:space="preserve"> </w:t>
      </w:r>
    </w:p>
    <w:p w14:paraId="415E0301" w14:textId="77777777" w:rsidR="00CB02CE" w:rsidRDefault="00CB02CE" w:rsidP="00CB02CE">
      <w:r>
        <w:t>Drawing on the insights from the mixed methods data integration, the findings suggest that:</w:t>
      </w:r>
    </w:p>
    <w:p w14:paraId="6BEB0088" w14:textId="38796A5E" w:rsidR="0059556C" w:rsidRDefault="0059556C" w:rsidP="0059556C">
      <w:pPr>
        <w:pStyle w:val="ListParagraph"/>
        <w:numPr>
          <w:ilvl w:val="0"/>
          <w:numId w:val="43"/>
        </w:numPr>
      </w:pPr>
      <w:r>
        <w:t>The scheme has provided a valuable pathway for supporting local NGNs into primary care, resulting in a nursing workforce that better matches the demographics of the VLCA population in most practices.</w:t>
      </w:r>
    </w:p>
    <w:p w14:paraId="31804EBA" w14:textId="77777777" w:rsidR="0059556C" w:rsidRDefault="0059556C" w:rsidP="0059556C">
      <w:pPr>
        <w:pStyle w:val="ListParagraph"/>
        <w:numPr>
          <w:ilvl w:val="0"/>
          <w:numId w:val="43"/>
        </w:numPr>
      </w:pPr>
      <w:r>
        <w:t>Most practices were able to sustain the NGN role beyond the initial twelve months of funding, identifying the value of the scheme in supporting NGNs into primary care.</w:t>
      </w:r>
    </w:p>
    <w:p w14:paraId="22591003" w14:textId="77777777" w:rsidR="0059556C" w:rsidRDefault="0059556C" w:rsidP="0059556C">
      <w:pPr>
        <w:pStyle w:val="ListParagraph"/>
        <w:numPr>
          <w:ilvl w:val="0"/>
          <w:numId w:val="43"/>
        </w:numPr>
      </w:pPr>
      <w:r>
        <w:t xml:space="preserve">The integration of NGNs into primary care had positive impacts on service delivery and patient experience. This included increasing time available for appointments, time spent with patients and support for existing clinical staff. </w:t>
      </w:r>
    </w:p>
    <w:p w14:paraId="4DC7FFC8" w14:textId="77777777" w:rsidR="0059556C" w:rsidRDefault="0059556C" w:rsidP="0059556C">
      <w:pPr>
        <w:pStyle w:val="ListParagraph"/>
        <w:numPr>
          <w:ilvl w:val="0"/>
          <w:numId w:val="43"/>
        </w:numPr>
      </w:pPr>
      <w:r>
        <w:t xml:space="preserve">The NGNs supported practices performance towards targets, and in many cases were considered to improve performance. The scheme has increased the motivations for NGNs involved to pursue a career in primary care. </w:t>
      </w:r>
    </w:p>
    <w:p w14:paraId="0CAC7A72" w14:textId="77777777" w:rsidR="0059556C" w:rsidRDefault="0059556C" w:rsidP="0059556C">
      <w:pPr>
        <w:pStyle w:val="ListParagraph"/>
        <w:numPr>
          <w:ilvl w:val="0"/>
          <w:numId w:val="43"/>
        </w:numPr>
      </w:pPr>
      <w:r>
        <w:t>The scheme has provided a positive learning experience for most NGNs, and has supported their professional development through increasing their clinical skills and experience.</w:t>
      </w:r>
    </w:p>
    <w:p w14:paraId="4FE21246" w14:textId="77777777" w:rsidR="0059556C" w:rsidRDefault="0059556C" w:rsidP="0059556C">
      <w:pPr>
        <w:pStyle w:val="ListParagraph"/>
        <w:numPr>
          <w:ilvl w:val="0"/>
          <w:numId w:val="43"/>
        </w:numPr>
      </w:pPr>
      <w:r>
        <w:t xml:space="preserve">The NGNs often increased staff satisfaction, particularly when </w:t>
      </w:r>
      <w:proofErr w:type="gramStart"/>
      <w:r>
        <w:t>staff were</w:t>
      </w:r>
      <w:proofErr w:type="gramEnd"/>
      <w:r>
        <w:t xml:space="preserve"> involved in training the NGNs. For staff with less experience in providing this training and support however, this was not always the case.</w:t>
      </w:r>
    </w:p>
    <w:p w14:paraId="2EE3DD60" w14:textId="77777777" w:rsidR="0059556C" w:rsidRDefault="0059556C" w:rsidP="0059556C">
      <w:pPr>
        <w:pStyle w:val="ListParagraph"/>
        <w:numPr>
          <w:ilvl w:val="0"/>
          <w:numId w:val="43"/>
        </w:numPr>
      </w:pPr>
      <w:r>
        <w:t xml:space="preserve">The NGNs brought new skills and experience to the practice that was valued by the staff and patients, who enjoyed the enthusiasm and energy of the younger nurses. </w:t>
      </w:r>
    </w:p>
    <w:p w14:paraId="396458E0" w14:textId="77777777" w:rsidR="00760F30" w:rsidRDefault="00760F30" w:rsidP="0059556C">
      <w:pPr>
        <w:pStyle w:val="ListParagraph"/>
        <w:numPr>
          <w:ilvl w:val="0"/>
          <w:numId w:val="43"/>
        </w:numPr>
      </w:pPr>
      <w:r>
        <w:lastRenderedPageBreak/>
        <w:t xml:space="preserve">The scheme was supported by and bolstered the existing relationships between some of the PHOs and practices. It did appear to increase connections between some DHBs and PHOs, and in fewer instances DHBs and practices. </w:t>
      </w:r>
    </w:p>
    <w:p w14:paraId="59B2556D" w14:textId="77777777" w:rsidR="00760F30" w:rsidRDefault="00760F30" w:rsidP="00760F30">
      <w:pPr>
        <w:pStyle w:val="ListParagraph"/>
        <w:numPr>
          <w:ilvl w:val="0"/>
          <w:numId w:val="43"/>
        </w:numPr>
      </w:pPr>
      <w:r>
        <w:t>Impacts of the scheme on financial sustainability were less likely to be experienced by all of the practices, although this influence may change over time in practices that have sustained the role.</w:t>
      </w:r>
    </w:p>
    <w:p w14:paraId="29841E73" w14:textId="77777777" w:rsidR="00760F30" w:rsidRDefault="00760F30" w:rsidP="00760F30">
      <w:pPr>
        <w:pStyle w:val="ListParagraph"/>
        <w:numPr>
          <w:ilvl w:val="0"/>
          <w:numId w:val="43"/>
        </w:numPr>
      </w:pPr>
      <w:r>
        <w:t xml:space="preserve">The scheme did have positive impacts on the sustainability of the workforce, with the consistency of the NGN role valued over the use of more casual staff. </w:t>
      </w:r>
    </w:p>
    <w:p w14:paraId="4C90F22D" w14:textId="77777777" w:rsidR="00760F30" w:rsidRDefault="00760F30" w:rsidP="00760F30">
      <w:pPr>
        <w:pStyle w:val="ListParagraph"/>
        <w:numPr>
          <w:ilvl w:val="0"/>
          <w:numId w:val="43"/>
        </w:numPr>
      </w:pPr>
      <w:r>
        <w:t xml:space="preserve">Clinical and social impacts were also identified. Clinicians often described the ability to focus on tasks more specifically related to their scope after the arrival of the NGN, and the increased time available for patients was noted for its value in supporting patients’ health and social care needs. </w:t>
      </w:r>
    </w:p>
    <w:p w14:paraId="6FA77E5D" w14:textId="77777777" w:rsidR="00760F30" w:rsidRDefault="00760F30" w:rsidP="00760F30">
      <w:pPr>
        <w:pStyle w:val="ListParagraph"/>
        <w:numPr>
          <w:ilvl w:val="0"/>
          <w:numId w:val="43"/>
        </w:numPr>
      </w:pPr>
      <w:r>
        <w:t>The impacts of the scheme are affected by its implementation. Key success factors for the implementation of the scheme include:</w:t>
      </w:r>
    </w:p>
    <w:p w14:paraId="07A7A3B5" w14:textId="77777777" w:rsidR="00760F30" w:rsidRDefault="00760F30" w:rsidP="00760F30">
      <w:pPr>
        <w:pStyle w:val="ListParagraph"/>
        <w:numPr>
          <w:ilvl w:val="1"/>
          <w:numId w:val="43"/>
        </w:numPr>
      </w:pPr>
      <w:r>
        <w:t xml:space="preserve">A good induction process, both for the NGN and for the clinical and non-clinical staff. This is important for managing the expectations of the NGN role and ensuring that their knowledge and skills were appropriately developed and utilised at the practice. </w:t>
      </w:r>
    </w:p>
    <w:p w14:paraId="45401C36" w14:textId="77777777" w:rsidR="00760F30" w:rsidRDefault="00760F30" w:rsidP="00760F30">
      <w:pPr>
        <w:pStyle w:val="ListParagraph"/>
        <w:numPr>
          <w:ilvl w:val="1"/>
          <w:numId w:val="43"/>
        </w:numPr>
      </w:pPr>
      <w:r>
        <w:t>Previous experience with a NGN maximised the value of the NGN role. For example, knowing the supports that a NGN needs and when to train them in which courses maximised the value of the role for some practices.</w:t>
      </w:r>
    </w:p>
    <w:p w14:paraId="47872C11" w14:textId="77777777" w:rsidR="00760F30" w:rsidRDefault="00760F30" w:rsidP="00760F30">
      <w:pPr>
        <w:pStyle w:val="ListParagraph"/>
        <w:numPr>
          <w:ilvl w:val="1"/>
          <w:numId w:val="43"/>
        </w:numPr>
      </w:pPr>
      <w:r>
        <w:t xml:space="preserve">Appropriate level of support for the NGN; nurse preceptor, NETP coordinator and support from other practice staff are crucial. The support of the nurse preceptor was particularly important to the NGNs. </w:t>
      </w:r>
    </w:p>
    <w:p w14:paraId="27B269F6" w14:textId="77777777" w:rsidR="00760F30" w:rsidRDefault="00760F30" w:rsidP="00760F30">
      <w:pPr>
        <w:pStyle w:val="ListParagraph"/>
        <w:numPr>
          <w:ilvl w:val="1"/>
          <w:numId w:val="43"/>
        </w:numPr>
      </w:pPr>
      <w:r>
        <w:t xml:space="preserve">The recruitment of local NGNs who understood the local patient populations. </w:t>
      </w:r>
    </w:p>
    <w:p w14:paraId="0297B76C" w14:textId="77777777" w:rsidR="00760F30" w:rsidRDefault="00760F30" w:rsidP="00760F30">
      <w:pPr>
        <w:pStyle w:val="ListParagraph"/>
        <w:numPr>
          <w:ilvl w:val="1"/>
          <w:numId w:val="43"/>
        </w:numPr>
      </w:pPr>
      <w:r>
        <w:t>Clarity on the level of work and study load that is required for a NGN. The NGNs were employed at different FTE levels (between 0.8 and 1.0) and this meant some felt the burden of work and study commitments more than others.</w:t>
      </w:r>
    </w:p>
    <w:p w14:paraId="11644E6E" w14:textId="77777777" w:rsidR="00760F30" w:rsidRDefault="00760F30" w:rsidP="00760F30">
      <w:pPr>
        <w:pStyle w:val="ListParagraph"/>
        <w:numPr>
          <w:ilvl w:val="1"/>
          <w:numId w:val="43"/>
        </w:numPr>
      </w:pPr>
      <w:r>
        <w:t xml:space="preserve">The NETP programme supported connections with other NGNs and professional development. The NGNs suggested that the value of the NETP programme could be enhanced by increasing the relevance to primary care settings. </w:t>
      </w:r>
    </w:p>
    <w:p w14:paraId="50217B2C" w14:textId="77777777" w:rsidR="00760F30" w:rsidRDefault="00760F30" w:rsidP="00760F30">
      <w:pPr>
        <w:pStyle w:val="ListParagraph"/>
        <w:numPr>
          <w:ilvl w:val="1"/>
          <w:numId w:val="43"/>
        </w:numPr>
      </w:pPr>
      <w:r>
        <w:t xml:space="preserve">Valuable external support from the DHB (NETP Coordinators) and PHO (Nursing Leaders). This was particularly important when the practices had little previous experience of a NGN. Some practices however, suggested that greater coordination between those supporting the NGN would be valuable. </w:t>
      </w:r>
    </w:p>
    <w:p w14:paraId="2F7F3415" w14:textId="77777777" w:rsidR="00760F30" w:rsidRDefault="00760F30" w:rsidP="00760F30">
      <w:pPr>
        <w:pStyle w:val="ListParagraph"/>
      </w:pPr>
    </w:p>
    <w:p w14:paraId="3DFDCF16" w14:textId="77777777" w:rsidR="00760F30" w:rsidRDefault="00760F30" w:rsidP="00760F30">
      <w:r>
        <w:t xml:space="preserve">The conclusions from this evaluation highlight the value of the scheme in supporting NGNs into primary care and in supporting VLCA practices. When considering the future implementation of the scheme, the findings suggest that practices with previous experience of NGNs provided better induction and support processes. However, all practices reported some value and benefit from having a NGN and most sustained the role. While it might be tempting to support those practices with previous experience of developing NGNs, these practices were often larger and in more urban locations. Implementing the scheme through these practices would provide a more systematic approach to developing the nursing workforce in primary care. However, this would reduce the value of the scheme for smaller practices and/or those practices experiencing difficulties with recruitment and succession planning, such as those in more rural areas. The value of the scheme in supporting practices to develop a sustainable local nursing workforce may also be challenged if the availability of the scheme was restricted to specific practices. </w:t>
      </w:r>
    </w:p>
    <w:p w14:paraId="4CFE6771" w14:textId="77777777" w:rsidR="00760F30" w:rsidRDefault="00760F30" w:rsidP="00760F30">
      <w:r>
        <w:t xml:space="preserve">What is needed </w:t>
      </w:r>
      <w:proofErr w:type="gramStart"/>
      <w:r>
        <w:t>however,</w:t>
      </w:r>
      <w:proofErr w:type="gramEnd"/>
      <w:r>
        <w:t xml:space="preserve"> is greater consideration of the support that is needed for those practices who are less experienced in supporting NGNs. This is important not only for the development of the NGN, but for supporting the practice to maximise the value of the NGN from the start. For some of the practices with little previous NGN experience, success was enabled by extensive additional support from the DHB and the PHO. When integrating NGNs in this context it is important for the PHO and the DHB to consider the additional supports and challenges that this may bring to their current roles and the level of support that they can provide. The joint application process provides a means of supporting this process. </w:t>
      </w:r>
    </w:p>
    <w:p w14:paraId="56D33BD5" w14:textId="20DD8D64" w:rsidR="00760F30" w:rsidRDefault="00760F30" w:rsidP="00760F30">
      <w:r>
        <w:t xml:space="preserve">Drawing on the evidence in this evaluation report, the expertise of nurse preceptors, NETP Coordinators and PHO Nurse Leaders could support the development of a resource that would enable practices to better support a NGN. Specifically, this resource could identify what it means to have a NGN in their practice, the level of support needed, as well as the value and benefits that they can expect to achieve. The development of this resource could also help to clarify the roles and responsibilities of the DHB, PHO and practice in supporting the integration of NGNs into primary care. This should enhance the coordination and integration of the supports available for the NGNs. </w:t>
      </w:r>
    </w:p>
    <w:p w14:paraId="00AB35CC" w14:textId="77777777" w:rsidR="00CB02CE" w:rsidRDefault="00CB02CE" w:rsidP="00034578"/>
    <w:p w14:paraId="433B774D" w14:textId="77777777" w:rsidR="00AF0548" w:rsidRDefault="00AF0548">
      <w:pPr>
        <w:spacing w:after="200" w:line="276" w:lineRule="auto"/>
        <w:rPr>
          <w:rFonts w:cs="Arial"/>
          <w:b/>
          <w:smallCaps/>
          <w:color w:val="006E95"/>
          <w:spacing w:val="20"/>
          <w:kern w:val="28"/>
          <w:sz w:val="32"/>
          <w:szCs w:val="28"/>
        </w:rPr>
      </w:pPr>
      <w:r>
        <w:br w:type="page"/>
      </w:r>
    </w:p>
    <w:p w14:paraId="5B5C948C" w14:textId="77777777" w:rsidR="003B502F" w:rsidRDefault="003B502F" w:rsidP="00247AA9">
      <w:pPr>
        <w:pStyle w:val="Heading1"/>
        <w:spacing w:after="0"/>
      </w:pPr>
      <w:bookmarkStart w:id="54" w:name="_Toc415657694"/>
      <w:r w:rsidRPr="003B502F">
        <w:lastRenderedPageBreak/>
        <w:t>References</w:t>
      </w:r>
      <w:bookmarkEnd w:id="54"/>
    </w:p>
    <w:p w14:paraId="09BBA06B" w14:textId="77777777" w:rsidR="001A0892" w:rsidRDefault="001A0892" w:rsidP="001A0892"/>
    <w:p w14:paraId="7E05EF60" w14:textId="77777777" w:rsidR="00146C56" w:rsidRPr="00146C56" w:rsidRDefault="009B410D" w:rsidP="00146C56">
      <w:pPr>
        <w:pStyle w:val="NormalWeb"/>
        <w:rPr>
          <w:rFonts w:ascii="Calibri" w:hAnsi="Calibri"/>
          <w:sz w:val="22"/>
        </w:rPr>
      </w:pPr>
      <w:r>
        <w:fldChar w:fldCharType="begin"/>
      </w:r>
      <w:r w:rsidR="00146C56">
        <w:instrText>ADDIN RW.BIB</w:instrText>
      </w:r>
      <w:r>
        <w:fldChar w:fldCharType="separate"/>
      </w:r>
      <w:r w:rsidR="00146C56" w:rsidRPr="00146C56">
        <w:rPr>
          <w:rFonts w:ascii="Calibri" w:hAnsi="Calibri"/>
          <w:sz w:val="22"/>
        </w:rPr>
        <w:t>(1) Brown M, Underwood B. Very Low Cost Access Practice Case Studies: Summary Report for the PHO Services Agreement Amendment Protocol Group. 2013.</w:t>
      </w:r>
    </w:p>
    <w:p w14:paraId="44BD3328" w14:textId="77777777" w:rsidR="00146C56" w:rsidRPr="00146C56" w:rsidRDefault="00146C56" w:rsidP="00146C56">
      <w:pPr>
        <w:pStyle w:val="NormalWeb"/>
        <w:rPr>
          <w:rFonts w:ascii="Calibri" w:hAnsi="Calibri"/>
          <w:sz w:val="22"/>
        </w:rPr>
      </w:pPr>
      <w:r w:rsidRPr="00146C56">
        <w:rPr>
          <w:rFonts w:ascii="Calibri" w:hAnsi="Calibri"/>
          <w:sz w:val="22"/>
        </w:rPr>
        <w:t>(2) Appleton-Dyer S, Dale-Gandar L, Boswell A. Evaluation of the New Graduate Nurse employment scheme through the Very Low Cost Access initiative: A mid-point evaluation report. 2014.</w:t>
      </w:r>
    </w:p>
    <w:p w14:paraId="296053FC" w14:textId="77777777" w:rsidR="00146C56" w:rsidRPr="00146C56" w:rsidRDefault="00146C56" w:rsidP="00146C56">
      <w:pPr>
        <w:pStyle w:val="NormalWeb"/>
        <w:rPr>
          <w:rFonts w:ascii="Calibri" w:hAnsi="Calibri"/>
          <w:sz w:val="22"/>
        </w:rPr>
      </w:pPr>
      <w:r w:rsidRPr="00146C56">
        <w:rPr>
          <w:rFonts w:ascii="Calibri" w:hAnsi="Calibri"/>
          <w:sz w:val="22"/>
        </w:rPr>
        <w:t>(3) Pawson R, Tilley N. Realistic evaluation. London: Sage; 1997.</w:t>
      </w:r>
    </w:p>
    <w:p w14:paraId="6F82A4D7" w14:textId="77777777" w:rsidR="00146C56" w:rsidRPr="00146C56" w:rsidRDefault="00146C56" w:rsidP="00146C56">
      <w:pPr>
        <w:pStyle w:val="NormalWeb"/>
        <w:rPr>
          <w:rFonts w:ascii="Calibri" w:hAnsi="Calibri"/>
          <w:sz w:val="22"/>
        </w:rPr>
      </w:pPr>
      <w:r w:rsidRPr="00146C56">
        <w:rPr>
          <w:rFonts w:ascii="Calibri" w:hAnsi="Calibri"/>
          <w:sz w:val="22"/>
        </w:rPr>
        <w:t>(4) Hoare K, Mills J, Francis K. New graduate nurses as knowledge brokers in general practice in New Zealand: a constructivist grounded theory. Health and Social Care in the Community 2013;21(4):423-431.</w:t>
      </w:r>
    </w:p>
    <w:p w14:paraId="01FAB216" w14:textId="77777777" w:rsidR="00146C56" w:rsidRPr="00146C56" w:rsidRDefault="00146C56" w:rsidP="00146C56">
      <w:pPr>
        <w:pStyle w:val="NormalWeb"/>
        <w:rPr>
          <w:rFonts w:ascii="Calibri" w:hAnsi="Calibri"/>
          <w:sz w:val="22"/>
        </w:rPr>
      </w:pPr>
      <w:r w:rsidRPr="00146C56">
        <w:rPr>
          <w:rFonts w:ascii="Calibri" w:hAnsi="Calibri"/>
          <w:sz w:val="22"/>
        </w:rPr>
        <w:t>(5) Greene J. Mixed methods in social inquiry. 9th ed. San Francisco: Jossey-Bass; 2007.</w:t>
      </w:r>
    </w:p>
    <w:p w14:paraId="098EB1B7" w14:textId="77777777" w:rsidR="001A0892" w:rsidRDefault="00146C56" w:rsidP="00146C56">
      <w:r w:rsidRPr="00146C56">
        <w:t> </w:t>
      </w:r>
      <w:r w:rsidR="009B410D">
        <w:fldChar w:fldCharType="end"/>
      </w:r>
      <w:r w:rsidR="001A0892">
        <w:br w:type="page"/>
      </w:r>
    </w:p>
    <w:p w14:paraId="4244640B" w14:textId="77777777" w:rsidR="001659DB" w:rsidRDefault="001659DB" w:rsidP="001659DB">
      <w:pPr>
        <w:pStyle w:val="Heading1"/>
      </w:pPr>
      <w:bookmarkStart w:id="55" w:name="_Toc415657695"/>
      <w:bookmarkStart w:id="56" w:name="_Ref414626056"/>
      <w:r>
        <w:lastRenderedPageBreak/>
        <w:t>Appendix One: Data collection and analysis</w:t>
      </w:r>
      <w:bookmarkEnd w:id="55"/>
    </w:p>
    <w:p w14:paraId="54BECB0F" w14:textId="77777777" w:rsidR="001659DB" w:rsidRDefault="001659DB" w:rsidP="001659DB">
      <w:pPr>
        <w:pStyle w:val="Heading2"/>
      </w:pPr>
      <w:bookmarkStart w:id="57" w:name="_Toc415657696"/>
      <w:r>
        <w:t>Practice Profiling</w:t>
      </w:r>
      <w:bookmarkEnd w:id="57"/>
    </w:p>
    <w:p w14:paraId="3680DD89" w14:textId="77777777" w:rsidR="001659DB" w:rsidRDefault="001659DB" w:rsidP="001659DB">
      <w:r>
        <w:t xml:space="preserve">There were 51 practices involved in the 48 successful applications for the one-off funding for </w:t>
      </w:r>
      <w:r w:rsidR="00E62B10">
        <w:t>a NGN</w:t>
      </w:r>
      <w:r>
        <w:t xml:space="preserve">. Practice profiling was important for identifying the key characteristics of the practices that were participating in the scheme. This profiling provided important contextual information that also supported the selection of five practices for the within site analysis. </w:t>
      </w:r>
    </w:p>
    <w:p w14:paraId="08BF9781" w14:textId="77777777" w:rsidR="001659DB" w:rsidRDefault="001659DB" w:rsidP="001659DB">
      <w:r>
        <w:t xml:space="preserve">Data to support this analysis was provided by the </w:t>
      </w:r>
      <w:proofErr w:type="spellStart"/>
      <w:r>
        <w:t>MoH</w:t>
      </w:r>
      <w:proofErr w:type="spellEnd"/>
      <w:r>
        <w:t xml:space="preserve"> in the form of: a PHO enrolment breakdown for 2013, New Graduate Nurse placements, and application forms of the successful VLCA practices participating in the employment scheme. A google search was utilised to find the number of GPs that worked within each practice. Information from these sources was integrated into one practice profile spreadsheet to summarise the context within which the employment scheme was being implemented. Specifically, practice level data was included for:</w:t>
      </w:r>
    </w:p>
    <w:p w14:paraId="3923F553" w14:textId="77777777" w:rsidR="001659DB" w:rsidRDefault="001659DB" w:rsidP="001659DB">
      <w:pPr>
        <w:pStyle w:val="ListParagraph"/>
        <w:numPr>
          <w:ilvl w:val="0"/>
          <w:numId w:val="5"/>
        </w:numPr>
      </w:pPr>
      <w:r>
        <w:t>Size of practice enrolments.</w:t>
      </w:r>
    </w:p>
    <w:p w14:paraId="3387333D" w14:textId="77777777" w:rsidR="001659DB" w:rsidRDefault="001659DB" w:rsidP="001659DB">
      <w:pPr>
        <w:pStyle w:val="ListParagraph"/>
        <w:numPr>
          <w:ilvl w:val="0"/>
          <w:numId w:val="5"/>
        </w:numPr>
      </w:pPr>
      <w:r>
        <w:t>Proportion of high needs enrolees.</w:t>
      </w:r>
    </w:p>
    <w:p w14:paraId="64C58CF1" w14:textId="77777777" w:rsidR="001659DB" w:rsidRDefault="001659DB" w:rsidP="001659DB">
      <w:pPr>
        <w:pStyle w:val="ListParagraph"/>
        <w:numPr>
          <w:ilvl w:val="0"/>
          <w:numId w:val="5"/>
        </w:numPr>
      </w:pPr>
      <w:r>
        <w:t>Proportion of Māori and Pacific enrolees.</w:t>
      </w:r>
    </w:p>
    <w:p w14:paraId="09BCD4F8" w14:textId="77777777" w:rsidR="001659DB" w:rsidRDefault="001659DB" w:rsidP="001659DB">
      <w:pPr>
        <w:pStyle w:val="ListParagraph"/>
        <w:numPr>
          <w:ilvl w:val="0"/>
          <w:numId w:val="5"/>
        </w:numPr>
      </w:pPr>
      <w:r>
        <w:t>Age structure of enrolees.</w:t>
      </w:r>
    </w:p>
    <w:p w14:paraId="2C42D249" w14:textId="77777777" w:rsidR="001659DB" w:rsidRDefault="001659DB" w:rsidP="001659DB">
      <w:pPr>
        <w:pStyle w:val="ListParagraph"/>
        <w:numPr>
          <w:ilvl w:val="0"/>
          <w:numId w:val="5"/>
        </w:numPr>
      </w:pPr>
      <w:r>
        <w:t>Deprivation index of enrolees.</w:t>
      </w:r>
    </w:p>
    <w:p w14:paraId="1A8A0A19" w14:textId="77777777" w:rsidR="001659DB" w:rsidRDefault="001659DB" w:rsidP="001659DB">
      <w:pPr>
        <w:pStyle w:val="ListParagraph"/>
        <w:numPr>
          <w:ilvl w:val="0"/>
          <w:numId w:val="5"/>
        </w:numPr>
      </w:pPr>
      <w:r>
        <w:t>Size of the practice workforce.</w:t>
      </w:r>
    </w:p>
    <w:p w14:paraId="3CB210D0" w14:textId="77777777" w:rsidR="001659DB" w:rsidRDefault="001659DB" w:rsidP="001659DB">
      <w:pPr>
        <w:pStyle w:val="ListParagraph"/>
        <w:numPr>
          <w:ilvl w:val="0"/>
          <w:numId w:val="5"/>
        </w:numPr>
      </w:pPr>
      <w:r>
        <w:t>Whether a practice was a Māori or Pacific provider.</w:t>
      </w:r>
    </w:p>
    <w:p w14:paraId="163BCA17" w14:textId="77777777" w:rsidR="001659DB" w:rsidRDefault="001659DB" w:rsidP="001659DB">
      <w:pPr>
        <w:pStyle w:val="ListParagraph"/>
        <w:numPr>
          <w:ilvl w:val="0"/>
          <w:numId w:val="5"/>
        </w:numPr>
      </w:pPr>
      <w:r>
        <w:t>Ethnicity, age and gender of the NGN.</w:t>
      </w:r>
    </w:p>
    <w:p w14:paraId="0EC4959F" w14:textId="77777777" w:rsidR="001659DB" w:rsidRDefault="001659DB" w:rsidP="001659DB">
      <w:pPr>
        <w:pStyle w:val="ListParagraph"/>
        <w:numPr>
          <w:ilvl w:val="0"/>
          <w:numId w:val="5"/>
        </w:numPr>
      </w:pPr>
      <w:r>
        <w:t>Previous training experience of the practice.</w:t>
      </w:r>
    </w:p>
    <w:p w14:paraId="26ACB042" w14:textId="77777777" w:rsidR="001659DB" w:rsidRDefault="001659DB" w:rsidP="001659DB">
      <w:r>
        <w:rPr>
          <w:lang w:eastAsia="en-US"/>
        </w:rPr>
        <w:t xml:space="preserve">A descriptive analysis of the practice profiling data was used to describe the key characteristics of the practices involved in the employment scheme. </w:t>
      </w:r>
    </w:p>
    <w:p w14:paraId="49F28FFE" w14:textId="77777777" w:rsidR="001659DB" w:rsidRDefault="001659DB" w:rsidP="001659DB">
      <w:pPr>
        <w:pStyle w:val="Heading2"/>
      </w:pPr>
      <w:bookmarkStart w:id="58" w:name="_Toc415657697"/>
      <w:r>
        <w:t>Document Analysis</w:t>
      </w:r>
      <w:bookmarkEnd w:id="58"/>
    </w:p>
    <w:p w14:paraId="798AF011" w14:textId="77777777" w:rsidR="001659DB" w:rsidRDefault="001659DB" w:rsidP="001659DB">
      <w:r>
        <w:t>An analysis of the 48 successful application forms for the VLCA Sustainability Initiative and NGN employment scheme was also undertaken. This provided an insight into the types of practices involved in the scheme and the intended implementation of the</w:t>
      </w:r>
      <w:r>
        <w:rPr>
          <w:lang w:eastAsia="en-US"/>
        </w:rPr>
        <w:t xml:space="preserve"> employment scheme at each practice</w:t>
      </w:r>
      <w:r>
        <w:t xml:space="preserve">. </w:t>
      </w:r>
      <w:r>
        <w:rPr>
          <w:lang w:eastAsia="en-US"/>
        </w:rPr>
        <w:t xml:space="preserve">The open ended questions were analysed using open coding to identify key themes and patterns in the data. </w:t>
      </w:r>
      <w:r>
        <w:t>Specifically, the documents were analysed to provide an insight into the ways in which the practices intended to use the one-off funding to:</w:t>
      </w:r>
    </w:p>
    <w:p w14:paraId="6228B27C" w14:textId="77777777" w:rsidR="001659DB" w:rsidRDefault="001659DB" w:rsidP="001659DB">
      <w:pPr>
        <w:pStyle w:val="ListParagraph"/>
        <w:numPr>
          <w:ilvl w:val="0"/>
          <w:numId w:val="5"/>
        </w:numPr>
      </w:pPr>
      <w:r>
        <w:lastRenderedPageBreak/>
        <w:t>Address sustainability.</w:t>
      </w:r>
    </w:p>
    <w:p w14:paraId="4E54380E" w14:textId="77777777" w:rsidR="001659DB" w:rsidRDefault="001659DB" w:rsidP="001659DB">
      <w:pPr>
        <w:pStyle w:val="ListParagraph"/>
        <w:numPr>
          <w:ilvl w:val="0"/>
          <w:numId w:val="5"/>
        </w:numPr>
      </w:pPr>
      <w:r>
        <w:t>Improve practice efficiency.</w:t>
      </w:r>
    </w:p>
    <w:p w14:paraId="0FF75857" w14:textId="77777777" w:rsidR="001659DB" w:rsidRDefault="001659DB" w:rsidP="001659DB">
      <w:pPr>
        <w:pStyle w:val="ListParagraph"/>
        <w:numPr>
          <w:ilvl w:val="0"/>
          <w:numId w:val="5"/>
        </w:numPr>
      </w:pPr>
      <w:r>
        <w:t>Address the needs of high needs patients.</w:t>
      </w:r>
    </w:p>
    <w:p w14:paraId="1F04C09F" w14:textId="77777777" w:rsidR="001659DB" w:rsidRDefault="001659DB" w:rsidP="001659DB">
      <w:pPr>
        <w:pStyle w:val="ListParagraph"/>
        <w:numPr>
          <w:ilvl w:val="0"/>
          <w:numId w:val="5"/>
        </w:numPr>
      </w:pPr>
      <w:r>
        <w:t>Sustain the employment of the NGN.</w:t>
      </w:r>
    </w:p>
    <w:p w14:paraId="145E6463" w14:textId="77777777" w:rsidR="001659DB" w:rsidRDefault="001659DB" w:rsidP="001659DB">
      <w:pPr>
        <w:pStyle w:val="ListParagraph"/>
        <w:numPr>
          <w:ilvl w:val="0"/>
          <w:numId w:val="5"/>
        </w:numPr>
      </w:pPr>
      <w:r>
        <w:t>Provide support for the NGN at the practice.</w:t>
      </w:r>
    </w:p>
    <w:p w14:paraId="043DEE87" w14:textId="77777777" w:rsidR="001659DB" w:rsidRDefault="001659DB" w:rsidP="001659DB">
      <w:pPr>
        <w:pStyle w:val="Heading2"/>
      </w:pPr>
      <w:bookmarkStart w:id="59" w:name="_Toc415657698"/>
      <w:r>
        <w:t>Online Mid-Point Practice, PHO and DHB Stakeholder Survey</w:t>
      </w:r>
      <w:bookmarkEnd w:id="59"/>
    </w:p>
    <w:p w14:paraId="56F46C3C" w14:textId="77777777" w:rsidR="001659DB" w:rsidRDefault="001659DB" w:rsidP="001659DB">
      <w:r>
        <w:t xml:space="preserve">The mid-point online survey was designed to evaluate </w:t>
      </w:r>
      <w:r>
        <w:rPr>
          <w:lang w:eastAsia="en-US"/>
        </w:rPr>
        <w:t xml:space="preserve">the process and implementation of the NGN role across the breadth of the VLCA practices, and to begin to explore the impact of the one-off funding scheme. Proving these insights during the implementation of the scheme was also designed to support learning for </w:t>
      </w:r>
      <w:proofErr w:type="spellStart"/>
      <w:r>
        <w:rPr>
          <w:lang w:eastAsia="en-US"/>
        </w:rPr>
        <w:t>MoH</w:t>
      </w:r>
      <w:proofErr w:type="spellEnd"/>
      <w:r>
        <w:rPr>
          <w:lang w:eastAsia="en-US"/>
        </w:rPr>
        <w:t xml:space="preserve"> and the practices, PHOs and DHBs implementing the scheme. This learning was facilitated by timely feedback on the evaluation findings to the sector through sharing the executive summary and full evaluation report via email and on the </w:t>
      </w:r>
      <w:proofErr w:type="spellStart"/>
      <w:r>
        <w:rPr>
          <w:lang w:eastAsia="en-US"/>
        </w:rPr>
        <w:t>MoH</w:t>
      </w:r>
      <w:proofErr w:type="spellEnd"/>
      <w:r>
        <w:rPr>
          <w:lang w:eastAsia="en-US"/>
        </w:rPr>
        <w:t xml:space="preserve"> website.</w:t>
      </w:r>
    </w:p>
    <w:p w14:paraId="79E926AA" w14:textId="77777777" w:rsidR="001659DB" w:rsidRDefault="001659DB" w:rsidP="001659DB">
      <w:pPr>
        <w:rPr>
          <w:lang w:eastAsia="en-US"/>
        </w:rPr>
      </w:pPr>
      <w:r>
        <w:rPr>
          <w:lang w:eastAsia="en-US"/>
        </w:rPr>
        <w:t>The mid-point</w:t>
      </w:r>
      <w:r w:rsidRPr="005C72B8">
        <w:rPr>
          <w:lang w:eastAsia="en-US"/>
        </w:rPr>
        <w:t xml:space="preserve"> survey</w:t>
      </w:r>
      <w:r>
        <w:rPr>
          <w:lang w:eastAsia="en-US"/>
        </w:rPr>
        <w:t xml:space="preserve"> was designed to engage stakeholders from the practices, DHBs and PHOs involved in the employment scheme. The mid-point survey was designed to ask stakeholders to share their perspectives on:</w:t>
      </w:r>
    </w:p>
    <w:p w14:paraId="007D450B" w14:textId="77777777" w:rsidR="001659DB" w:rsidRDefault="001659DB" w:rsidP="001659DB">
      <w:pPr>
        <w:pStyle w:val="ListParagraph"/>
        <w:numPr>
          <w:ilvl w:val="0"/>
          <w:numId w:val="5"/>
        </w:numPr>
      </w:pPr>
      <w:r>
        <w:t>The application process and selection of the NGN</w:t>
      </w:r>
    </w:p>
    <w:p w14:paraId="60CE5F15" w14:textId="77777777" w:rsidR="001659DB" w:rsidRDefault="001659DB" w:rsidP="001659DB">
      <w:pPr>
        <w:pStyle w:val="ListParagraph"/>
        <w:numPr>
          <w:ilvl w:val="0"/>
          <w:numId w:val="5"/>
        </w:numPr>
      </w:pPr>
      <w:r>
        <w:t>Readiness of the practice for the arrival of the NGN</w:t>
      </w:r>
    </w:p>
    <w:p w14:paraId="68228949" w14:textId="77777777" w:rsidR="001659DB" w:rsidRDefault="001659DB" w:rsidP="001659DB">
      <w:pPr>
        <w:pStyle w:val="ListParagraph"/>
        <w:numPr>
          <w:ilvl w:val="0"/>
          <w:numId w:val="5"/>
        </w:numPr>
      </w:pPr>
      <w:r>
        <w:t>Role of the DHB and PHO in implementation</w:t>
      </w:r>
    </w:p>
    <w:p w14:paraId="0FF9A6F7" w14:textId="77777777" w:rsidR="001659DB" w:rsidRDefault="001659DB" w:rsidP="001659DB">
      <w:pPr>
        <w:pStyle w:val="ListParagraph"/>
        <w:numPr>
          <w:ilvl w:val="0"/>
          <w:numId w:val="5"/>
        </w:numPr>
      </w:pPr>
      <w:r>
        <w:t>Support for the NGN</w:t>
      </w:r>
    </w:p>
    <w:p w14:paraId="7787055A" w14:textId="77777777" w:rsidR="001659DB" w:rsidRDefault="001659DB" w:rsidP="001659DB">
      <w:pPr>
        <w:pStyle w:val="ListParagraph"/>
        <w:numPr>
          <w:ilvl w:val="0"/>
          <w:numId w:val="5"/>
        </w:numPr>
      </w:pPr>
      <w:r>
        <w:t>Changes in the NGNs’ skills and experience</w:t>
      </w:r>
    </w:p>
    <w:p w14:paraId="11E553AC" w14:textId="77777777" w:rsidR="001659DB" w:rsidRDefault="001659DB" w:rsidP="001659DB">
      <w:pPr>
        <w:pStyle w:val="ListParagraph"/>
        <w:numPr>
          <w:ilvl w:val="0"/>
          <w:numId w:val="5"/>
        </w:numPr>
      </w:pPr>
      <w:r>
        <w:t>Impact of the NGN role at the practice</w:t>
      </w:r>
    </w:p>
    <w:p w14:paraId="25C79845" w14:textId="77777777" w:rsidR="001659DB" w:rsidRDefault="001659DB" w:rsidP="001659DB">
      <w:pPr>
        <w:pStyle w:val="ListParagraph"/>
        <w:numPr>
          <w:ilvl w:val="0"/>
          <w:numId w:val="5"/>
        </w:numPr>
      </w:pPr>
      <w:r>
        <w:t xml:space="preserve">Future intentions </w:t>
      </w:r>
    </w:p>
    <w:p w14:paraId="75295E0A" w14:textId="77777777" w:rsidR="001659DB" w:rsidRDefault="001659DB" w:rsidP="001659DB">
      <w:pPr>
        <w:pStyle w:val="ListParagraph"/>
        <w:numPr>
          <w:ilvl w:val="0"/>
          <w:numId w:val="5"/>
        </w:numPr>
      </w:pPr>
      <w:r>
        <w:t>Sustainability of the role</w:t>
      </w:r>
    </w:p>
    <w:p w14:paraId="4F0990B4" w14:textId="77777777" w:rsidR="001659DB" w:rsidRDefault="001659DB" w:rsidP="001659DB">
      <w:pPr>
        <w:pStyle w:val="ListParagraph"/>
        <w:numPr>
          <w:ilvl w:val="0"/>
          <w:numId w:val="5"/>
        </w:numPr>
      </w:pPr>
      <w:r>
        <w:t>Key benefits, challenges and ideas for improvements</w:t>
      </w:r>
    </w:p>
    <w:p w14:paraId="3D0138F6" w14:textId="77777777" w:rsidR="001659DB" w:rsidRDefault="001659DB" w:rsidP="001659DB">
      <w:pPr>
        <w:rPr>
          <w:lang w:eastAsia="en-US"/>
        </w:rPr>
      </w:pPr>
      <w:r>
        <w:rPr>
          <w:lang w:eastAsia="en-US"/>
        </w:rPr>
        <w:t xml:space="preserve">While the mid-point survey had some core questions that were answered by all stakeholders, there were specific sets of questions for different stakeholders. The NGNs, practice staff and NETP coordinator for example, was asked questions on the level of support for the NGN, which were not asked of the other DHB and PHO staff. Business owners and practice managers were also asked about the impacts of the NGN on the business model and financials at the practice. This was designed to engage a broad range of stakeholder perspectives in the evaluation and also ensure that the questions were relevant to the different stakeholder groups. </w:t>
      </w:r>
    </w:p>
    <w:p w14:paraId="72F2FA99" w14:textId="77777777" w:rsidR="001659DB" w:rsidRPr="00592AFE" w:rsidRDefault="001659DB" w:rsidP="00B379C6">
      <w:pPr>
        <w:pStyle w:val="Heading2"/>
      </w:pPr>
      <w:r w:rsidRPr="00592AFE">
        <w:lastRenderedPageBreak/>
        <w:t>Survey distribution</w:t>
      </w:r>
    </w:p>
    <w:p w14:paraId="6E84B97D" w14:textId="77777777" w:rsidR="001659DB" w:rsidRDefault="001659DB" w:rsidP="001659DB">
      <w:pPr>
        <w:rPr>
          <w:lang w:eastAsia="en-US"/>
        </w:rPr>
      </w:pPr>
      <w:r>
        <w:rPr>
          <w:lang w:eastAsia="en-US"/>
        </w:rPr>
        <w:t xml:space="preserve">The mid-point survey was disseminated online using contact details provided through the application forms and provided to us directly from the </w:t>
      </w:r>
      <w:proofErr w:type="spellStart"/>
      <w:r>
        <w:rPr>
          <w:lang w:eastAsia="en-US"/>
        </w:rPr>
        <w:t>MoH</w:t>
      </w:r>
      <w:proofErr w:type="spellEnd"/>
      <w:r>
        <w:rPr>
          <w:lang w:eastAsia="en-US"/>
        </w:rPr>
        <w:t>. The initial email invite was sent out on the 22</w:t>
      </w:r>
      <w:r w:rsidRPr="00E06189">
        <w:rPr>
          <w:vertAlign w:val="superscript"/>
          <w:lang w:eastAsia="en-US"/>
        </w:rPr>
        <w:t>nd</w:t>
      </w:r>
      <w:r>
        <w:rPr>
          <w:lang w:eastAsia="en-US"/>
        </w:rPr>
        <w:t xml:space="preserve"> of August 2014. This initial email was followed by a series of reminders designed to encourage participation. The mid-point survey remained in the field for six weeks. </w:t>
      </w:r>
    </w:p>
    <w:p w14:paraId="74CCDEA0" w14:textId="77777777" w:rsidR="001659DB" w:rsidRDefault="001659DB" w:rsidP="001659DB">
      <w:pPr>
        <w:rPr>
          <w:lang w:eastAsia="en-US"/>
        </w:rPr>
      </w:pPr>
      <w:r>
        <w:rPr>
          <w:lang w:eastAsia="en-US"/>
        </w:rPr>
        <w:t>When sending out the initial email invite, we had responses from the sector asking if they could send the survey on to others involved in the scheme. We were very grateful for this offer and then encouraged other stakeholders to do this same. This does make it difficult to calculate a response rate.</w:t>
      </w:r>
    </w:p>
    <w:p w14:paraId="7285A7D1" w14:textId="77777777" w:rsidR="001659DB" w:rsidRDefault="001659DB" w:rsidP="001659DB">
      <w:pPr>
        <w:pStyle w:val="Heading3"/>
        <w:numPr>
          <w:ilvl w:val="0"/>
          <w:numId w:val="0"/>
        </w:numPr>
        <w:ind w:left="510" w:hanging="510"/>
      </w:pPr>
      <w:r>
        <w:t>Survey analysis</w:t>
      </w:r>
    </w:p>
    <w:p w14:paraId="0C83FB55" w14:textId="77777777" w:rsidR="001659DB" w:rsidRDefault="001659DB" w:rsidP="001659DB">
      <w:r>
        <w:rPr>
          <w:lang w:eastAsia="en-US"/>
        </w:rPr>
        <w:t>The mid-point survey was analysed using descriptive statistics to provide an insight into the views and experiences of the key stakeholders involved in the scheme. When we found differences in the perspectives of different groups of stakeholders and providers these were identified in the mid-point report. It is important to note however, that these are emergent patterns in the data. The sample sizes for some of the different stakeholder groups were sometimes too small to support a statistical analysis. The key purpose of the mid-point survey however, was to understand the experience of the sector and provide formative feedback</w:t>
      </w:r>
      <w:r w:rsidRPr="00B86903">
        <w:rPr>
          <w:lang w:eastAsia="en-US"/>
        </w:rPr>
        <w:t xml:space="preserve"> </w:t>
      </w:r>
      <w:r>
        <w:rPr>
          <w:lang w:eastAsia="en-US"/>
        </w:rPr>
        <w:t>rather than identifying differences between specific groups.</w:t>
      </w:r>
    </w:p>
    <w:p w14:paraId="3E4DAFD7" w14:textId="77777777" w:rsidR="001659DB" w:rsidRDefault="001659DB" w:rsidP="001659DB">
      <w:pPr>
        <w:pStyle w:val="Heading2"/>
      </w:pPr>
      <w:bookmarkStart w:id="60" w:name="_Toc415657699"/>
      <w:r>
        <w:t>Site Visits</w:t>
      </w:r>
      <w:bookmarkEnd w:id="60"/>
    </w:p>
    <w:p w14:paraId="455F9B47" w14:textId="77777777" w:rsidR="001659DB" w:rsidRDefault="001659DB" w:rsidP="001659DB">
      <w:r>
        <w:t xml:space="preserve">Site visits were conducted with five of the 48 practices involved in the employment scheme. These sites were purposefully selected in consultation with the </w:t>
      </w:r>
      <w:proofErr w:type="spellStart"/>
      <w:r>
        <w:t>MoH</w:t>
      </w:r>
      <w:proofErr w:type="spellEnd"/>
      <w:r>
        <w:t xml:space="preserve"> using information from the practice profiling </w:t>
      </w:r>
      <w:r w:rsidR="002905E7">
        <w:t>and the</w:t>
      </w:r>
      <w:r>
        <w:t xml:space="preserve"> mid-point survey. Practices were selected to ensure a variety in:</w:t>
      </w:r>
    </w:p>
    <w:p w14:paraId="7FD4DA44" w14:textId="77777777" w:rsidR="001659DB" w:rsidRDefault="001659DB" w:rsidP="001659DB">
      <w:pPr>
        <w:pStyle w:val="ListParagraph"/>
        <w:numPr>
          <w:ilvl w:val="0"/>
          <w:numId w:val="6"/>
        </w:numPr>
      </w:pPr>
      <w:r>
        <w:t>Māori practices and PHOs</w:t>
      </w:r>
    </w:p>
    <w:p w14:paraId="23C65CFD" w14:textId="77777777" w:rsidR="001659DB" w:rsidRDefault="001659DB" w:rsidP="001659DB">
      <w:pPr>
        <w:pStyle w:val="ListParagraph"/>
        <w:numPr>
          <w:ilvl w:val="0"/>
          <w:numId w:val="6"/>
        </w:numPr>
      </w:pPr>
      <w:r>
        <w:t>Geographic location</w:t>
      </w:r>
    </w:p>
    <w:p w14:paraId="0BEA1A2C" w14:textId="77777777" w:rsidR="001659DB" w:rsidRDefault="001659DB" w:rsidP="001659DB">
      <w:pPr>
        <w:pStyle w:val="ListParagraph"/>
        <w:numPr>
          <w:ilvl w:val="0"/>
          <w:numId w:val="6"/>
        </w:numPr>
      </w:pPr>
      <w:r>
        <w:t>Urban or rural locations</w:t>
      </w:r>
    </w:p>
    <w:p w14:paraId="2EFACFAB" w14:textId="77777777" w:rsidR="00256C3C" w:rsidRDefault="001659DB" w:rsidP="001659DB">
      <w:pPr>
        <w:pStyle w:val="ListParagraph"/>
        <w:numPr>
          <w:ilvl w:val="0"/>
          <w:numId w:val="6"/>
        </w:numPr>
      </w:pPr>
      <w:r>
        <w:t>Previous experience with NGNs</w:t>
      </w:r>
    </w:p>
    <w:p w14:paraId="66FDAA1C" w14:textId="77777777" w:rsidR="001659DB" w:rsidRDefault="001659DB" w:rsidP="001659DB">
      <w:pPr>
        <w:pStyle w:val="ListParagraph"/>
        <w:numPr>
          <w:ilvl w:val="0"/>
          <w:numId w:val="6"/>
        </w:numPr>
      </w:pPr>
      <w:r>
        <w:t>Level of success in initial implementation</w:t>
      </w:r>
    </w:p>
    <w:p w14:paraId="2C73EFF4" w14:textId="77777777" w:rsidR="001659DB" w:rsidRDefault="001659DB" w:rsidP="001659DB">
      <w:r>
        <w:t xml:space="preserve">Practices were contacted directly by the evaluation team to invite them to participate in the site visits. This was initially done via email and then followed up with a phone call. </w:t>
      </w:r>
      <w:r w:rsidR="009B410D">
        <w:fldChar w:fldCharType="begin"/>
      </w:r>
      <w:r>
        <w:instrText xml:space="preserve"> REF _Ref414958066 \h </w:instrText>
      </w:r>
      <w:r w:rsidR="009B410D">
        <w:fldChar w:fldCharType="separate"/>
      </w:r>
      <w:r w:rsidR="00307EAC">
        <w:t xml:space="preserve">Table </w:t>
      </w:r>
      <w:r w:rsidR="00307EAC">
        <w:rPr>
          <w:noProof/>
        </w:rPr>
        <w:t>1</w:t>
      </w:r>
      <w:r w:rsidR="009B410D">
        <w:fldChar w:fldCharType="end"/>
      </w:r>
      <w:r>
        <w:t xml:space="preserve"> identifies the </w:t>
      </w:r>
      <w:r w:rsidR="00322B12">
        <w:t xml:space="preserve">key </w:t>
      </w:r>
      <w:r>
        <w:t>characteristics of the five sites.</w:t>
      </w:r>
    </w:p>
    <w:p w14:paraId="76C9402D" w14:textId="77777777" w:rsidR="000F387B" w:rsidRDefault="000F387B" w:rsidP="001659DB"/>
    <w:p w14:paraId="21AFE4B4" w14:textId="77777777" w:rsidR="001659DB" w:rsidRDefault="001659DB" w:rsidP="001659DB">
      <w:pPr>
        <w:pStyle w:val="Caption"/>
        <w:keepNext/>
      </w:pPr>
      <w:bookmarkStart w:id="61" w:name="_Ref414958066"/>
      <w:r>
        <w:lastRenderedPageBreak/>
        <w:t xml:space="preserve">Table </w:t>
      </w:r>
      <w:r w:rsidR="009B410D">
        <w:fldChar w:fldCharType="begin"/>
      </w:r>
      <w:r w:rsidR="007801DA">
        <w:instrText xml:space="preserve"> SEQ Table \* ARABIC </w:instrText>
      </w:r>
      <w:r w:rsidR="009B410D">
        <w:fldChar w:fldCharType="separate"/>
      </w:r>
      <w:r w:rsidR="00307EAC">
        <w:rPr>
          <w:noProof/>
        </w:rPr>
        <w:t>1</w:t>
      </w:r>
      <w:r w:rsidR="009B410D">
        <w:rPr>
          <w:noProof/>
        </w:rPr>
        <w:fldChar w:fldCharType="end"/>
      </w:r>
      <w:bookmarkEnd w:id="61"/>
      <w:r>
        <w:t>: Practices selected or site visits</w:t>
      </w:r>
    </w:p>
    <w:tbl>
      <w:tblPr>
        <w:tblW w:w="9356" w:type="dxa"/>
        <w:tblInd w:w="-10" w:type="dxa"/>
        <w:tblLook w:val="04A0" w:firstRow="1" w:lastRow="0" w:firstColumn="1" w:lastColumn="0" w:noHBand="0" w:noVBand="1"/>
      </w:tblPr>
      <w:tblGrid>
        <w:gridCol w:w="1276"/>
        <w:gridCol w:w="1701"/>
        <w:gridCol w:w="1843"/>
        <w:gridCol w:w="1471"/>
        <w:gridCol w:w="1506"/>
        <w:gridCol w:w="1559"/>
      </w:tblGrid>
      <w:tr w:rsidR="001659DB" w:rsidRPr="008533DB" w14:paraId="23B8B68D" w14:textId="77777777" w:rsidTr="00755CF3">
        <w:trPr>
          <w:cantSplit/>
          <w:trHeight w:val="915"/>
        </w:trPr>
        <w:tc>
          <w:tcPr>
            <w:tcW w:w="1276" w:type="dxa"/>
            <w:tcBorders>
              <w:top w:val="single" w:sz="8" w:space="0" w:color="41AEBD"/>
              <w:left w:val="single" w:sz="8" w:space="0" w:color="41AEBD"/>
              <w:bottom w:val="single" w:sz="8" w:space="0" w:color="41AEBD"/>
              <w:right w:val="nil"/>
            </w:tcBorders>
            <w:shd w:val="clear" w:color="000000" w:fill="41AEBD"/>
            <w:vAlign w:val="center"/>
            <w:hideMark/>
          </w:tcPr>
          <w:p w14:paraId="73E585A9" w14:textId="77777777" w:rsidR="001659DB" w:rsidRPr="008533DB" w:rsidRDefault="001659DB" w:rsidP="00755CF3">
            <w:pPr>
              <w:spacing w:after="0" w:line="240" w:lineRule="auto"/>
              <w:rPr>
                <w:b/>
                <w:bCs/>
                <w:color w:val="FFFFFF"/>
                <w:szCs w:val="22"/>
              </w:rPr>
            </w:pPr>
            <w:r w:rsidRPr="008533DB">
              <w:rPr>
                <w:b/>
                <w:bCs/>
                <w:color w:val="FFFFFF"/>
                <w:szCs w:val="22"/>
              </w:rPr>
              <w:t>Practice</w:t>
            </w:r>
          </w:p>
        </w:tc>
        <w:tc>
          <w:tcPr>
            <w:tcW w:w="1701" w:type="dxa"/>
            <w:tcBorders>
              <w:top w:val="single" w:sz="8" w:space="0" w:color="41AEBD"/>
              <w:left w:val="nil"/>
              <w:bottom w:val="single" w:sz="8" w:space="0" w:color="41AEBD"/>
              <w:right w:val="nil"/>
            </w:tcBorders>
            <w:shd w:val="clear" w:color="000000" w:fill="41AEBD"/>
            <w:vAlign w:val="center"/>
            <w:hideMark/>
          </w:tcPr>
          <w:p w14:paraId="47458E0B" w14:textId="77777777" w:rsidR="001659DB" w:rsidRPr="008533DB" w:rsidRDefault="001659DB" w:rsidP="00755CF3">
            <w:pPr>
              <w:spacing w:after="0" w:line="240" w:lineRule="auto"/>
              <w:rPr>
                <w:b/>
                <w:bCs/>
                <w:color w:val="FFFFFF"/>
                <w:szCs w:val="22"/>
              </w:rPr>
            </w:pPr>
            <w:r>
              <w:rPr>
                <w:b/>
                <w:bCs/>
                <w:color w:val="FFFFFF"/>
                <w:szCs w:val="22"/>
              </w:rPr>
              <w:t>Māori</w:t>
            </w:r>
            <w:r w:rsidRPr="008533DB">
              <w:rPr>
                <w:b/>
                <w:bCs/>
                <w:color w:val="FFFFFF"/>
                <w:szCs w:val="22"/>
              </w:rPr>
              <w:t xml:space="preserve"> </w:t>
            </w:r>
            <w:r>
              <w:rPr>
                <w:b/>
                <w:bCs/>
                <w:color w:val="FFFFFF"/>
                <w:szCs w:val="22"/>
              </w:rPr>
              <w:t>provider or PHO</w:t>
            </w:r>
          </w:p>
        </w:tc>
        <w:tc>
          <w:tcPr>
            <w:tcW w:w="1843" w:type="dxa"/>
            <w:tcBorders>
              <w:top w:val="single" w:sz="8" w:space="0" w:color="41AEBD"/>
              <w:left w:val="nil"/>
              <w:bottom w:val="single" w:sz="8" w:space="0" w:color="41AEBD"/>
              <w:right w:val="nil"/>
            </w:tcBorders>
            <w:shd w:val="clear" w:color="000000" w:fill="41AEBD"/>
            <w:vAlign w:val="center"/>
            <w:hideMark/>
          </w:tcPr>
          <w:p w14:paraId="52671A54" w14:textId="77777777" w:rsidR="001659DB" w:rsidRPr="008533DB" w:rsidRDefault="001659DB" w:rsidP="00755CF3">
            <w:pPr>
              <w:spacing w:after="0" w:line="240" w:lineRule="auto"/>
              <w:rPr>
                <w:b/>
                <w:bCs/>
                <w:color w:val="FFFFFF"/>
                <w:szCs w:val="22"/>
              </w:rPr>
            </w:pPr>
            <w:r w:rsidRPr="008533DB">
              <w:rPr>
                <w:b/>
                <w:bCs/>
                <w:color w:val="FFFFFF"/>
                <w:szCs w:val="22"/>
              </w:rPr>
              <w:t>Location</w:t>
            </w:r>
          </w:p>
        </w:tc>
        <w:tc>
          <w:tcPr>
            <w:tcW w:w="1471" w:type="dxa"/>
            <w:tcBorders>
              <w:top w:val="single" w:sz="8" w:space="0" w:color="41AEBD"/>
              <w:left w:val="nil"/>
              <w:bottom w:val="single" w:sz="8" w:space="0" w:color="41AEBD"/>
              <w:right w:val="nil"/>
            </w:tcBorders>
            <w:shd w:val="clear" w:color="000000" w:fill="41AEBD"/>
            <w:vAlign w:val="center"/>
            <w:hideMark/>
          </w:tcPr>
          <w:p w14:paraId="5869FCA7" w14:textId="77777777" w:rsidR="001659DB" w:rsidRPr="008533DB" w:rsidRDefault="001659DB" w:rsidP="00755CF3">
            <w:pPr>
              <w:spacing w:after="0" w:line="240" w:lineRule="auto"/>
              <w:rPr>
                <w:b/>
                <w:bCs/>
                <w:color w:val="FFFFFF"/>
                <w:szCs w:val="22"/>
              </w:rPr>
            </w:pPr>
            <w:r w:rsidRPr="008533DB">
              <w:rPr>
                <w:b/>
                <w:bCs/>
                <w:color w:val="FFFFFF"/>
                <w:szCs w:val="22"/>
              </w:rPr>
              <w:t>Previous experience</w:t>
            </w:r>
            <w:r>
              <w:rPr>
                <w:b/>
                <w:bCs/>
                <w:color w:val="FFFFFF"/>
                <w:szCs w:val="22"/>
              </w:rPr>
              <w:t xml:space="preserve"> with </w:t>
            </w:r>
            <w:r w:rsidR="00E62B10">
              <w:rPr>
                <w:b/>
                <w:bCs/>
                <w:color w:val="FFFFFF"/>
                <w:szCs w:val="22"/>
              </w:rPr>
              <w:t>a NGN</w:t>
            </w:r>
          </w:p>
        </w:tc>
        <w:tc>
          <w:tcPr>
            <w:tcW w:w="1506" w:type="dxa"/>
            <w:tcBorders>
              <w:top w:val="single" w:sz="8" w:space="0" w:color="41AEBD"/>
              <w:left w:val="nil"/>
              <w:bottom w:val="single" w:sz="8" w:space="0" w:color="41AEBD"/>
              <w:right w:val="single" w:sz="8" w:space="0" w:color="41AEBD"/>
            </w:tcBorders>
            <w:shd w:val="clear" w:color="000000" w:fill="41AEBD"/>
            <w:vAlign w:val="center"/>
            <w:hideMark/>
          </w:tcPr>
          <w:p w14:paraId="750E8156" w14:textId="77777777" w:rsidR="001659DB" w:rsidRPr="008533DB" w:rsidRDefault="001659DB" w:rsidP="00755CF3">
            <w:pPr>
              <w:spacing w:after="0" w:line="240" w:lineRule="auto"/>
              <w:rPr>
                <w:b/>
                <w:bCs/>
                <w:color w:val="FFFFFF"/>
                <w:szCs w:val="22"/>
              </w:rPr>
            </w:pPr>
            <w:r w:rsidRPr="008533DB">
              <w:rPr>
                <w:b/>
                <w:bCs/>
                <w:color w:val="FFFFFF"/>
                <w:szCs w:val="22"/>
              </w:rPr>
              <w:t>Perceived level of NGN support</w:t>
            </w:r>
          </w:p>
        </w:tc>
        <w:tc>
          <w:tcPr>
            <w:tcW w:w="1559" w:type="dxa"/>
            <w:tcBorders>
              <w:top w:val="single" w:sz="4" w:space="0" w:color="8EA9DB"/>
              <w:left w:val="nil"/>
              <w:bottom w:val="single" w:sz="4" w:space="0" w:color="8EA9DB"/>
              <w:right w:val="single" w:sz="4" w:space="0" w:color="8EA9DB"/>
            </w:tcBorders>
            <w:shd w:val="clear" w:color="000000" w:fill="41AEBD"/>
            <w:vAlign w:val="center"/>
            <w:hideMark/>
          </w:tcPr>
          <w:p w14:paraId="4884A4F2" w14:textId="77777777" w:rsidR="001659DB" w:rsidRPr="008533DB" w:rsidRDefault="001659DB" w:rsidP="00755CF3">
            <w:pPr>
              <w:spacing w:after="0" w:line="240" w:lineRule="auto"/>
              <w:rPr>
                <w:b/>
                <w:bCs/>
                <w:color w:val="FFFFFF"/>
                <w:szCs w:val="22"/>
              </w:rPr>
            </w:pPr>
            <w:r w:rsidRPr="008533DB">
              <w:rPr>
                <w:b/>
                <w:bCs/>
                <w:color w:val="FFFFFF"/>
                <w:szCs w:val="22"/>
              </w:rPr>
              <w:t>Perceived impact on sustainability</w:t>
            </w:r>
          </w:p>
        </w:tc>
      </w:tr>
      <w:tr w:rsidR="001659DB" w:rsidRPr="008533DB" w14:paraId="4D9E7310" w14:textId="77777777" w:rsidTr="00755CF3">
        <w:trPr>
          <w:cantSplit/>
          <w:trHeight w:val="1215"/>
        </w:trPr>
        <w:tc>
          <w:tcPr>
            <w:tcW w:w="1276" w:type="dxa"/>
            <w:tcBorders>
              <w:top w:val="single" w:sz="4" w:space="0" w:color="8EA9DB"/>
              <w:left w:val="single" w:sz="8" w:space="0" w:color="8CCED7"/>
              <w:bottom w:val="single" w:sz="8" w:space="0" w:color="8CCED7"/>
              <w:right w:val="single" w:sz="8" w:space="0" w:color="8CCED7"/>
            </w:tcBorders>
            <w:shd w:val="clear" w:color="000000" w:fill="D8EEF2"/>
            <w:vAlign w:val="center"/>
            <w:hideMark/>
          </w:tcPr>
          <w:p w14:paraId="00400283" w14:textId="77777777" w:rsidR="001659DB" w:rsidRPr="008533DB" w:rsidRDefault="001659DB" w:rsidP="00755CF3">
            <w:pPr>
              <w:spacing w:after="0" w:line="240" w:lineRule="auto"/>
              <w:rPr>
                <w:b/>
                <w:bCs/>
                <w:color w:val="000000"/>
                <w:szCs w:val="22"/>
              </w:rPr>
            </w:pPr>
            <w:r w:rsidRPr="008533DB">
              <w:rPr>
                <w:b/>
                <w:bCs/>
                <w:color w:val="000000"/>
                <w:szCs w:val="22"/>
              </w:rPr>
              <w:t>Practice A</w:t>
            </w:r>
          </w:p>
        </w:tc>
        <w:tc>
          <w:tcPr>
            <w:tcW w:w="1701" w:type="dxa"/>
            <w:tcBorders>
              <w:top w:val="single" w:sz="4" w:space="0" w:color="8EA9DB"/>
              <w:left w:val="nil"/>
              <w:bottom w:val="single" w:sz="8" w:space="0" w:color="8CCED7"/>
              <w:right w:val="single" w:sz="8" w:space="0" w:color="8CCED7"/>
            </w:tcBorders>
            <w:shd w:val="clear" w:color="000000" w:fill="D8EEF2"/>
            <w:vAlign w:val="center"/>
            <w:hideMark/>
          </w:tcPr>
          <w:p w14:paraId="32AD136A" w14:textId="7D6DAB24" w:rsidR="001659DB" w:rsidRPr="008533DB" w:rsidRDefault="001659DB" w:rsidP="009B7653">
            <w:pPr>
              <w:spacing w:after="0" w:line="240" w:lineRule="auto"/>
              <w:rPr>
                <w:color w:val="000000"/>
                <w:szCs w:val="22"/>
              </w:rPr>
            </w:pPr>
            <w:r>
              <w:rPr>
                <w:color w:val="000000"/>
                <w:szCs w:val="22"/>
              </w:rPr>
              <w:t>Māori</w:t>
            </w:r>
            <w:r w:rsidRPr="008533DB">
              <w:rPr>
                <w:color w:val="000000"/>
                <w:szCs w:val="22"/>
              </w:rPr>
              <w:t xml:space="preserve"> </w:t>
            </w:r>
            <w:r w:rsidR="009B7653">
              <w:rPr>
                <w:color w:val="000000"/>
                <w:szCs w:val="22"/>
              </w:rPr>
              <w:t>provider</w:t>
            </w:r>
            <w:r w:rsidRPr="008533DB">
              <w:rPr>
                <w:color w:val="000000"/>
                <w:szCs w:val="22"/>
              </w:rPr>
              <w:t xml:space="preserve"> and </w:t>
            </w:r>
            <w:r>
              <w:rPr>
                <w:color w:val="000000"/>
                <w:szCs w:val="22"/>
              </w:rPr>
              <w:t>Māori</w:t>
            </w:r>
            <w:r w:rsidRPr="008533DB">
              <w:rPr>
                <w:color w:val="000000"/>
                <w:szCs w:val="22"/>
              </w:rPr>
              <w:t xml:space="preserve"> PHO.</w:t>
            </w:r>
          </w:p>
        </w:tc>
        <w:tc>
          <w:tcPr>
            <w:tcW w:w="1843" w:type="dxa"/>
            <w:tcBorders>
              <w:top w:val="single" w:sz="4" w:space="0" w:color="8EA9DB"/>
              <w:left w:val="nil"/>
              <w:bottom w:val="single" w:sz="8" w:space="0" w:color="8CCED7"/>
              <w:right w:val="single" w:sz="8" w:space="0" w:color="8CCED7"/>
            </w:tcBorders>
            <w:shd w:val="clear" w:color="000000" w:fill="D8EEF2"/>
            <w:vAlign w:val="center"/>
            <w:hideMark/>
          </w:tcPr>
          <w:p w14:paraId="34CE8959" w14:textId="77777777" w:rsidR="001659DB" w:rsidRPr="008533DB" w:rsidRDefault="001659DB" w:rsidP="00755CF3">
            <w:pPr>
              <w:spacing w:after="0" w:line="240" w:lineRule="auto"/>
              <w:rPr>
                <w:color w:val="000000"/>
                <w:szCs w:val="22"/>
              </w:rPr>
            </w:pPr>
            <w:r w:rsidRPr="008533DB">
              <w:rPr>
                <w:color w:val="000000"/>
                <w:szCs w:val="22"/>
              </w:rPr>
              <w:t>A small urban practice in the eastern North Island.</w:t>
            </w:r>
          </w:p>
        </w:tc>
        <w:tc>
          <w:tcPr>
            <w:tcW w:w="1471" w:type="dxa"/>
            <w:tcBorders>
              <w:top w:val="single" w:sz="4" w:space="0" w:color="8EA9DB"/>
              <w:left w:val="nil"/>
              <w:bottom w:val="single" w:sz="8" w:space="0" w:color="8CCED7"/>
              <w:right w:val="single" w:sz="8" w:space="0" w:color="8CCED7"/>
            </w:tcBorders>
            <w:shd w:val="clear" w:color="000000" w:fill="D8EEF2"/>
            <w:vAlign w:val="center"/>
            <w:hideMark/>
          </w:tcPr>
          <w:p w14:paraId="7277FA43" w14:textId="77777777" w:rsidR="001659DB" w:rsidRPr="008533DB" w:rsidRDefault="001659DB" w:rsidP="00755CF3">
            <w:pPr>
              <w:spacing w:after="0" w:line="240" w:lineRule="auto"/>
              <w:rPr>
                <w:color w:val="000000"/>
                <w:szCs w:val="22"/>
              </w:rPr>
            </w:pPr>
            <w:r>
              <w:rPr>
                <w:color w:val="000000"/>
                <w:szCs w:val="22"/>
              </w:rPr>
              <w:t>Yes</w:t>
            </w:r>
            <w:r w:rsidRPr="008533DB">
              <w:rPr>
                <w:color w:val="000000"/>
                <w:szCs w:val="22"/>
              </w:rPr>
              <w:t>.</w:t>
            </w:r>
          </w:p>
        </w:tc>
        <w:tc>
          <w:tcPr>
            <w:tcW w:w="1506" w:type="dxa"/>
            <w:tcBorders>
              <w:top w:val="single" w:sz="4" w:space="0" w:color="8EA9DB"/>
              <w:left w:val="nil"/>
              <w:bottom w:val="single" w:sz="8" w:space="0" w:color="8CCED7"/>
              <w:right w:val="single" w:sz="8" w:space="0" w:color="8CCED7"/>
            </w:tcBorders>
            <w:shd w:val="clear" w:color="000000" w:fill="D8EEF2"/>
            <w:vAlign w:val="center"/>
            <w:hideMark/>
          </w:tcPr>
          <w:p w14:paraId="7FC8E1DC" w14:textId="77777777" w:rsidR="001659DB" w:rsidRPr="008533DB" w:rsidRDefault="001659DB" w:rsidP="00755CF3">
            <w:pPr>
              <w:spacing w:after="0" w:line="240" w:lineRule="auto"/>
              <w:rPr>
                <w:color w:val="000000"/>
                <w:szCs w:val="22"/>
              </w:rPr>
            </w:pPr>
            <w:r w:rsidRPr="008533DB">
              <w:rPr>
                <w:color w:val="000000"/>
                <w:szCs w:val="22"/>
              </w:rPr>
              <w:t>Medium</w:t>
            </w:r>
          </w:p>
        </w:tc>
        <w:tc>
          <w:tcPr>
            <w:tcW w:w="1559" w:type="dxa"/>
            <w:tcBorders>
              <w:top w:val="single" w:sz="4" w:space="0" w:color="8EA9DB"/>
              <w:left w:val="nil"/>
              <w:bottom w:val="single" w:sz="4" w:space="0" w:color="8EA9DB"/>
              <w:right w:val="single" w:sz="8" w:space="0" w:color="8CCED7"/>
            </w:tcBorders>
            <w:shd w:val="clear" w:color="000000" w:fill="D8EEF2"/>
            <w:vAlign w:val="center"/>
            <w:hideMark/>
          </w:tcPr>
          <w:p w14:paraId="588DA922" w14:textId="77777777" w:rsidR="001659DB" w:rsidRPr="008533DB" w:rsidRDefault="001659DB" w:rsidP="00755CF3">
            <w:pPr>
              <w:spacing w:after="0" w:line="240" w:lineRule="auto"/>
              <w:rPr>
                <w:color w:val="000000"/>
                <w:szCs w:val="22"/>
              </w:rPr>
            </w:pPr>
            <w:r w:rsidRPr="008533DB">
              <w:rPr>
                <w:color w:val="000000"/>
                <w:szCs w:val="22"/>
              </w:rPr>
              <w:t>Medium</w:t>
            </w:r>
          </w:p>
        </w:tc>
      </w:tr>
      <w:tr w:rsidR="001659DB" w:rsidRPr="008533DB" w14:paraId="1C9212FD" w14:textId="77777777" w:rsidTr="00755CF3">
        <w:trPr>
          <w:cantSplit/>
          <w:trHeight w:val="1215"/>
        </w:trPr>
        <w:tc>
          <w:tcPr>
            <w:tcW w:w="1276" w:type="dxa"/>
            <w:tcBorders>
              <w:top w:val="single" w:sz="4" w:space="0" w:color="8EA9DB"/>
              <w:left w:val="single" w:sz="8" w:space="0" w:color="8CCED7"/>
              <w:bottom w:val="single" w:sz="8" w:space="0" w:color="8CCED7"/>
              <w:right w:val="single" w:sz="8" w:space="0" w:color="8CCED7"/>
            </w:tcBorders>
            <w:shd w:val="clear" w:color="auto" w:fill="auto"/>
            <w:vAlign w:val="center"/>
            <w:hideMark/>
          </w:tcPr>
          <w:p w14:paraId="52B1145D" w14:textId="77777777" w:rsidR="001659DB" w:rsidRPr="008533DB" w:rsidRDefault="001659DB" w:rsidP="00755CF3">
            <w:pPr>
              <w:spacing w:after="0" w:line="240" w:lineRule="auto"/>
              <w:rPr>
                <w:b/>
                <w:bCs/>
                <w:color w:val="000000"/>
                <w:szCs w:val="22"/>
              </w:rPr>
            </w:pPr>
            <w:r w:rsidRPr="008533DB">
              <w:rPr>
                <w:b/>
                <w:bCs/>
                <w:color w:val="000000"/>
                <w:szCs w:val="22"/>
              </w:rPr>
              <w:t>Practice B</w:t>
            </w:r>
          </w:p>
        </w:tc>
        <w:tc>
          <w:tcPr>
            <w:tcW w:w="1701" w:type="dxa"/>
            <w:tcBorders>
              <w:top w:val="single" w:sz="4" w:space="0" w:color="8EA9DB"/>
              <w:left w:val="nil"/>
              <w:bottom w:val="single" w:sz="8" w:space="0" w:color="8CCED7"/>
              <w:right w:val="single" w:sz="8" w:space="0" w:color="8CCED7"/>
            </w:tcBorders>
            <w:shd w:val="clear" w:color="auto" w:fill="auto"/>
            <w:vAlign w:val="center"/>
            <w:hideMark/>
          </w:tcPr>
          <w:p w14:paraId="6E670EAC" w14:textId="77777777" w:rsidR="001659DB" w:rsidRPr="008533DB" w:rsidRDefault="001659DB" w:rsidP="00755CF3">
            <w:pPr>
              <w:spacing w:after="0" w:line="240" w:lineRule="auto"/>
              <w:rPr>
                <w:color w:val="000000"/>
                <w:szCs w:val="22"/>
              </w:rPr>
            </w:pPr>
            <w:r w:rsidRPr="008533DB">
              <w:rPr>
                <w:color w:val="000000"/>
                <w:szCs w:val="22"/>
              </w:rPr>
              <w:t>Non-</w:t>
            </w:r>
            <w:r>
              <w:rPr>
                <w:color w:val="000000"/>
                <w:szCs w:val="22"/>
              </w:rPr>
              <w:t>Māori</w:t>
            </w:r>
            <w:r w:rsidRPr="008533DB">
              <w:rPr>
                <w:color w:val="000000"/>
                <w:szCs w:val="22"/>
              </w:rPr>
              <w:t xml:space="preserve"> provider and PHO.</w:t>
            </w:r>
          </w:p>
        </w:tc>
        <w:tc>
          <w:tcPr>
            <w:tcW w:w="1843" w:type="dxa"/>
            <w:tcBorders>
              <w:top w:val="single" w:sz="4" w:space="0" w:color="8EA9DB"/>
              <w:left w:val="nil"/>
              <w:bottom w:val="single" w:sz="8" w:space="0" w:color="8CCED7"/>
              <w:right w:val="single" w:sz="8" w:space="0" w:color="8CCED7"/>
            </w:tcBorders>
            <w:shd w:val="clear" w:color="auto" w:fill="auto"/>
            <w:vAlign w:val="center"/>
            <w:hideMark/>
          </w:tcPr>
          <w:p w14:paraId="02AAC2FE" w14:textId="77777777" w:rsidR="001659DB" w:rsidRPr="008533DB" w:rsidRDefault="001659DB" w:rsidP="00755CF3">
            <w:pPr>
              <w:spacing w:after="0" w:line="240" w:lineRule="auto"/>
              <w:rPr>
                <w:color w:val="000000"/>
                <w:szCs w:val="22"/>
              </w:rPr>
            </w:pPr>
            <w:r w:rsidRPr="008533DB">
              <w:rPr>
                <w:color w:val="000000"/>
                <w:szCs w:val="22"/>
              </w:rPr>
              <w:t>A large urban practice in the Auckland region.</w:t>
            </w:r>
          </w:p>
        </w:tc>
        <w:tc>
          <w:tcPr>
            <w:tcW w:w="1471" w:type="dxa"/>
            <w:tcBorders>
              <w:top w:val="single" w:sz="4" w:space="0" w:color="8EA9DB"/>
              <w:left w:val="nil"/>
              <w:bottom w:val="single" w:sz="8" w:space="0" w:color="8CCED7"/>
              <w:right w:val="single" w:sz="8" w:space="0" w:color="8CCED7"/>
            </w:tcBorders>
            <w:shd w:val="clear" w:color="auto" w:fill="auto"/>
            <w:vAlign w:val="center"/>
            <w:hideMark/>
          </w:tcPr>
          <w:p w14:paraId="6C0729F7" w14:textId="77777777" w:rsidR="001659DB" w:rsidRPr="008533DB" w:rsidRDefault="001659DB" w:rsidP="00755CF3">
            <w:pPr>
              <w:spacing w:after="0" w:line="240" w:lineRule="auto"/>
              <w:rPr>
                <w:color w:val="000000"/>
                <w:szCs w:val="22"/>
              </w:rPr>
            </w:pPr>
            <w:r>
              <w:rPr>
                <w:color w:val="000000"/>
                <w:szCs w:val="22"/>
              </w:rPr>
              <w:t>Yes – highly experienced</w:t>
            </w:r>
          </w:p>
        </w:tc>
        <w:tc>
          <w:tcPr>
            <w:tcW w:w="1506" w:type="dxa"/>
            <w:tcBorders>
              <w:top w:val="single" w:sz="4" w:space="0" w:color="8EA9DB"/>
              <w:left w:val="nil"/>
              <w:bottom w:val="single" w:sz="8" w:space="0" w:color="8CCED7"/>
              <w:right w:val="single" w:sz="8" w:space="0" w:color="8CCED7"/>
            </w:tcBorders>
            <w:shd w:val="clear" w:color="auto" w:fill="auto"/>
            <w:vAlign w:val="center"/>
            <w:hideMark/>
          </w:tcPr>
          <w:p w14:paraId="69E1E290" w14:textId="77777777" w:rsidR="001659DB" w:rsidRPr="008533DB" w:rsidRDefault="001659DB" w:rsidP="00755CF3">
            <w:pPr>
              <w:spacing w:after="0" w:line="240" w:lineRule="auto"/>
              <w:rPr>
                <w:color w:val="000000"/>
                <w:szCs w:val="22"/>
              </w:rPr>
            </w:pPr>
            <w:r w:rsidRPr="008533DB">
              <w:rPr>
                <w:color w:val="000000"/>
                <w:szCs w:val="22"/>
              </w:rPr>
              <w:t>High</w:t>
            </w:r>
          </w:p>
        </w:tc>
        <w:tc>
          <w:tcPr>
            <w:tcW w:w="1559" w:type="dxa"/>
            <w:tcBorders>
              <w:top w:val="single" w:sz="4" w:space="0" w:color="8EA9DB"/>
              <w:left w:val="nil"/>
              <w:bottom w:val="single" w:sz="4" w:space="0" w:color="8EA9DB"/>
              <w:right w:val="single" w:sz="8" w:space="0" w:color="8CCED7"/>
            </w:tcBorders>
            <w:shd w:val="clear" w:color="auto" w:fill="auto"/>
            <w:vAlign w:val="center"/>
            <w:hideMark/>
          </w:tcPr>
          <w:p w14:paraId="19BDAC92" w14:textId="77777777" w:rsidR="001659DB" w:rsidRPr="008533DB" w:rsidRDefault="001659DB" w:rsidP="00755CF3">
            <w:pPr>
              <w:spacing w:after="0" w:line="240" w:lineRule="auto"/>
              <w:rPr>
                <w:color w:val="000000"/>
                <w:szCs w:val="22"/>
              </w:rPr>
            </w:pPr>
            <w:r w:rsidRPr="008533DB">
              <w:rPr>
                <w:color w:val="000000"/>
                <w:szCs w:val="22"/>
              </w:rPr>
              <w:t>Medium</w:t>
            </w:r>
          </w:p>
        </w:tc>
      </w:tr>
      <w:tr w:rsidR="001659DB" w:rsidRPr="008533DB" w14:paraId="58098EB2" w14:textId="77777777" w:rsidTr="00755CF3">
        <w:trPr>
          <w:cantSplit/>
          <w:trHeight w:val="1515"/>
        </w:trPr>
        <w:tc>
          <w:tcPr>
            <w:tcW w:w="1276" w:type="dxa"/>
            <w:tcBorders>
              <w:top w:val="single" w:sz="4" w:space="0" w:color="8EA9DB"/>
              <w:left w:val="single" w:sz="8" w:space="0" w:color="8CCED7"/>
              <w:bottom w:val="single" w:sz="8" w:space="0" w:color="8CCED7"/>
              <w:right w:val="single" w:sz="8" w:space="0" w:color="8CCED7"/>
            </w:tcBorders>
            <w:shd w:val="clear" w:color="000000" w:fill="D8EEF2"/>
            <w:vAlign w:val="center"/>
            <w:hideMark/>
          </w:tcPr>
          <w:p w14:paraId="2AEF455C" w14:textId="77777777" w:rsidR="001659DB" w:rsidRPr="008533DB" w:rsidRDefault="001659DB" w:rsidP="00755CF3">
            <w:pPr>
              <w:spacing w:after="0" w:line="240" w:lineRule="auto"/>
              <w:rPr>
                <w:b/>
                <w:bCs/>
                <w:color w:val="000000"/>
                <w:szCs w:val="22"/>
              </w:rPr>
            </w:pPr>
            <w:r w:rsidRPr="008533DB">
              <w:rPr>
                <w:b/>
                <w:bCs/>
                <w:color w:val="000000"/>
                <w:szCs w:val="22"/>
              </w:rPr>
              <w:t>Practice C</w:t>
            </w:r>
          </w:p>
        </w:tc>
        <w:tc>
          <w:tcPr>
            <w:tcW w:w="1701" w:type="dxa"/>
            <w:tcBorders>
              <w:top w:val="single" w:sz="4" w:space="0" w:color="8EA9DB"/>
              <w:left w:val="nil"/>
              <w:bottom w:val="single" w:sz="8" w:space="0" w:color="8CCED7"/>
              <w:right w:val="single" w:sz="8" w:space="0" w:color="8CCED7"/>
            </w:tcBorders>
            <w:shd w:val="clear" w:color="000000" w:fill="D8EEF2"/>
            <w:vAlign w:val="center"/>
            <w:hideMark/>
          </w:tcPr>
          <w:p w14:paraId="38449EE8" w14:textId="77777777" w:rsidR="001659DB" w:rsidRPr="008533DB" w:rsidRDefault="001659DB" w:rsidP="00755CF3">
            <w:pPr>
              <w:spacing w:after="0" w:line="240" w:lineRule="auto"/>
              <w:rPr>
                <w:color w:val="000000"/>
                <w:szCs w:val="22"/>
              </w:rPr>
            </w:pPr>
            <w:r>
              <w:rPr>
                <w:color w:val="000000"/>
                <w:szCs w:val="22"/>
              </w:rPr>
              <w:t>Māori</w:t>
            </w:r>
            <w:r w:rsidRPr="008533DB">
              <w:rPr>
                <w:color w:val="000000"/>
                <w:szCs w:val="22"/>
              </w:rPr>
              <w:t xml:space="preserve"> provider with non-</w:t>
            </w:r>
            <w:r>
              <w:rPr>
                <w:color w:val="000000"/>
                <w:szCs w:val="22"/>
              </w:rPr>
              <w:t>Māori</w:t>
            </w:r>
            <w:r w:rsidRPr="008533DB">
              <w:rPr>
                <w:color w:val="000000"/>
                <w:szCs w:val="22"/>
              </w:rPr>
              <w:t xml:space="preserve"> PHO.</w:t>
            </w:r>
          </w:p>
        </w:tc>
        <w:tc>
          <w:tcPr>
            <w:tcW w:w="1843" w:type="dxa"/>
            <w:tcBorders>
              <w:top w:val="single" w:sz="4" w:space="0" w:color="8EA9DB"/>
              <w:left w:val="nil"/>
              <w:bottom w:val="single" w:sz="8" w:space="0" w:color="8CCED7"/>
              <w:right w:val="single" w:sz="8" w:space="0" w:color="8CCED7"/>
            </w:tcBorders>
            <w:shd w:val="clear" w:color="000000" w:fill="D8EEF2"/>
            <w:vAlign w:val="center"/>
            <w:hideMark/>
          </w:tcPr>
          <w:p w14:paraId="3B9104DF" w14:textId="77777777" w:rsidR="001659DB" w:rsidRPr="008533DB" w:rsidRDefault="001659DB" w:rsidP="00755CF3">
            <w:pPr>
              <w:spacing w:after="0" w:line="240" w:lineRule="auto"/>
              <w:rPr>
                <w:color w:val="000000"/>
                <w:szCs w:val="22"/>
              </w:rPr>
            </w:pPr>
            <w:r w:rsidRPr="008533DB">
              <w:rPr>
                <w:color w:val="000000"/>
                <w:szCs w:val="22"/>
              </w:rPr>
              <w:t>A small rural clinic in the upper North Island.</w:t>
            </w:r>
          </w:p>
        </w:tc>
        <w:tc>
          <w:tcPr>
            <w:tcW w:w="1471" w:type="dxa"/>
            <w:tcBorders>
              <w:top w:val="single" w:sz="4" w:space="0" w:color="8EA9DB"/>
              <w:left w:val="nil"/>
              <w:bottom w:val="single" w:sz="8" w:space="0" w:color="8CCED7"/>
              <w:right w:val="single" w:sz="8" w:space="0" w:color="8CCED7"/>
            </w:tcBorders>
            <w:shd w:val="clear" w:color="000000" w:fill="D8EEF2"/>
            <w:vAlign w:val="center"/>
            <w:hideMark/>
          </w:tcPr>
          <w:p w14:paraId="4574A9A4" w14:textId="77777777" w:rsidR="001659DB" w:rsidRPr="008533DB" w:rsidRDefault="001659DB" w:rsidP="00755CF3">
            <w:pPr>
              <w:spacing w:after="0" w:line="240" w:lineRule="auto"/>
              <w:rPr>
                <w:color w:val="000000"/>
                <w:szCs w:val="22"/>
              </w:rPr>
            </w:pPr>
            <w:r>
              <w:rPr>
                <w:color w:val="000000"/>
                <w:szCs w:val="22"/>
              </w:rPr>
              <w:t>No - Nursing students only</w:t>
            </w:r>
          </w:p>
        </w:tc>
        <w:tc>
          <w:tcPr>
            <w:tcW w:w="1506" w:type="dxa"/>
            <w:tcBorders>
              <w:top w:val="single" w:sz="4" w:space="0" w:color="8EA9DB"/>
              <w:left w:val="nil"/>
              <w:bottom w:val="single" w:sz="8" w:space="0" w:color="8CCED7"/>
              <w:right w:val="single" w:sz="8" w:space="0" w:color="8CCED7"/>
            </w:tcBorders>
            <w:shd w:val="clear" w:color="000000" w:fill="D8EEF2"/>
            <w:vAlign w:val="center"/>
            <w:hideMark/>
          </w:tcPr>
          <w:p w14:paraId="279CCF1F" w14:textId="77777777" w:rsidR="001659DB" w:rsidRPr="008533DB" w:rsidRDefault="001659DB" w:rsidP="00755CF3">
            <w:pPr>
              <w:spacing w:after="0" w:line="240" w:lineRule="auto"/>
              <w:rPr>
                <w:color w:val="000000"/>
                <w:szCs w:val="22"/>
              </w:rPr>
            </w:pPr>
            <w:r w:rsidRPr="008533DB">
              <w:rPr>
                <w:color w:val="000000"/>
                <w:szCs w:val="22"/>
              </w:rPr>
              <w:t>High</w:t>
            </w:r>
          </w:p>
        </w:tc>
        <w:tc>
          <w:tcPr>
            <w:tcW w:w="1559" w:type="dxa"/>
            <w:tcBorders>
              <w:top w:val="single" w:sz="4" w:space="0" w:color="8EA9DB"/>
              <w:left w:val="nil"/>
              <w:bottom w:val="single" w:sz="4" w:space="0" w:color="8EA9DB"/>
              <w:right w:val="single" w:sz="8" w:space="0" w:color="8CCED7"/>
            </w:tcBorders>
            <w:shd w:val="clear" w:color="000000" w:fill="D8EEF2"/>
            <w:vAlign w:val="center"/>
            <w:hideMark/>
          </w:tcPr>
          <w:p w14:paraId="45C2AA3C" w14:textId="77777777" w:rsidR="001659DB" w:rsidRPr="008533DB" w:rsidRDefault="001659DB" w:rsidP="00755CF3">
            <w:pPr>
              <w:spacing w:after="0" w:line="240" w:lineRule="auto"/>
              <w:rPr>
                <w:color w:val="000000"/>
                <w:szCs w:val="22"/>
              </w:rPr>
            </w:pPr>
            <w:r w:rsidRPr="008533DB">
              <w:rPr>
                <w:color w:val="000000"/>
                <w:szCs w:val="22"/>
              </w:rPr>
              <w:t>Low</w:t>
            </w:r>
          </w:p>
        </w:tc>
      </w:tr>
      <w:tr w:rsidR="001659DB" w:rsidRPr="008533DB" w14:paraId="0CC95E5A" w14:textId="77777777" w:rsidTr="00755CF3">
        <w:trPr>
          <w:cantSplit/>
          <w:trHeight w:val="1515"/>
        </w:trPr>
        <w:tc>
          <w:tcPr>
            <w:tcW w:w="1276" w:type="dxa"/>
            <w:tcBorders>
              <w:top w:val="single" w:sz="4" w:space="0" w:color="8EA9DB"/>
              <w:left w:val="single" w:sz="8" w:space="0" w:color="8CCED7"/>
              <w:bottom w:val="single" w:sz="8" w:space="0" w:color="8CCED7"/>
              <w:right w:val="single" w:sz="8" w:space="0" w:color="8CCED7"/>
            </w:tcBorders>
            <w:shd w:val="clear" w:color="auto" w:fill="auto"/>
            <w:vAlign w:val="center"/>
            <w:hideMark/>
          </w:tcPr>
          <w:p w14:paraId="01B426C6" w14:textId="77777777" w:rsidR="001659DB" w:rsidRPr="008533DB" w:rsidRDefault="001659DB" w:rsidP="00755CF3">
            <w:pPr>
              <w:spacing w:after="0" w:line="240" w:lineRule="auto"/>
              <w:rPr>
                <w:b/>
                <w:bCs/>
                <w:color w:val="000000"/>
                <w:szCs w:val="22"/>
              </w:rPr>
            </w:pPr>
            <w:r w:rsidRPr="008533DB">
              <w:rPr>
                <w:b/>
                <w:bCs/>
                <w:color w:val="000000"/>
                <w:szCs w:val="22"/>
              </w:rPr>
              <w:t>Practice D</w:t>
            </w:r>
          </w:p>
        </w:tc>
        <w:tc>
          <w:tcPr>
            <w:tcW w:w="1701" w:type="dxa"/>
            <w:tcBorders>
              <w:top w:val="single" w:sz="4" w:space="0" w:color="8EA9DB"/>
              <w:left w:val="nil"/>
              <w:bottom w:val="single" w:sz="8" w:space="0" w:color="8CCED7"/>
              <w:right w:val="single" w:sz="8" w:space="0" w:color="8CCED7"/>
            </w:tcBorders>
            <w:shd w:val="clear" w:color="auto" w:fill="auto"/>
            <w:vAlign w:val="center"/>
            <w:hideMark/>
          </w:tcPr>
          <w:p w14:paraId="774020D0" w14:textId="77777777" w:rsidR="001659DB" w:rsidRPr="008533DB" w:rsidRDefault="001659DB" w:rsidP="00755CF3">
            <w:pPr>
              <w:spacing w:after="0" w:line="240" w:lineRule="auto"/>
              <w:rPr>
                <w:color w:val="000000"/>
                <w:szCs w:val="22"/>
              </w:rPr>
            </w:pPr>
            <w:r w:rsidRPr="008533DB">
              <w:rPr>
                <w:color w:val="000000"/>
                <w:szCs w:val="22"/>
              </w:rPr>
              <w:t>Non-</w:t>
            </w:r>
            <w:r>
              <w:rPr>
                <w:color w:val="000000"/>
                <w:szCs w:val="22"/>
              </w:rPr>
              <w:t>Māori</w:t>
            </w:r>
            <w:r w:rsidRPr="008533DB">
              <w:rPr>
                <w:color w:val="000000"/>
                <w:szCs w:val="22"/>
              </w:rPr>
              <w:t xml:space="preserve"> provider and PHO.</w:t>
            </w:r>
          </w:p>
        </w:tc>
        <w:tc>
          <w:tcPr>
            <w:tcW w:w="1843" w:type="dxa"/>
            <w:tcBorders>
              <w:top w:val="single" w:sz="4" w:space="0" w:color="8EA9DB"/>
              <w:left w:val="nil"/>
              <w:bottom w:val="single" w:sz="8" w:space="0" w:color="8CCED7"/>
              <w:right w:val="single" w:sz="8" w:space="0" w:color="8CCED7"/>
            </w:tcBorders>
            <w:shd w:val="clear" w:color="auto" w:fill="auto"/>
            <w:vAlign w:val="center"/>
            <w:hideMark/>
          </w:tcPr>
          <w:p w14:paraId="7237D62E" w14:textId="77777777" w:rsidR="001659DB" w:rsidRPr="008533DB" w:rsidRDefault="001659DB" w:rsidP="00755CF3">
            <w:pPr>
              <w:spacing w:after="0" w:line="240" w:lineRule="auto"/>
              <w:rPr>
                <w:color w:val="000000"/>
                <w:szCs w:val="22"/>
              </w:rPr>
            </w:pPr>
            <w:r w:rsidRPr="008533DB">
              <w:rPr>
                <w:color w:val="000000"/>
                <w:szCs w:val="22"/>
              </w:rPr>
              <w:t>A small urban practice in the Auckland region.</w:t>
            </w:r>
          </w:p>
        </w:tc>
        <w:tc>
          <w:tcPr>
            <w:tcW w:w="1471" w:type="dxa"/>
            <w:tcBorders>
              <w:top w:val="single" w:sz="4" w:space="0" w:color="8EA9DB"/>
              <w:left w:val="nil"/>
              <w:bottom w:val="single" w:sz="8" w:space="0" w:color="8CCED7"/>
              <w:right w:val="single" w:sz="8" w:space="0" w:color="8CCED7"/>
            </w:tcBorders>
            <w:shd w:val="clear" w:color="auto" w:fill="auto"/>
            <w:vAlign w:val="center"/>
            <w:hideMark/>
          </w:tcPr>
          <w:p w14:paraId="632094FA" w14:textId="77777777" w:rsidR="001659DB" w:rsidRPr="008533DB" w:rsidRDefault="001659DB" w:rsidP="00755CF3">
            <w:pPr>
              <w:spacing w:after="0" w:line="240" w:lineRule="auto"/>
              <w:rPr>
                <w:color w:val="000000"/>
                <w:szCs w:val="22"/>
              </w:rPr>
            </w:pPr>
            <w:r>
              <w:rPr>
                <w:color w:val="000000"/>
                <w:szCs w:val="22"/>
              </w:rPr>
              <w:t>Yes – highly experienced</w:t>
            </w:r>
          </w:p>
        </w:tc>
        <w:tc>
          <w:tcPr>
            <w:tcW w:w="1506" w:type="dxa"/>
            <w:tcBorders>
              <w:top w:val="single" w:sz="4" w:space="0" w:color="8EA9DB"/>
              <w:left w:val="nil"/>
              <w:bottom w:val="single" w:sz="8" w:space="0" w:color="8CCED7"/>
              <w:right w:val="single" w:sz="8" w:space="0" w:color="8CCED7"/>
            </w:tcBorders>
            <w:shd w:val="clear" w:color="auto" w:fill="auto"/>
            <w:vAlign w:val="center"/>
            <w:hideMark/>
          </w:tcPr>
          <w:p w14:paraId="740014CE" w14:textId="77777777" w:rsidR="001659DB" w:rsidRPr="008533DB" w:rsidRDefault="001659DB" w:rsidP="00755CF3">
            <w:pPr>
              <w:spacing w:after="0" w:line="240" w:lineRule="auto"/>
              <w:rPr>
                <w:color w:val="000000"/>
                <w:szCs w:val="22"/>
              </w:rPr>
            </w:pPr>
            <w:r w:rsidRPr="008533DB">
              <w:rPr>
                <w:color w:val="000000"/>
                <w:szCs w:val="22"/>
              </w:rPr>
              <w:t>High</w:t>
            </w:r>
          </w:p>
        </w:tc>
        <w:tc>
          <w:tcPr>
            <w:tcW w:w="1559" w:type="dxa"/>
            <w:tcBorders>
              <w:top w:val="single" w:sz="4" w:space="0" w:color="8EA9DB"/>
              <w:left w:val="nil"/>
              <w:bottom w:val="single" w:sz="4" w:space="0" w:color="8EA9DB"/>
              <w:right w:val="single" w:sz="8" w:space="0" w:color="8CCED7"/>
            </w:tcBorders>
            <w:shd w:val="clear" w:color="auto" w:fill="auto"/>
            <w:vAlign w:val="center"/>
            <w:hideMark/>
          </w:tcPr>
          <w:p w14:paraId="422B28CF" w14:textId="77777777" w:rsidR="001659DB" w:rsidRPr="008533DB" w:rsidRDefault="001659DB" w:rsidP="00755CF3">
            <w:pPr>
              <w:spacing w:after="0" w:line="240" w:lineRule="auto"/>
              <w:rPr>
                <w:color w:val="000000"/>
                <w:szCs w:val="22"/>
              </w:rPr>
            </w:pPr>
            <w:r w:rsidRPr="008533DB">
              <w:rPr>
                <w:color w:val="000000"/>
                <w:szCs w:val="22"/>
              </w:rPr>
              <w:t>High</w:t>
            </w:r>
          </w:p>
        </w:tc>
      </w:tr>
      <w:tr w:rsidR="001659DB" w:rsidRPr="008533DB" w14:paraId="292D1BE4" w14:textId="77777777" w:rsidTr="00755CF3">
        <w:trPr>
          <w:cantSplit/>
          <w:trHeight w:val="1215"/>
        </w:trPr>
        <w:tc>
          <w:tcPr>
            <w:tcW w:w="1276" w:type="dxa"/>
            <w:tcBorders>
              <w:top w:val="single" w:sz="4" w:space="0" w:color="8EA9DB"/>
              <w:left w:val="single" w:sz="8" w:space="0" w:color="8CCED7"/>
              <w:bottom w:val="single" w:sz="8" w:space="0" w:color="8CCED7"/>
              <w:right w:val="single" w:sz="8" w:space="0" w:color="8CCED7"/>
            </w:tcBorders>
            <w:shd w:val="clear" w:color="000000" w:fill="D8EEF2"/>
            <w:vAlign w:val="center"/>
            <w:hideMark/>
          </w:tcPr>
          <w:p w14:paraId="24354B4F" w14:textId="77777777" w:rsidR="001659DB" w:rsidRPr="008533DB" w:rsidRDefault="001659DB" w:rsidP="00755CF3">
            <w:pPr>
              <w:spacing w:after="0" w:line="240" w:lineRule="auto"/>
              <w:rPr>
                <w:b/>
                <w:bCs/>
                <w:color w:val="000000"/>
                <w:szCs w:val="22"/>
              </w:rPr>
            </w:pPr>
            <w:r w:rsidRPr="008533DB">
              <w:rPr>
                <w:b/>
                <w:bCs/>
                <w:color w:val="000000"/>
                <w:szCs w:val="22"/>
              </w:rPr>
              <w:t>Practice E</w:t>
            </w:r>
          </w:p>
        </w:tc>
        <w:tc>
          <w:tcPr>
            <w:tcW w:w="1701" w:type="dxa"/>
            <w:tcBorders>
              <w:top w:val="single" w:sz="4" w:space="0" w:color="8EA9DB"/>
              <w:left w:val="nil"/>
              <w:bottom w:val="single" w:sz="8" w:space="0" w:color="8CCED7"/>
              <w:right w:val="single" w:sz="8" w:space="0" w:color="8CCED7"/>
            </w:tcBorders>
            <w:shd w:val="clear" w:color="000000" w:fill="D8EEF2"/>
            <w:vAlign w:val="center"/>
            <w:hideMark/>
          </w:tcPr>
          <w:p w14:paraId="2B96DA69" w14:textId="77777777" w:rsidR="001659DB" w:rsidRPr="008533DB" w:rsidRDefault="001659DB" w:rsidP="00755CF3">
            <w:pPr>
              <w:spacing w:after="0" w:line="240" w:lineRule="auto"/>
              <w:rPr>
                <w:color w:val="000000"/>
                <w:szCs w:val="22"/>
              </w:rPr>
            </w:pPr>
            <w:r>
              <w:rPr>
                <w:color w:val="000000"/>
                <w:szCs w:val="22"/>
              </w:rPr>
              <w:t>Māori</w:t>
            </w:r>
            <w:r w:rsidRPr="008533DB">
              <w:rPr>
                <w:color w:val="000000"/>
                <w:szCs w:val="22"/>
              </w:rPr>
              <w:t xml:space="preserve"> provider with non-</w:t>
            </w:r>
            <w:r>
              <w:rPr>
                <w:color w:val="000000"/>
                <w:szCs w:val="22"/>
              </w:rPr>
              <w:t>Māori</w:t>
            </w:r>
            <w:r w:rsidRPr="008533DB">
              <w:rPr>
                <w:color w:val="000000"/>
                <w:szCs w:val="22"/>
              </w:rPr>
              <w:t xml:space="preserve"> PHO.</w:t>
            </w:r>
          </w:p>
        </w:tc>
        <w:tc>
          <w:tcPr>
            <w:tcW w:w="1843" w:type="dxa"/>
            <w:tcBorders>
              <w:top w:val="single" w:sz="4" w:space="0" w:color="8EA9DB"/>
              <w:left w:val="nil"/>
              <w:bottom w:val="single" w:sz="8" w:space="0" w:color="8CCED7"/>
              <w:right w:val="single" w:sz="8" w:space="0" w:color="8CCED7"/>
            </w:tcBorders>
            <w:shd w:val="clear" w:color="000000" w:fill="D8EEF2"/>
            <w:vAlign w:val="center"/>
            <w:hideMark/>
          </w:tcPr>
          <w:p w14:paraId="5545B746" w14:textId="77777777" w:rsidR="001659DB" w:rsidRPr="008533DB" w:rsidRDefault="001659DB" w:rsidP="00755CF3">
            <w:pPr>
              <w:spacing w:after="0" w:line="240" w:lineRule="auto"/>
              <w:rPr>
                <w:color w:val="000000"/>
                <w:szCs w:val="22"/>
              </w:rPr>
            </w:pPr>
            <w:r w:rsidRPr="008533DB">
              <w:rPr>
                <w:color w:val="000000"/>
                <w:szCs w:val="22"/>
              </w:rPr>
              <w:t>A small urban practice in the eastern North Island.</w:t>
            </w:r>
          </w:p>
        </w:tc>
        <w:tc>
          <w:tcPr>
            <w:tcW w:w="1471" w:type="dxa"/>
            <w:tcBorders>
              <w:top w:val="single" w:sz="4" w:space="0" w:color="8EA9DB"/>
              <w:left w:val="nil"/>
              <w:bottom w:val="single" w:sz="8" w:space="0" w:color="8CCED7"/>
              <w:right w:val="single" w:sz="8" w:space="0" w:color="8CCED7"/>
            </w:tcBorders>
            <w:shd w:val="clear" w:color="000000" w:fill="D8EEF2"/>
            <w:vAlign w:val="center"/>
            <w:hideMark/>
          </w:tcPr>
          <w:p w14:paraId="6E94DD0E" w14:textId="77777777" w:rsidR="001659DB" w:rsidRPr="008533DB" w:rsidRDefault="001659DB" w:rsidP="00755CF3">
            <w:pPr>
              <w:spacing w:after="0" w:line="240" w:lineRule="auto"/>
              <w:rPr>
                <w:color w:val="000000"/>
                <w:szCs w:val="22"/>
              </w:rPr>
            </w:pPr>
            <w:r>
              <w:rPr>
                <w:color w:val="000000"/>
                <w:szCs w:val="22"/>
              </w:rPr>
              <w:t>No</w:t>
            </w:r>
          </w:p>
        </w:tc>
        <w:tc>
          <w:tcPr>
            <w:tcW w:w="1506" w:type="dxa"/>
            <w:tcBorders>
              <w:top w:val="single" w:sz="4" w:space="0" w:color="8EA9DB"/>
              <w:left w:val="nil"/>
              <w:bottom w:val="single" w:sz="8" w:space="0" w:color="8CCED7"/>
              <w:right w:val="single" w:sz="8" w:space="0" w:color="8CCED7"/>
            </w:tcBorders>
            <w:shd w:val="clear" w:color="000000" w:fill="D8EEF2"/>
            <w:vAlign w:val="center"/>
            <w:hideMark/>
          </w:tcPr>
          <w:p w14:paraId="5FF1601D" w14:textId="77777777" w:rsidR="001659DB" w:rsidRPr="008533DB" w:rsidRDefault="001659DB" w:rsidP="00755CF3">
            <w:pPr>
              <w:spacing w:after="0" w:line="240" w:lineRule="auto"/>
              <w:rPr>
                <w:color w:val="000000"/>
                <w:szCs w:val="22"/>
              </w:rPr>
            </w:pPr>
            <w:r w:rsidRPr="008533DB">
              <w:rPr>
                <w:color w:val="000000"/>
                <w:szCs w:val="22"/>
              </w:rPr>
              <w:t>Low</w:t>
            </w:r>
          </w:p>
        </w:tc>
        <w:tc>
          <w:tcPr>
            <w:tcW w:w="1559" w:type="dxa"/>
            <w:tcBorders>
              <w:top w:val="single" w:sz="4" w:space="0" w:color="8EA9DB"/>
              <w:left w:val="nil"/>
              <w:bottom w:val="single" w:sz="4" w:space="0" w:color="8EA9DB"/>
              <w:right w:val="single" w:sz="8" w:space="0" w:color="8CCED7"/>
            </w:tcBorders>
            <w:shd w:val="clear" w:color="000000" w:fill="D8EEF2"/>
            <w:vAlign w:val="center"/>
            <w:hideMark/>
          </w:tcPr>
          <w:p w14:paraId="4A012674" w14:textId="77777777" w:rsidR="001659DB" w:rsidRPr="008533DB" w:rsidRDefault="001659DB" w:rsidP="00755CF3">
            <w:pPr>
              <w:spacing w:after="0" w:line="240" w:lineRule="auto"/>
              <w:rPr>
                <w:color w:val="000000"/>
                <w:szCs w:val="22"/>
              </w:rPr>
            </w:pPr>
            <w:r w:rsidRPr="008533DB">
              <w:rPr>
                <w:color w:val="000000"/>
                <w:szCs w:val="22"/>
              </w:rPr>
              <w:t>Unknown</w:t>
            </w:r>
          </w:p>
        </w:tc>
      </w:tr>
    </w:tbl>
    <w:p w14:paraId="4293B4F2" w14:textId="77777777" w:rsidR="001659DB" w:rsidRDefault="001659DB" w:rsidP="001659DB"/>
    <w:p w14:paraId="37918DD1" w14:textId="77777777" w:rsidR="001659DB" w:rsidRPr="008533DB" w:rsidRDefault="001659DB" w:rsidP="001659DB">
      <w:pPr>
        <w:pStyle w:val="Heading3"/>
        <w:numPr>
          <w:ilvl w:val="0"/>
          <w:numId w:val="0"/>
        </w:numPr>
        <w:ind w:left="510" w:hanging="510"/>
      </w:pPr>
      <w:r>
        <w:t>Site Visit Data Collection</w:t>
      </w:r>
    </w:p>
    <w:p w14:paraId="65FA65F6" w14:textId="77777777" w:rsidR="001659DB" w:rsidRDefault="001659DB" w:rsidP="001659DB">
      <w:r>
        <w:t xml:space="preserve">During site visits semi-structured interviews were conducted with the practice manager, NGN, preceptor, GP or other nurses, and involved stakeholders from the PHO and DHB including the DHB NETP coordinators, </w:t>
      </w:r>
      <w:r w:rsidR="00256C3C">
        <w:t>DHB senior nurse leader</w:t>
      </w:r>
      <w:r>
        <w:t xml:space="preserve"> and PHO management. Where face-to-face interviews with stakeholders from the PHO or DHB could not be arranged </w:t>
      </w:r>
      <w:r w:rsidR="00322B12">
        <w:t xml:space="preserve">at the time of the site visit, </w:t>
      </w:r>
      <w:r>
        <w:t xml:space="preserve">these were conducted by telephone. Some interviewees </w:t>
      </w:r>
      <w:r w:rsidR="00322B12">
        <w:t xml:space="preserve">also </w:t>
      </w:r>
      <w:r>
        <w:t>preferred to be interviewed in pairs e.g. two nurses were interviewed together. In total, 29 interviews were conducted with 34 people. These interviews were designed to explore:</w:t>
      </w:r>
    </w:p>
    <w:p w14:paraId="522682CE" w14:textId="77777777" w:rsidR="001659DB" w:rsidRDefault="001659DB" w:rsidP="001659DB">
      <w:pPr>
        <w:pStyle w:val="ListParagraph"/>
        <w:numPr>
          <w:ilvl w:val="0"/>
          <w:numId w:val="7"/>
        </w:numPr>
      </w:pPr>
      <w:r>
        <w:t>Rationale for involvement in the scheme</w:t>
      </w:r>
    </w:p>
    <w:p w14:paraId="2A74FD04" w14:textId="77777777" w:rsidR="001659DB" w:rsidRDefault="001659DB" w:rsidP="001659DB">
      <w:pPr>
        <w:pStyle w:val="ListParagraph"/>
        <w:numPr>
          <w:ilvl w:val="0"/>
          <w:numId w:val="7"/>
        </w:numPr>
      </w:pPr>
      <w:r>
        <w:t>Current implementation</w:t>
      </w:r>
    </w:p>
    <w:p w14:paraId="651B56AC" w14:textId="77777777" w:rsidR="001659DB" w:rsidRDefault="001659DB" w:rsidP="001659DB">
      <w:pPr>
        <w:pStyle w:val="ListParagraph"/>
        <w:numPr>
          <w:ilvl w:val="1"/>
          <w:numId w:val="7"/>
        </w:numPr>
      </w:pPr>
      <w:r>
        <w:t xml:space="preserve">Practice readiness and support </w:t>
      </w:r>
    </w:p>
    <w:p w14:paraId="64D8E49E" w14:textId="77777777" w:rsidR="001659DB" w:rsidRDefault="001659DB" w:rsidP="001659DB">
      <w:pPr>
        <w:pStyle w:val="ListParagraph"/>
        <w:numPr>
          <w:ilvl w:val="1"/>
          <w:numId w:val="7"/>
        </w:numPr>
      </w:pPr>
      <w:r>
        <w:t>NETP support</w:t>
      </w:r>
    </w:p>
    <w:p w14:paraId="6FC75CF5" w14:textId="77777777" w:rsidR="001659DB" w:rsidRDefault="001659DB" w:rsidP="001659DB">
      <w:pPr>
        <w:pStyle w:val="ListParagraph"/>
        <w:numPr>
          <w:ilvl w:val="0"/>
          <w:numId w:val="7"/>
        </w:numPr>
      </w:pPr>
      <w:r>
        <w:lastRenderedPageBreak/>
        <w:t>The role of the PHO and DHB</w:t>
      </w:r>
    </w:p>
    <w:p w14:paraId="4E4621DB" w14:textId="77777777" w:rsidR="001659DB" w:rsidRDefault="001659DB" w:rsidP="001659DB">
      <w:pPr>
        <w:pStyle w:val="ListParagraph"/>
        <w:numPr>
          <w:ilvl w:val="0"/>
          <w:numId w:val="7"/>
        </w:numPr>
      </w:pPr>
      <w:r>
        <w:t>Impacts of the scheme</w:t>
      </w:r>
    </w:p>
    <w:p w14:paraId="738DBC53" w14:textId="77777777" w:rsidR="001659DB" w:rsidRDefault="001659DB" w:rsidP="001659DB">
      <w:pPr>
        <w:pStyle w:val="ListParagraph"/>
        <w:numPr>
          <w:ilvl w:val="1"/>
          <w:numId w:val="7"/>
        </w:numPr>
      </w:pPr>
      <w:r>
        <w:t>For the practice</w:t>
      </w:r>
    </w:p>
    <w:p w14:paraId="1F7EC054" w14:textId="77777777" w:rsidR="001659DB" w:rsidRDefault="001659DB" w:rsidP="001659DB">
      <w:pPr>
        <w:pStyle w:val="ListParagraph"/>
        <w:numPr>
          <w:ilvl w:val="1"/>
          <w:numId w:val="7"/>
        </w:numPr>
      </w:pPr>
      <w:r>
        <w:t>For the NGN</w:t>
      </w:r>
    </w:p>
    <w:p w14:paraId="5CA519E0" w14:textId="77777777" w:rsidR="001659DB" w:rsidRDefault="001659DB" w:rsidP="001659DB">
      <w:pPr>
        <w:pStyle w:val="ListParagraph"/>
        <w:numPr>
          <w:ilvl w:val="0"/>
          <w:numId w:val="7"/>
        </w:numPr>
      </w:pPr>
      <w:r>
        <w:t>Future intentions of practices and NGNs</w:t>
      </w:r>
    </w:p>
    <w:p w14:paraId="44DE8B87" w14:textId="77777777" w:rsidR="001659DB" w:rsidRDefault="001659DB" w:rsidP="001659DB">
      <w:pPr>
        <w:pStyle w:val="ListParagraph"/>
        <w:numPr>
          <w:ilvl w:val="0"/>
          <w:numId w:val="7"/>
        </w:numPr>
      </w:pPr>
      <w:r>
        <w:t>Key learnings</w:t>
      </w:r>
    </w:p>
    <w:p w14:paraId="289B9C20" w14:textId="77777777" w:rsidR="001659DB" w:rsidRDefault="001659DB" w:rsidP="001659DB">
      <w:r>
        <w:t>Following the site visits, practices were asked if they could provide practice level data for 2013 and 2014 on:</w:t>
      </w:r>
    </w:p>
    <w:p w14:paraId="74C1488B" w14:textId="77777777" w:rsidR="001659DB" w:rsidRDefault="001659DB" w:rsidP="001659DB">
      <w:pPr>
        <w:pStyle w:val="ListParagraph"/>
        <w:numPr>
          <w:ilvl w:val="0"/>
          <w:numId w:val="32"/>
        </w:numPr>
      </w:pPr>
      <w:r>
        <w:t>Nurse consultation rates</w:t>
      </w:r>
    </w:p>
    <w:p w14:paraId="3609034B" w14:textId="77777777" w:rsidR="001659DB" w:rsidRDefault="001659DB" w:rsidP="001659DB">
      <w:pPr>
        <w:pStyle w:val="ListParagraph"/>
        <w:numPr>
          <w:ilvl w:val="0"/>
          <w:numId w:val="32"/>
        </w:numPr>
      </w:pPr>
      <w:r>
        <w:t>Total number of patient appointments</w:t>
      </w:r>
    </w:p>
    <w:p w14:paraId="12D02566" w14:textId="77777777" w:rsidR="001659DB" w:rsidRDefault="001659DB" w:rsidP="001659DB">
      <w:pPr>
        <w:pStyle w:val="ListParagraph"/>
        <w:numPr>
          <w:ilvl w:val="0"/>
          <w:numId w:val="32"/>
        </w:numPr>
      </w:pPr>
      <w:r>
        <w:t>Performance against health targets</w:t>
      </w:r>
    </w:p>
    <w:p w14:paraId="563762AA" w14:textId="77777777" w:rsidR="001659DB" w:rsidRDefault="001659DB" w:rsidP="001659DB">
      <w:r>
        <w:t>Within the timeframe for the data collection, only two practices were able to partly respond to this. Due to the limited amount of data available, this data has been used to provide examples of points that were brought up in the interviews rather than standalone evidence of impacts from the scheme.</w:t>
      </w:r>
    </w:p>
    <w:p w14:paraId="25D0FED5" w14:textId="77777777" w:rsidR="001659DB" w:rsidRPr="00A171BC" w:rsidRDefault="001659DB" w:rsidP="001659DB">
      <w:pPr>
        <w:pStyle w:val="Heading2"/>
      </w:pPr>
      <w:bookmarkStart w:id="62" w:name="_Toc415657700"/>
      <w:r>
        <w:t>Follow up Online Survey</w:t>
      </w:r>
      <w:bookmarkEnd w:id="62"/>
    </w:p>
    <w:p w14:paraId="5DCCFA82" w14:textId="77777777" w:rsidR="001659DB" w:rsidRDefault="00322B12" w:rsidP="001659DB">
      <w:r>
        <w:t>The</w:t>
      </w:r>
      <w:r w:rsidR="001659DB">
        <w:t xml:space="preserve"> follow up survey was designed to further explore the impacts of the scheme and future intent</w:t>
      </w:r>
      <w:r>
        <w:t>ions of the practices and NGNs with respect to employment at that practice and/or remaining in primary care and/or a VLCA practice</w:t>
      </w:r>
      <w:r w:rsidR="001659DB">
        <w:t>. This focus on impacts and the sustainability of the NGN at the practices resulted in two surveys; one for the NGN and one for the practice manager or owner. The follow up survey was disseminated online on the 23</w:t>
      </w:r>
      <w:r w:rsidR="001659DB" w:rsidRPr="007C5BFC">
        <w:rPr>
          <w:vertAlign w:val="superscript"/>
        </w:rPr>
        <w:t>rd</w:t>
      </w:r>
      <w:r w:rsidR="001659DB">
        <w:t xml:space="preserve"> January 2015 and remained in the field for three weeks. We received a low response rate of 17% among NGNs and 31% among practice managers and owners. </w:t>
      </w:r>
    </w:p>
    <w:p w14:paraId="1BB331DC" w14:textId="77777777" w:rsidR="001659DB" w:rsidRDefault="001659DB" w:rsidP="001659DB">
      <w:r>
        <w:t xml:space="preserve">To address this response rate, we made phone calls to the Practice Managers and/or business owners that had not answered the follow up survey </w:t>
      </w:r>
      <w:r w:rsidR="00322B12">
        <w:t>to answers key questions on</w:t>
      </w:r>
      <w:r>
        <w:t xml:space="preserve"> the sustainability of the NGN role. This included asking if the practice continued to employ the NGN beyond the funding from the scheme, why they did or didn’t continue their employment, and how they were able to sustain the position. This achieved a much greater response with data collected from 45 practices (94%). </w:t>
      </w:r>
    </w:p>
    <w:p w14:paraId="448C763A" w14:textId="77777777" w:rsidR="001659DB" w:rsidRPr="006323A6" w:rsidRDefault="001659DB" w:rsidP="001659DB">
      <w:pPr>
        <w:rPr>
          <w:lang w:eastAsia="en-US"/>
        </w:rPr>
      </w:pPr>
      <w:r>
        <w:rPr>
          <w:lang w:eastAsia="en-US"/>
        </w:rPr>
        <w:t xml:space="preserve">The </w:t>
      </w:r>
      <w:r>
        <w:t xml:space="preserve">follow up </w:t>
      </w:r>
      <w:r>
        <w:rPr>
          <w:lang w:eastAsia="en-US"/>
        </w:rPr>
        <w:t>survey was analysed using descriptive statistics to provide an insight into the sustainability of the role and the reasons influencing sustainability of the position.</w:t>
      </w:r>
    </w:p>
    <w:p w14:paraId="5BA0567A" w14:textId="77777777" w:rsidR="001659DB" w:rsidRDefault="001659DB" w:rsidP="001659DB">
      <w:pPr>
        <w:pStyle w:val="Heading2"/>
      </w:pPr>
      <w:bookmarkStart w:id="63" w:name="_Toc415657701"/>
      <w:r>
        <w:lastRenderedPageBreak/>
        <w:t>Mixed methods data analysis and integration</w:t>
      </w:r>
      <w:bookmarkEnd w:id="63"/>
    </w:p>
    <w:p w14:paraId="31226422" w14:textId="77777777" w:rsidR="001659DB" w:rsidRPr="00D86EE4" w:rsidRDefault="001659DB" w:rsidP="001659DB">
      <w:r w:rsidRPr="00D86EE4">
        <w:t>Evaluations involving quantitative and qualitative data sources can be integrated to provide greater insight and understanding of an initiative</w:t>
      </w:r>
      <w:r>
        <w:t xml:space="preserve"> </w:t>
      </w:r>
      <w:r w:rsidR="009B410D" w:rsidRPr="001659DB">
        <w:fldChar w:fldCharType="begin"/>
      </w:r>
      <w:r w:rsidRPr="001659DB">
        <w:instrText>ADDIN RW.CITE{{334 Greene,J. 2007}}</w:instrText>
      </w:r>
      <w:r w:rsidR="009B410D" w:rsidRPr="001659DB">
        <w:fldChar w:fldCharType="separate"/>
      </w:r>
      <w:r w:rsidR="00146C56" w:rsidRPr="00146C56">
        <w:t>(5)</w:t>
      </w:r>
      <w:r w:rsidR="009B410D" w:rsidRPr="001659DB">
        <w:fldChar w:fldCharType="end"/>
      </w:r>
      <w:r w:rsidRPr="00D86EE4">
        <w:t xml:space="preserve">. Integration focuses on a specific variable of interest or evaluation question to comprehensively assess both quantitative and qualitative data. </w:t>
      </w:r>
    </w:p>
    <w:p w14:paraId="0F682FB7" w14:textId="77777777" w:rsidR="001659DB" w:rsidRPr="00A171BC" w:rsidRDefault="001659DB" w:rsidP="001659DB">
      <w:r w:rsidRPr="00D86EE4">
        <w:t xml:space="preserve">In this </w:t>
      </w:r>
      <w:r>
        <w:t>evaluation the findings from all data sources in both the across-site and within-site phases were integrated around the evaluation objectives. Special attention has been given to the indicators identified in the evaluation framework, as well as identifying findings that are unique to specific contexts</w:t>
      </w:r>
      <w:r w:rsidRPr="00D86EE4">
        <w:t>.</w:t>
      </w:r>
    </w:p>
    <w:p w14:paraId="2AFB3E46" w14:textId="77777777" w:rsidR="001659DB" w:rsidRDefault="001659DB">
      <w:pPr>
        <w:spacing w:after="200" w:line="276" w:lineRule="auto"/>
        <w:rPr>
          <w:rFonts w:cs="Arial"/>
          <w:b/>
          <w:smallCaps/>
          <w:color w:val="006E95"/>
          <w:spacing w:val="20"/>
          <w:kern w:val="28"/>
          <w:sz w:val="32"/>
          <w:szCs w:val="28"/>
        </w:rPr>
      </w:pPr>
      <w:r>
        <w:br w:type="page"/>
      </w:r>
    </w:p>
    <w:p w14:paraId="0390BF27" w14:textId="77777777" w:rsidR="001A0892" w:rsidRDefault="001A0892" w:rsidP="001A0892">
      <w:pPr>
        <w:pStyle w:val="Heading1"/>
      </w:pPr>
      <w:bookmarkStart w:id="64" w:name="_Toc415657702"/>
      <w:r>
        <w:lastRenderedPageBreak/>
        <w:t xml:space="preserve">Appendix </w:t>
      </w:r>
      <w:r w:rsidR="001659DB">
        <w:t>Two</w:t>
      </w:r>
      <w:r>
        <w:t>: Retention of NGNs</w:t>
      </w:r>
      <w:bookmarkEnd w:id="56"/>
      <w:bookmarkEnd w:id="64"/>
    </w:p>
    <w:p w14:paraId="6301E5BA" w14:textId="77777777" w:rsidR="001A0892" w:rsidRDefault="001A0892" w:rsidP="001A0892">
      <w:r>
        <w:t>Information on the retention of the NGN beyond the one year</w:t>
      </w:r>
      <w:r w:rsidR="009C23A6">
        <w:t xml:space="preserve"> funded by the </w:t>
      </w:r>
      <w:r>
        <w:t xml:space="preserve">scheme was collected for 45 of the 48 applicants involved in the scheme. Overall, 78% </w:t>
      </w:r>
      <w:r w:rsidR="009C23A6">
        <w:t xml:space="preserve">of the NGNs </w:t>
      </w:r>
      <w:r>
        <w:t>were retained</w:t>
      </w:r>
      <w:r w:rsidR="009C23A6">
        <w:t xml:space="preserve"> at their practice</w:t>
      </w:r>
      <w:r>
        <w:t>. The breakdown by practice ch</w:t>
      </w:r>
      <w:r w:rsidR="009C23A6">
        <w:t xml:space="preserve">aracteristics is provided below, although it is important to note there are no significant differences between the different types of practices. </w:t>
      </w:r>
    </w:p>
    <w:p w14:paraId="5AD6F100" w14:textId="77777777" w:rsidR="001A0892" w:rsidRDefault="007402FF" w:rsidP="007402FF">
      <w:pPr>
        <w:pStyle w:val="Heading2"/>
      </w:pPr>
      <w:bookmarkStart w:id="65" w:name="_Toc415657703"/>
      <w:r>
        <w:t xml:space="preserve">Retention by </w:t>
      </w:r>
      <w:r w:rsidR="00CC48AD">
        <w:t xml:space="preserve">of NGNs at Practices by </w:t>
      </w:r>
      <w:r>
        <w:t>DHB</w:t>
      </w:r>
      <w:r w:rsidR="00CC48AD">
        <w:t xml:space="preserve"> region</w:t>
      </w:r>
      <w:bookmarkEnd w:id="65"/>
      <w:r w:rsidR="00CC48AD">
        <w:t xml:space="preserve"> </w:t>
      </w:r>
    </w:p>
    <w:p w14:paraId="02E88471" w14:textId="77777777" w:rsidR="007402FF" w:rsidRPr="007402FF" w:rsidRDefault="007402FF" w:rsidP="007402FF">
      <w:r>
        <w:t xml:space="preserve">There are many DHBs with high NGN retention rates, including Northland which kept all four of their NGNs. The small numbers of NGNs in many DHBs has meant the retention rate by DHB is greatly affected by </w:t>
      </w:r>
      <w:r w:rsidR="007B50DC">
        <w:t>lack of retention in any one practice. No DHB had more than one practice that did not sustain their NGN.</w:t>
      </w:r>
    </w:p>
    <w:tbl>
      <w:tblPr>
        <w:tblW w:w="5524" w:type="dxa"/>
        <w:tblLook w:val="04A0" w:firstRow="1" w:lastRow="0" w:firstColumn="1" w:lastColumn="0" w:noHBand="0" w:noVBand="1"/>
      </w:tblPr>
      <w:tblGrid>
        <w:gridCol w:w="2689"/>
        <w:gridCol w:w="1507"/>
        <w:gridCol w:w="1328"/>
      </w:tblGrid>
      <w:tr w:rsidR="007402FF" w:rsidRPr="007402FF" w14:paraId="2D6F8C47" w14:textId="77777777" w:rsidTr="007402FF">
        <w:trPr>
          <w:trHeight w:val="255"/>
        </w:trPr>
        <w:tc>
          <w:tcPr>
            <w:tcW w:w="2689" w:type="dxa"/>
            <w:tcBorders>
              <w:top w:val="single" w:sz="4" w:space="0" w:color="8EA9DB"/>
              <w:left w:val="single" w:sz="4" w:space="0" w:color="8EA9DB"/>
              <w:bottom w:val="single" w:sz="4" w:space="0" w:color="8EA9DB"/>
              <w:right w:val="nil"/>
            </w:tcBorders>
            <w:shd w:val="clear" w:color="4472C4" w:fill="4472C4"/>
            <w:noWrap/>
            <w:vAlign w:val="bottom"/>
            <w:hideMark/>
          </w:tcPr>
          <w:p w14:paraId="2D2D84B2" w14:textId="77777777" w:rsidR="007402FF" w:rsidRPr="007402FF" w:rsidRDefault="007402FF" w:rsidP="007402FF">
            <w:pPr>
              <w:spacing w:after="0" w:line="240" w:lineRule="auto"/>
              <w:rPr>
                <w:rFonts w:ascii="Arial" w:hAnsi="Arial" w:cs="Arial"/>
                <w:b/>
                <w:bCs/>
                <w:color w:val="FFFFFF"/>
                <w:sz w:val="20"/>
                <w:szCs w:val="20"/>
              </w:rPr>
            </w:pPr>
            <w:r w:rsidRPr="007402FF">
              <w:rPr>
                <w:rFonts w:ascii="Arial" w:hAnsi="Arial" w:cs="Arial"/>
                <w:b/>
                <w:bCs/>
                <w:color w:val="FFFFFF"/>
                <w:sz w:val="20"/>
                <w:szCs w:val="20"/>
              </w:rPr>
              <w:t>DHB</w:t>
            </w:r>
          </w:p>
        </w:tc>
        <w:tc>
          <w:tcPr>
            <w:tcW w:w="1507" w:type="dxa"/>
            <w:tcBorders>
              <w:top w:val="single" w:sz="4" w:space="0" w:color="8EA9DB"/>
              <w:left w:val="nil"/>
              <w:bottom w:val="single" w:sz="4" w:space="0" w:color="8EA9DB"/>
              <w:right w:val="nil"/>
            </w:tcBorders>
            <w:shd w:val="clear" w:color="4472C4" w:fill="4472C4"/>
            <w:noWrap/>
            <w:vAlign w:val="bottom"/>
            <w:hideMark/>
          </w:tcPr>
          <w:p w14:paraId="4648697F" w14:textId="77777777" w:rsidR="007402FF" w:rsidRPr="007402FF" w:rsidRDefault="007402FF" w:rsidP="007B50DC">
            <w:pPr>
              <w:spacing w:after="0" w:line="240" w:lineRule="auto"/>
              <w:jc w:val="center"/>
              <w:rPr>
                <w:rFonts w:ascii="Arial" w:hAnsi="Arial" w:cs="Arial"/>
                <w:b/>
                <w:bCs/>
                <w:color w:val="FFFFFF"/>
                <w:sz w:val="20"/>
                <w:szCs w:val="20"/>
              </w:rPr>
            </w:pPr>
            <w:r w:rsidRPr="007402FF">
              <w:rPr>
                <w:rFonts w:ascii="Arial" w:hAnsi="Arial" w:cs="Arial"/>
                <w:b/>
                <w:bCs/>
                <w:color w:val="FFFFFF"/>
                <w:sz w:val="20"/>
                <w:szCs w:val="20"/>
              </w:rPr>
              <w:t>Retention rate</w:t>
            </w:r>
          </w:p>
        </w:tc>
        <w:tc>
          <w:tcPr>
            <w:tcW w:w="1328" w:type="dxa"/>
            <w:tcBorders>
              <w:top w:val="single" w:sz="4" w:space="0" w:color="8EA9DB"/>
              <w:left w:val="nil"/>
              <w:bottom w:val="single" w:sz="4" w:space="0" w:color="8EA9DB"/>
              <w:right w:val="single" w:sz="4" w:space="0" w:color="8EA9DB"/>
            </w:tcBorders>
            <w:shd w:val="clear" w:color="4472C4" w:fill="4472C4"/>
            <w:noWrap/>
            <w:vAlign w:val="bottom"/>
            <w:hideMark/>
          </w:tcPr>
          <w:p w14:paraId="63040CE5" w14:textId="77777777" w:rsidR="007402FF" w:rsidRPr="007402FF" w:rsidRDefault="007402FF" w:rsidP="007B50DC">
            <w:pPr>
              <w:spacing w:after="0" w:line="240" w:lineRule="auto"/>
              <w:jc w:val="center"/>
              <w:rPr>
                <w:rFonts w:ascii="Arial" w:hAnsi="Arial" w:cs="Arial"/>
                <w:b/>
                <w:bCs/>
                <w:color w:val="FFFFFF"/>
                <w:sz w:val="20"/>
                <w:szCs w:val="20"/>
              </w:rPr>
            </w:pPr>
            <w:r w:rsidRPr="007402FF">
              <w:rPr>
                <w:rFonts w:ascii="Arial" w:hAnsi="Arial" w:cs="Arial"/>
                <w:b/>
                <w:bCs/>
                <w:color w:val="FFFFFF"/>
                <w:sz w:val="20"/>
                <w:szCs w:val="20"/>
              </w:rPr>
              <w:t xml:space="preserve">Number of </w:t>
            </w:r>
            <w:r w:rsidR="007B50DC">
              <w:rPr>
                <w:rFonts w:ascii="Arial" w:hAnsi="Arial" w:cs="Arial"/>
                <w:b/>
                <w:bCs/>
                <w:color w:val="FFFFFF"/>
                <w:sz w:val="20"/>
                <w:szCs w:val="20"/>
              </w:rPr>
              <w:t>practices</w:t>
            </w:r>
          </w:p>
        </w:tc>
      </w:tr>
      <w:tr w:rsidR="007402FF" w:rsidRPr="007402FF" w14:paraId="0CB0A810" w14:textId="77777777" w:rsidTr="007402FF">
        <w:trPr>
          <w:trHeight w:val="255"/>
        </w:trPr>
        <w:tc>
          <w:tcPr>
            <w:tcW w:w="2689" w:type="dxa"/>
            <w:tcBorders>
              <w:top w:val="single" w:sz="4" w:space="0" w:color="8EA9DB"/>
              <w:left w:val="single" w:sz="4" w:space="0" w:color="8EA9DB"/>
              <w:bottom w:val="single" w:sz="4" w:space="0" w:color="8EA9DB"/>
              <w:right w:val="nil"/>
            </w:tcBorders>
            <w:shd w:val="clear" w:color="D9E1F2" w:fill="D9E1F2"/>
            <w:noWrap/>
            <w:vAlign w:val="bottom"/>
            <w:hideMark/>
          </w:tcPr>
          <w:p w14:paraId="2B654687" w14:textId="77777777" w:rsidR="007402FF" w:rsidRPr="007402FF" w:rsidRDefault="007402FF" w:rsidP="007402FF">
            <w:pPr>
              <w:spacing w:after="0" w:line="240" w:lineRule="auto"/>
              <w:rPr>
                <w:rFonts w:ascii="Arial" w:hAnsi="Arial" w:cs="Arial"/>
                <w:color w:val="000000"/>
                <w:sz w:val="20"/>
                <w:szCs w:val="20"/>
              </w:rPr>
            </w:pPr>
            <w:r w:rsidRPr="007402FF">
              <w:rPr>
                <w:rFonts w:ascii="Arial" w:hAnsi="Arial" w:cs="Arial"/>
                <w:color w:val="000000"/>
                <w:sz w:val="20"/>
                <w:szCs w:val="20"/>
              </w:rPr>
              <w:t>Auckland DHB</w:t>
            </w:r>
          </w:p>
        </w:tc>
        <w:tc>
          <w:tcPr>
            <w:tcW w:w="1507" w:type="dxa"/>
            <w:tcBorders>
              <w:top w:val="single" w:sz="4" w:space="0" w:color="8EA9DB"/>
              <w:left w:val="nil"/>
              <w:bottom w:val="single" w:sz="4" w:space="0" w:color="8EA9DB"/>
              <w:right w:val="nil"/>
            </w:tcBorders>
            <w:shd w:val="clear" w:color="D9E1F2" w:fill="D9E1F2"/>
            <w:noWrap/>
            <w:vAlign w:val="bottom"/>
            <w:hideMark/>
          </w:tcPr>
          <w:p w14:paraId="674F6E80" w14:textId="77777777" w:rsidR="007402FF" w:rsidRPr="007402FF" w:rsidRDefault="007402FF" w:rsidP="007B50DC">
            <w:pPr>
              <w:spacing w:after="0" w:line="240" w:lineRule="auto"/>
              <w:jc w:val="center"/>
              <w:rPr>
                <w:rFonts w:ascii="Arial" w:hAnsi="Arial" w:cs="Arial"/>
                <w:color w:val="000000"/>
                <w:sz w:val="20"/>
                <w:szCs w:val="20"/>
              </w:rPr>
            </w:pPr>
            <w:r w:rsidRPr="007402FF">
              <w:rPr>
                <w:rFonts w:ascii="Arial" w:hAnsi="Arial" w:cs="Arial"/>
                <w:color w:val="000000"/>
                <w:sz w:val="20"/>
                <w:szCs w:val="20"/>
              </w:rPr>
              <w:t>50%</w:t>
            </w:r>
          </w:p>
        </w:tc>
        <w:tc>
          <w:tcPr>
            <w:tcW w:w="1328" w:type="dxa"/>
            <w:tcBorders>
              <w:top w:val="single" w:sz="4" w:space="0" w:color="8EA9DB"/>
              <w:left w:val="nil"/>
              <w:bottom w:val="single" w:sz="4" w:space="0" w:color="8EA9DB"/>
              <w:right w:val="single" w:sz="4" w:space="0" w:color="8EA9DB"/>
            </w:tcBorders>
            <w:shd w:val="clear" w:color="D9E1F2" w:fill="D9E1F2"/>
            <w:noWrap/>
            <w:vAlign w:val="bottom"/>
            <w:hideMark/>
          </w:tcPr>
          <w:p w14:paraId="6D4F0CF3" w14:textId="77777777" w:rsidR="007402FF" w:rsidRPr="007402FF" w:rsidRDefault="007402FF" w:rsidP="007B50DC">
            <w:pPr>
              <w:spacing w:after="0" w:line="240" w:lineRule="auto"/>
              <w:jc w:val="center"/>
              <w:rPr>
                <w:rFonts w:ascii="Arial" w:hAnsi="Arial" w:cs="Arial"/>
                <w:color w:val="000000"/>
                <w:sz w:val="20"/>
                <w:szCs w:val="20"/>
              </w:rPr>
            </w:pPr>
            <w:r w:rsidRPr="007402FF">
              <w:rPr>
                <w:rFonts w:ascii="Arial" w:hAnsi="Arial" w:cs="Arial"/>
                <w:color w:val="000000"/>
                <w:sz w:val="20"/>
                <w:szCs w:val="20"/>
              </w:rPr>
              <w:t>2</w:t>
            </w:r>
          </w:p>
        </w:tc>
      </w:tr>
      <w:tr w:rsidR="007402FF" w:rsidRPr="007402FF" w14:paraId="31989682" w14:textId="77777777" w:rsidTr="007402FF">
        <w:trPr>
          <w:trHeight w:val="255"/>
        </w:trPr>
        <w:tc>
          <w:tcPr>
            <w:tcW w:w="2689" w:type="dxa"/>
            <w:tcBorders>
              <w:top w:val="single" w:sz="4" w:space="0" w:color="8EA9DB"/>
              <w:left w:val="single" w:sz="4" w:space="0" w:color="8EA9DB"/>
              <w:bottom w:val="single" w:sz="4" w:space="0" w:color="8EA9DB"/>
              <w:right w:val="nil"/>
            </w:tcBorders>
            <w:shd w:val="clear" w:color="auto" w:fill="auto"/>
            <w:noWrap/>
            <w:vAlign w:val="bottom"/>
            <w:hideMark/>
          </w:tcPr>
          <w:p w14:paraId="702C22EF" w14:textId="77777777" w:rsidR="007402FF" w:rsidRPr="007402FF" w:rsidRDefault="007402FF" w:rsidP="007402FF">
            <w:pPr>
              <w:spacing w:after="0" w:line="240" w:lineRule="auto"/>
              <w:rPr>
                <w:rFonts w:ascii="Arial" w:hAnsi="Arial" w:cs="Arial"/>
                <w:color w:val="000000"/>
                <w:sz w:val="20"/>
                <w:szCs w:val="20"/>
              </w:rPr>
            </w:pPr>
            <w:r w:rsidRPr="007402FF">
              <w:rPr>
                <w:rFonts w:ascii="Arial" w:hAnsi="Arial" w:cs="Arial"/>
                <w:color w:val="000000"/>
                <w:sz w:val="20"/>
                <w:szCs w:val="20"/>
              </w:rPr>
              <w:t>Bay of Plenty DHB</w:t>
            </w:r>
          </w:p>
        </w:tc>
        <w:tc>
          <w:tcPr>
            <w:tcW w:w="1507" w:type="dxa"/>
            <w:tcBorders>
              <w:top w:val="single" w:sz="4" w:space="0" w:color="8EA9DB"/>
              <w:left w:val="nil"/>
              <w:bottom w:val="single" w:sz="4" w:space="0" w:color="8EA9DB"/>
              <w:right w:val="nil"/>
            </w:tcBorders>
            <w:shd w:val="clear" w:color="auto" w:fill="auto"/>
            <w:noWrap/>
            <w:vAlign w:val="bottom"/>
            <w:hideMark/>
          </w:tcPr>
          <w:p w14:paraId="684522B5" w14:textId="77777777" w:rsidR="007402FF" w:rsidRPr="007402FF" w:rsidRDefault="007402FF" w:rsidP="007B50DC">
            <w:pPr>
              <w:spacing w:after="0" w:line="240" w:lineRule="auto"/>
              <w:jc w:val="center"/>
              <w:rPr>
                <w:rFonts w:ascii="Arial" w:hAnsi="Arial" w:cs="Arial"/>
                <w:color w:val="000000"/>
                <w:sz w:val="20"/>
                <w:szCs w:val="20"/>
              </w:rPr>
            </w:pPr>
            <w:r w:rsidRPr="007402FF">
              <w:rPr>
                <w:rFonts w:ascii="Arial" w:hAnsi="Arial" w:cs="Arial"/>
                <w:color w:val="000000"/>
                <w:sz w:val="20"/>
                <w:szCs w:val="20"/>
              </w:rPr>
              <w:t>67%</w:t>
            </w:r>
          </w:p>
        </w:tc>
        <w:tc>
          <w:tcPr>
            <w:tcW w:w="1328" w:type="dxa"/>
            <w:tcBorders>
              <w:top w:val="single" w:sz="4" w:space="0" w:color="8EA9DB"/>
              <w:left w:val="nil"/>
              <w:bottom w:val="single" w:sz="4" w:space="0" w:color="8EA9DB"/>
              <w:right w:val="single" w:sz="4" w:space="0" w:color="8EA9DB"/>
            </w:tcBorders>
            <w:shd w:val="clear" w:color="auto" w:fill="auto"/>
            <w:noWrap/>
            <w:vAlign w:val="bottom"/>
            <w:hideMark/>
          </w:tcPr>
          <w:p w14:paraId="3F516B92" w14:textId="77777777" w:rsidR="007402FF" w:rsidRPr="007402FF" w:rsidRDefault="007402FF" w:rsidP="007B50DC">
            <w:pPr>
              <w:spacing w:after="0" w:line="240" w:lineRule="auto"/>
              <w:jc w:val="center"/>
              <w:rPr>
                <w:rFonts w:ascii="Arial" w:hAnsi="Arial" w:cs="Arial"/>
                <w:color w:val="000000"/>
                <w:sz w:val="20"/>
                <w:szCs w:val="20"/>
              </w:rPr>
            </w:pPr>
            <w:r w:rsidRPr="007402FF">
              <w:rPr>
                <w:rFonts w:ascii="Arial" w:hAnsi="Arial" w:cs="Arial"/>
                <w:color w:val="000000"/>
                <w:sz w:val="20"/>
                <w:szCs w:val="20"/>
              </w:rPr>
              <w:t>3</w:t>
            </w:r>
          </w:p>
        </w:tc>
      </w:tr>
      <w:tr w:rsidR="007402FF" w:rsidRPr="007402FF" w14:paraId="1E2D9AC9" w14:textId="77777777" w:rsidTr="007402FF">
        <w:trPr>
          <w:trHeight w:val="255"/>
        </w:trPr>
        <w:tc>
          <w:tcPr>
            <w:tcW w:w="2689" w:type="dxa"/>
            <w:tcBorders>
              <w:top w:val="single" w:sz="4" w:space="0" w:color="8EA9DB"/>
              <w:left w:val="single" w:sz="4" w:space="0" w:color="8EA9DB"/>
              <w:bottom w:val="single" w:sz="4" w:space="0" w:color="8EA9DB"/>
              <w:right w:val="nil"/>
            </w:tcBorders>
            <w:shd w:val="clear" w:color="D9E1F2" w:fill="D9E1F2"/>
            <w:noWrap/>
            <w:vAlign w:val="bottom"/>
            <w:hideMark/>
          </w:tcPr>
          <w:p w14:paraId="45D2C43B" w14:textId="77777777" w:rsidR="007402FF" w:rsidRPr="007402FF" w:rsidRDefault="007402FF" w:rsidP="007402FF">
            <w:pPr>
              <w:spacing w:after="0" w:line="240" w:lineRule="auto"/>
              <w:rPr>
                <w:rFonts w:ascii="Arial" w:hAnsi="Arial" w:cs="Arial"/>
                <w:color w:val="000000"/>
                <w:sz w:val="20"/>
                <w:szCs w:val="20"/>
              </w:rPr>
            </w:pPr>
            <w:r w:rsidRPr="007402FF">
              <w:rPr>
                <w:rFonts w:ascii="Arial" w:hAnsi="Arial" w:cs="Arial"/>
                <w:color w:val="000000"/>
                <w:sz w:val="20"/>
                <w:szCs w:val="20"/>
              </w:rPr>
              <w:t>Canterbury DHB</w:t>
            </w:r>
          </w:p>
        </w:tc>
        <w:tc>
          <w:tcPr>
            <w:tcW w:w="1507" w:type="dxa"/>
            <w:tcBorders>
              <w:top w:val="single" w:sz="4" w:space="0" w:color="8EA9DB"/>
              <w:left w:val="nil"/>
              <w:bottom w:val="single" w:sz="4" w:space="0" w:color="8EA9DB"/>
              <w:right w:val="nil"/>
            </w:tcBorders>
            <w:shd w:val="clear" w:color="D9E1F2" w:fill="D9E1F2"/>
            <w:noWrap/>
            <w:vAlign w:val="bottom"/>
            <w:hideMark/>
          </w:tcPr>
          <w:p w14:paraId="41BEDE74" w14:textId="77777777" w:rsidR="007402FF" w:rsidRPr="007402FF" w:rsidRDefault="007402FF" w:rsidP="007B50DC">
            <w:pPr>
              <w:spacing w:after="0" w:line="240" w:lineRule="auto"/>
              <w:jc w:val="center"/>
              <w:rPr>
                <w:rFonts w:ascii="Arial" w:hAnsi="Arial" w:cs="Arial"/>
                <w:color w:val="000000"/>
                <w:sz w:val="20"/>
                <w:szCs w:val="20"/>
              </w:rPr>
            </w:pPr>
            <w:r w:rsidRPr="007402FF">
              <w:rPr>
                <w:rFonts w:ascii="Arial" w:hAnsi="Arial" w:cs="Arial"/>
                <w:color w:val="000000"/>
                <w:sz w:val="20"/>
                <w:szCs w:val="20"/>
              </w:rPr>
              <w:t>100%</w:t>
            </w:r>
          </w:p>
        </w:tc>
        <w:tc>
          <w:tcPr>
            <w:tcW w:w="1328" w:type="dxa"/>
            <w:tcBorders>
              <w:top w:val="single" w:sz="4" w:space="0" w:color="8EA9DB"/>
              <w:left w:val="nil"/>
              <w:bottom w:val="single" w:sz="4" w:space="0" w:color="8EA9DB"/>
              <w:right w:val="single" w:sz="4" w:space="0" w:color="8EA9DB"/>
            </w:tcBorders>
            <w:shd w:val="clear" w:color="D9E1F2" w:fill="D9E1F2"/>
            <w:noWrap/>
            <w:vAlign w:val="bottom"/>
            <w:hideMark/>
          </w:tcPr>
          <w:p w14:paraId="5268EBDF" w14:textId="77777777" w:rsidR="007402FF" w:rsidRPr="007402FF" w:rsidRDefault="007402FF" w:rsidP="007B50DC">
            <w:pPr>
              <w:spacing w:after="0" w:line="240" w:lineRule="auto"/>
              <w:jc w:val="center"/>
              <w:rPr>
                <w:rFonts w:ascii="Arial" w:hAnsi="Arial" w:cs="Arial"/>
                <w:color w:val="000000"/>
                <w:sz w:val="20"/>
                <w:szCs w:val="20"/>
              </w:rPr>
            </w:pPr>
            <w:r w:rsidRPr="007402FF">
              <w:rPr>
                <w:rFonts w:ascii="Arial" w:hAnsi="Arial" w:cs="Arial"/>
                <w:color w:val="000000"/>
                <w:sz w:val="20"/>
                <w:szCs w:val="20"/>
              </w:rPr>
              <w:t>2</w:t>
            </w:r>
          </w:p>
        </w:tc>
      </w:tr>
      <w:tr w:rsidR="007402FF" w:rsidRPr="007402FF" w14:paraId="56BDFE06" w14:textId="77777777" w:rsidTr="007402FF">
        <w:trPr>
          <w:trHeight w:val="255"/>
        </w:trPr>
        <w:tc>
          <w:tcPr>
            <w:tcW w:w="2689" w:type="dxa"/>
            <w:tcBorders>
              <w:top w:val="single" w:sz="4" w:space="0" w:color="8EA9DB"/>
              <w:left w:val="single" w:sz="4" w:space="0" w:color="8EA9DB"/>
              <w:bottom w:val="single" w:sz="4" w:space="0" w:color="8EA9DB"/>
              <w:right w:val="nil"/>
            </w:tcBorders>
            <w:shd w:val="clear" w:color="auto" w:fill="auto"/>
            <w:noWrap/>
            <w:vAlign w:val="bottom"/>
            <w:hideMark/>
          </w:tcPr>
          <w:p w14:paraId="5697E384" w14:textId="77777777" w:rsidR="007402FF" w:rsidRPr="007402FF" w:rsidRDefault="007402FF" w:rsidP="007402FF">
            <w:pPr>
              <w:spacing w:after="0" w:line="240" w:lineRule="auto"/>
              <w:rPr>
                <w:rFonts w:ascii="Arial" w:hAnsi="Arial" w:cs="Arial"/>
                <w:color w:val="000000"/>
                <w:sz w:val="20"/>
                <w:szCs w:val="20"/>
              </w:rPr>
            </w:pPr>
            <w:r w:rsidRPr="007402FF">
              <w:rPr>
                <w:rFonts w:ascii="Arial" w:hAnsi="Arial" w:cs="Arial"/>
                <w:color w:val="000000"/>
                <w:sz w:val="20"/>
                <w:szCs w:val="20"/>
              </w:rPr>
              <w:t>Capital Coast DHB</w:t>
            </w:r>
          </w:p>
        </w:tc>
        <w:tc>
          <w:tcPr>
            <w:tcW w:w="1507" w:type="dxa"/>
            <w:tcBorders>
              <w:top w:val="single" w:sz="4" w:space="0" w:color="8EA9DB"/>
              <w:left w:val="nil"/>
              <w:bottom w:val="single" w:sz="4" w:space="0" w:color="8EA9DB"/>
              <w:right w:val="nil"/>
            </w:tcBorders>
            <w:shd w:val="clear" w:color="auto" w:fill="auto"/>
            <w:noWrap/>
            <w:vAlign w:val="bottom"/>
            <w:hideMark/>
          </w:tcPr>
          <w:p w14:paraId="1C001845" w14:textId="77777777" w:rsidR="007402FF" w:rsidRPr="007402FF" w:rsidRDefault="007402FF" w:rsidP="007B50DC">
            <w:pPr>
              <w:spacing w:after="0" w:line="240" w:lineRule="auto"/>
              <w:jc w:val="center"/>
              <w:rPr>
                <w:rFonts w:ascii="Arial" w:hAnsi="Arial" w:cs="Arial"/>
                <w:color w:val="000000"/>
                <w:sz w:val="20"/>
                <w:szCs w:val="20"/>
              </w:rPr>
            </w:pPr>
            <w:r w:rsidRPr="007402FF">
              <w:rPr>
                <w:rFonts w:ascii="Arial" w:hAnsi="Arial" w:cs="Arial"/>
                <w:color w:val="000000"/>
                <w:sz w:val="20"/>
                <w:szCs w:val="20"/>
              </w:rPr>
              <w:t>75%</w:t>
            </w:r>
          </w:p>
        </w:tc>
        <w:tc>
          <w:tcPr>
            <w:tcW w:w="1328" w:type="dxa"/>
            <w:tcBorders>
              <w:top w:val="single" w:sz="4" w:space="0" w:color="8EA9DB"/>
              <w:left w:val="nil"/>
              <w:bottom w:val="single" w:sz="4" w:space="0" w:color="8EA9DB"/>
              <w:right w:val="single" w:sz="4" w:space="0" w:color="8EA9DB"/>
            </w:tcBorders>
            <w:shd w:val="clear" w:color="auto" w:fill="auto"/>
            <w:noWrap/>
            <w:vAlign w:val="bottom"/>
            <w:hideMark/>
          </w:tcPr>
          <w:p w14:paraId="4AAFD653" w14:textId="77777777" w:rsidR="007402FF" w:rsidRPr="007402FF" w:rsidRDefault="007402FF" w:rsidP="007B50DC">
            <w:pPr>
              <w:spacing w:after="0" w:line="240" w:lineRule="auto"/>
              <w:jc w:val="center"/>
              <w:rPr>
                <w:rFonts w:ascii="Arial" w:hAnsi="Arial" w:cs="Arial"/>
                <w:color w:val="000000"/>
                <w:sz w:val="20"/>
                <w:szCs w:val="20"/>
              </w:rPr>
            </w:pPr>
            <w:r w:rsidRPr="007402FF">
              <w:rPr>
                <w:rFonts w:ascii="Arial" w:hAnsi="Arial" w:cs="Arial"/>
                <w:color w:val="000000"/>
                <w:sz w:val="20"/>
                <w:szCs w:val="20"/>
              </w:rPr>
              <w:t>4</w:t>
            </w:r>
          </w:p>
        </w:tc>
      </w:tr>
      <w:tr w:rsidR="007402FF" w:rsidRPr="007402FF" w14:paraId="43E022FD" w14:textId="77777777" w:rsidTr="007402FF">
        <w:trPr>
          <w:trHeight w:val="255"/>
        </w:trPr>
        <w:tc>
          <w:tcPr>
            <w:tcW w:w="2689" w:type="dxa"/>
            <w:tcBorders>
              <w:top w:val="single" w:sz="4" w:space="0" w:color="8EA9DB"/>
              <w:left w:val="single" w:sz="4" w:space="0" w:color="8EA9DB"/>
              <w:bottom w:val="single" w:sz="4" w:space="0" w:color="8EA9DB"/>
              <w:right w:val="nil"/>
            </w:tcBorders>
            <w:shd w:val="clear" w:color="D9E1F2" w:fill="D9E1F2"/>
            <w:noWrap/>
            <w:vAlign w:val="bottom"/>
            <w:hideMark/>
          </w:tcPr>
          <w:p w14:paraId="51C71E25" w14:textId="77777777" w:rsidR="007402FF" w:rsidRPr="007402FF" w:rsidRDefault="007402FF" w:rsidP="007402FF">
            <w:pPr>
              <w:spacing w:after="0" w:line="240" w:lineRule="auto"/>
              <w:rPr>
                <w:rFonts w:ascii="Arial" w:hAnsi="Arial" w:cs="Arial"/>
                <w:color w:val="000000"/>
                <w:sz w:val="20"/>
                <w:szCs w:val="20"/>
              </w:rPr>
            </w:pPr>
            <w:r w:rsidRPr="007402FF">
              <w:rPr>
                <w:rFonts w:ascii="Arial" w:hAnsi="Arial" w:cs="Arial"/>
                <w:color w:val="000000"/>
                <w:sz w:val="20"/>
                <w:szCs w:val="20"/>
              </w:rPr>
              <w:t xml:space="preserve">Counties </w:t>
            </w:r>
            <w:proofErr w:type="spellStart"/>
            <w:r w:rsidRPr="007402FF">
              <w:rPr>
                <w:rFonts w:ascii="Arial" w:hAnsi="Arial" w:cs="Arial"/>
                <w:color w:val="000000"/>
                <w:sz w:val="20"/>
                <w:szCs w:val="20"/>
              </w:rPr>
              <w:t>Manukau</w:t>
            </w:r>
            <w:proofErr w:type="spellEnd"/>
            <w:r w:rsidRPr="007402FF">
              <w:rPr>
                <w:rFonts w:ascii="Arial" w:hAnsi="Arial" w:cs="Arial"/>
                <w:color w:val="000000"/>
                <w:sz w:val="20"/>
                <w:szCs w:val="20"/>
              </w:rPr>
              <w:t xml:space="preserve"> DHB</w:t>
            </w:r>
          </w:p>
        </w:tc>
        <w:tc>
          <w:tcPr>
            <w:tcW w:w="1507" w:type="dxa"/>
            <w:tcBorders>
              <w:top w:val="single" w:sz="4" w:space="0" w:color="8EA9DB"/>
              <w:left w:val="nil"/>
              <w:bottom w:val="single" w:sz="4" w:space="0" w:color="8EA9DB"/>
              <w:right w:val="nil"/>
            </w:tcBorders>
            <w:shd w:val="clear" w:color="D9E1F2" w:fill="D9E1F2"/>
            <w:noWrap/>
            <w:vAlign w:val="bottom"/>
            <w:hideMark/>
          </w:tcPr>
          <w:p w14:paraId="5EDC55D8" w14:textId="77777777" w:rsidR="007402FF" w:rsidRPr="007402FF" w:rsidRDefault="007402FF" w:rsidP="007B50DC">
            <w:pPr>
              <w:spacing w:after="0" w:line="240" w:lineRule="auto"/>
              <w:jc w:val="center"/>
              <w:rPr>
                <w:rFonts w:ascii="Arial" w:hAnsi="Arial" w:cs="Arial"/>
                <w:color w:val="000000"/>
                <w:sz w:val="20"/>
                <w:szCs w:val="20"/>
              </w:rPr>
            </w:pPr>
            <w:r w:rsidRPr="007402FF">
              <w:rPr>
                <w:rFonts w:ascii="Arial" w:hAnsi="Arial" w:cs="Arial"/>
                <w:color w:val="000000"/>
                <w:sz w:val="20"/>
                <w:szCs w:val="20"/>
              </w:rPr>
              <w:t>92%</w:t>
            </w:r>
          </w:p>
        </w:tc>
        <w:tc>
          <w:tcPr>
            <w:tcW w:w="1328" w:type="dxa"/>
            <w:tcBorders>
              <w:top w:val="single" w:sz="4" w:space="0" w:color="8EA9DB"/>
              <w:left w:val="nil"/>
              <w:bottom w:val="single" w:sz="4" w:space="0" w:color="8EA9DB"/>
              <w:right w:val="single" w:sz="4" w:space="0" w:color="8EA9DB"/>
            </w:tcBorders>
            <w:shd w:val="clear" w:color="D9E1F2" w:fill="D9E1F2"/>
            <w:noWrap/>
            <w:vAlign w:val="bottom"/>
            <w:hideMark/>
          </w:tcPr>
          <w:p w14:paraId="45D62898" w14:textId="77777777" w:rsidR="007402FF" w:rsidRPr="007402FF" w:rsidRDefault="007402FF" w:rsidP="007B50DC">
            <w:pPr>
              <w:spacing w:after="0" w:line="240" w:lineRule="auto"/>
              <w:jc w:val="center"/>
              <w:rPr>
                <w:rFonts w:ascii="Arial" w:hAnsi="Arial" w:cs="Arial"/>
                <w:color w:val="000000"/>
                <w:sz w:val="20"/>
                <w:szCs w:val="20"/>
              </w:rPr>
            </w:pPr>
            <w:r w:rsidRPr="007402FF">
              <w:rPr>
                <w:rFonts w:ascii="Arial" w:hAnsi="Arial" w:cs="Arial"/>
                <w:color w:val="000000"/>
                <w:sz w:val="20"/>
                <w:szCs w:val="20"/>
              </w:rPr>
              <w:t>12</w:t>
            </w:r>
          </w:p>
        </w:tc>
      </w:tr>
      <w:tr w:rsidR="007402FF" w:rsidRPr="007402FF" w14:paraId="3356B80E" w14:textId="77777777" w:rsidTr="007402FF">
        <w:trPr>
          <w:trHeight w:val="255"/>
        </w:trPr>
        <w:tc>
          <w:tcPr>
            <w:tcW w:w="2689" w:type="dxa"/>
            <w:tcBorders>
              <w:top w:val="single" w:sz="4" w:space="0" w:color="8EA9DB"/>
              <w:left w:val="single" w:sz="4" w:space="0" w:color="8EA9DB"/>
              <w:bottom w:val="single" w:sz="4" w:space="0" w:color="8EA9DB"/>
              <w:right w:val="nil"/>
            </w:tcBorders>
            <w:shd w:val="clear" w:color="auto" w:fill="auto"/>
            <w:noWrap/>
            <w:vAlign w:val="bottom"/>
            <w:hideMark/>
          </w:tcPr>
          <w:p w14:paraId="08AB209A" w14:textId="77777777" w:rsidR="007402FF" w:rsidRPr="007402FF" w:rsidRDefault="007402FF" w:rsidP="007402FF">
            <w:pPr>
              <w:spacing w:after="0" w:line="240" w:lineRule="auto"/>
              <w:rPr>
                <w:rFonts w:ascii="Arial" w:hAnsi="Arial" w:cs="Arial"/>
                <w:color w:val="000000"/>
                <w:sz w:val="20"/>
                <w:szCs w:val="20"/>
              </w:rPr>
            </w:pPr>
            <w:r w:rsidRPr="007402FF">
              <w:rPr>
                <w:rFonts w:ascii="Arial" w:hAnsi="Arial" w:cs="Arial"/>
                <w:color w:val="000000"/>
                <w:sz w:val="20"/>
                <w:szCs w:val="20"/>
              </w:rPr>
              <w:t>Hawkes Bay DHB</w:t>
            </w:r>
          </w:p>
        </w:tc>
        <w:tc>
          <w:tcPr>
            <w:tcW w:w="1507" w:type="dxa"/>
            <w:tcBorders>
              <w:top w:val="single" w:sz="4" w:space="0" w:color="8EA9DB"/>
              <w:left w:val="nil"/>
              <w:bottom w:val="single" w:sz="4" w:space="0" w:color="8EA9DB"/>
              <w:right w:val="nil"/>
            </w:tcBorders>
            <w:shd w:val="clear" w:color="auto" w:fill="auto"/>
            <w:noWrap/>
            <w:vAlign w:val="bottom"/>
            <w:hideMark/>
          </w:tcPr>
          <w:p w14:paraId="280E5B82" w14:textId="77777777" w:rsidR="007402FF" w:rsidRPr="007402FF" w:rsidRDefault="007402FF" w:rsidP="007B50DC">
            <w:pPr>
              <w:spacing w:after="0" w:line="240" w:lineRule="auto"/>
              <w:jc w:val="center"/>
              <w:rPr>
                <w:rFonts w:ascii="Arial" w:hAnsi="Arial" w:cs="Arial"/>
                <w:color w:val="000000"/>
                <w:sz w:val="20"/>
                <w:szCs w:val="20"/>
              </w:rPr>
            </w:pPr>
            <w:r w:rsidRPr="007402FF">
              <w:rPr>
                <w:rFonts w:ascii="Arial" w:hAnsi="Arial" w:cs="Arial"/>
                <w:color w:val="000000"/>
                <w:sz w:val="20"/>
                <w:szCs w:val="20"/>
              </w:rPr>
              <w:t>0%</w:t>
            </w:r>
          </w:p>
        </w:tc>
        <w:tc>
          <w:tcPr>
            <w:tcW w:w="1328" w:type="dxa"/>
            <w:tcBorders>
              <w:top w:val="single" w:sz="4" w:space="0" w:color="8EA9DB"/>
              <w:left w:val="nil"/>
              <w:bottom w:val="single" w:sz="4" w:space="0" w:color="8EA9DB"/>
              <w:right w:val="single" w:sz="4" w:space="0" w:color="8EA9DB"/>
            </w:tcBorders>
            <w:shd w:val="clear" w:color="auto" w:fill="auto"/>
            <w:noWrap/>
            <w:vAlign w:val="bottom"/>
            <w:hideMark/>
          </w:tcPr>
          <w:p w14:paraId="49D96078" w14:textId="77777777" w:rsidR="007402FF" w:rsidRPr="007402FF" w:rsidRDefault="007402FF" w:rsidP="007B50DC">
            <w:pPr>
              <w:spacing w:after="0" w:line="240" w:lineRule="auto"/>
              <w:jc w:val="center"/>
              <w:rPr>
                <w:rFonts w:ascii="Arial" w:hAnsi="Arial" w:cs="Arial"/>
                <w:color w:val="000000"/>
                <w:sz w:val="20"/>
                <w:szCs w:val="20"/>
              </w:rPr>
            </w:pPr>
            <w:r w:rsidRPr="007402FF">
              <w:rPr>
                <w:rFonts w:ascii="Arial" w:hAnsi="Arial" w:cs="Arial"/>
                <w:color w:val="000000"/>
                <w:sz w:val="20"/>
                <w:szCs w:val="20"/>
              </w:rPr>
              <w:t>1</w:t>
            </w:r>
          </w:p>
        </w:tc>
      </w:tr>
      <w:tr w:rsidR="007402FF" w:rsidRPr="007402FF" w14:paraId="227B893C" w14:textId="77777777" w:rsidTr="007402FF">
        <w:trPr>
          <w:trHeight w:val="255"/>
        </w:trPr>
        <w:tc>
          <w:tcPr>
            <w:tcW w:w="2689" w:type="dxa"/>
            <w:tcBorders>
              <w:top w:val="single" w:sz="4" w:space="0" w:color="8EA9DB"/>
              <w:left w:val="single" w:sz="4" w:space="0" w:color="8EA9DB"/>
              <w:bottom w:val="single" w:sz="4" w:space="0" w:color="8EA9DB"/>
              <w:right w:val="nil"/>
            </w:tcBorders>
            <w:shd w:val="clear" w:color="D9E1F2" w:fill="D9E1F2"/>
            <w:noWrap/>
            <w:vAlign w:val="bottom"/>
            <w:hideMark/>
          </w:tcPr>
          <w:p w14:paraId="20DFD079" w14:textId="77777777" w:rsidR="007402FF" w:rsidRPr="007402FF" w:rsidRDefault="007402FF" w:rsidP="007402FF">
            <w:pPr>
              <w:spacing w:after="0" w:line="240" w:lineRule="auto"/>
              <w:rPr>
                <w:rFonts w:ascii="Arial" w:hAnsi="Arial" w:cs="Arial"/>
                <w:color w:val="000000"/>
                <w:sz w:val="20"/>
                <w:szCs w:val="20"/>
              </w:rPr>
            </w:pPr>
            <w:r w:rsidRPr="007402FF">
              <w:rPr>
                <w:rFonts w:ascii="Arial" w:hAnsi="Arial" w:cs="Arial"/>
                <w:color w:val="000000"/>
                <w:sz w:val="20"/>
                <w:szCs w:val="20"/>
              </w:rPr>
              <w:t>Hutt DHB</w:t>
            </w:r>
          </w:p>
        </w:tc>
        <w:tc>
          <w:tcPr>
            <w:tcW w:w="1507" w:type="dxa"/>
            <w:tcBorders>
              <w:top w:val="single" w:sz="4" w:space="0" w:color="8EA9DB"/>
              <w:left w:val="nil"/>
              <w:bottom w:val="single" w:sz="4" w:space="0" w:color="8EA9DB"/>
              <w:right w:val="nil"/>
            </w:tcBorders>
            <w:shd w:val="clear" w:color="D9E1F2" w:fill="D9E1F2"/>
            <w:noWrap/>
            <w:vAlign w:val="bottom"/>
            <w:hideMark/>
          </w:tcPr>
          <w:p w14:paraId="454D6E33" w14:textId="77777777" w:rsidR="007402FF" w:rsidRPr="007402FF" w:rsidRDefault="007402FF" w:rsidP="007B50DC">
            <w:pPr>
              <w:spacing w:after="0" w:line="240" w:lineRule="auto"/>
              <w:jc w:val="center"/>
              <w:rPr>
                <w:rFonts w:ascii="Arial" w:hAnsi="Arial" w:cs="Arial"/>
                <w:color w:val="000000"/>
                <w:sz w:val="20"/>
                <w:szCs w:val="20"/>
              </w:rPr>
            </w:pPr>
            <w:r w:rsidRPr="007402FF">
              <w:rPr>
                <w:rFonts w:ascii="Arial" w:hAnsi="Arial" w:cs="Arial"/>
                <w:color w:val="000000"/>
                <w:sz w:val="20"/>
                <w:szCs w:val="20"/>
              </w:rPr>
              <w:t>100%</w:t>
            </w:r>
          </w:p>
        </w:tc>
        <w:tc>
          <w:tcPr>
            <w:tcW w:w="1328" w:type="dxa"/>
            <w:tcBorders>
              <w:top w:val="single" w:sz="4" w:space="0" w:color="8EA9DB"/>
              <w:left w:val="nil"/>
              <w:bottom w:val="single" w:sz="4" w:space="0" w:color="8EA9DB"/>
              <w:right w:val="single" w:sz="4" w:space="0" w:color="8EA9DB"/>
            </w:tcBorders>
            <w:shd w:val="clear" w:color="D9E1F2" w:fill="D9E1F2"/>
            <w:noWrap/>
            <w:vAlign w:val="bottom"/>
            <w:hideMark/>
          </w:tcPr>
          <w:p w14:paraId="468975DD" w14:textId="77777777" w:rsidR="007402FF" w:rsidRPr="007402FF" w:rsidRDefault="007402FF" w:rsidP="007B50DC">
            <w:pPr>
              <w:spacing w:after="0" w:line="240" w:lineRule="auto"/>
              <w:jc w:val="center"/>
              <w:rPr>
                <w:rFonts w:ascii="Arial" w:hAnsi="Arial" w:cs="Arial"/>
                <w:color w:val="000000"/>
                <w:sz w:val="20"/>
                <w:szCs w:val="20"/>
              </w:rPr>
            </w:pPr>
            <w:r w:rsidRPr="007402FF">
              <w:rPr>
                <w:rFonts w:ascii="Arial" w:hAnsi="Arial" w:cs="Arial"/>
                <w:color w:val="000000"/>
                <w:sz w:val="20"/>
                <w:szCs w:val="20"/>
              </w:rPr>
              <w:t>1</w:t>
            </w:r>
          </w:p>
        </w:tc>
      </w:tr>
      <w:tr w:rsidR="007402FF" w:rsidRPr="007402FF" w14:paraId="39F2F228" w14:textId="77777777" w:rsidTr="007402FF">
        <w:trPr>
          <w:trHeight w:val="255"/>
        </w:trPr>
        <w:tc>
          <w:tcPr>
            <w:tcW w:w="2689" w:type="dxa"/>
            <w:tcBorders>
              <w:top w:val="single" w:sz="4" w:space="0" w:color="8EA9DB"/>
              <w:left w:val="single" w:sz="4" w:space="0" w:color="8EA9DB"/>
              <w:bottom w:val="single" w:sz="4" w:space="0" w:color="8EA9DB"/>
              <w:right w:val="nil"/>
            </w:tcBorders>
            <w:shd w:val="clear" w:color="auto" w:fill="auto"/>
            <w:noWrap/>
            <w:vAlign w:val="bottom"/>
            <w:hideMark/>
          </w:tcPr>
          <w:p w14:paraId="784C967D" w14:textId="77777777" w:rsidR="007402FF" w:rsidRPr="007402FF" w:rsidRDefault="007402FF" w:rsidP="007402FF">
            <w:pPr>
              <w:spacing w:after="0" w:line="240" w:lineRule="auto"/>
              <w:rPr>
                <w:rFonts w:ascii="Arial" w:hAnsi="Arial" w:cs="Arial"/>
                <w:color w:val="000000"/>
                <w:sz w:val="20"/>
                <w:szCs w:val="20"/>
              </w:rPr>
            </w:pPr>
            <w:r w:rsidRPr="007402FF">
              <w:rPr>
                <w:rFonts w:ascii="Arial" w:hAnsi="Arial" w:cs="Arial"/>
                <w:color w:val="000000"/>
                <w:sz w:val="20"/>
                <w:szCs w:val="20"/>
              </w:rPr>
              <w:t>Lakes DHB</w:t>
            </w:r>
          </w:p>
        </w:tc>
        <w:tc>
          <w:tcPr>
            <w:tcW w:w="1507" w:type="dxa"/>
            <w:tcBorders>
              <w:top w:val="single" w:sz="4" w:space="0" w:color="8EA9DB"/>
              <w:left w:val="nil"/>
              <w:bottom w:val="single" w:sz="4" w:space="0" w:color="8EA9DB"/>
              <w:right w:val="nil"/>
            </w:tcBorders>
            <w:shd w:val="clear" w:color="auto" w:fill="auto"/>
            <w:noWrap/>
            <w:vAlign w:val="bottom"/>
            <w:hideMark/>
          </w:tcPr>
          <w:p w14:paraId="2D36357E" w14:textId="77777777" w:rsidR="007402FF" w:rsidRPr="007402FF" w:rsidRDefault="007402FF" w:rsidP="007B50DC">
            <w:pPr>
              <w:spacing w:after="0" w:line="240" w:lineRule="auto"/>
              <w:jc w:val="center"/>
              <w:rPr>
                <w:rFonts w:ascii="Arial" w:hAnsi="Arial" w:cs="Arial"/>
                <w:color w:val="000000"/>
                <w:sz w:val="20"/>
                <w:szCs w:val="20"/>
              </w:rPr>
            </w:pPr>
            <w:r w:rsidRPr="007402FF">
              <w:rPr>
                <w:rFonts w:ascii="Arial" w:hAnsi="Arial" w:cs="Arial"/>
                <w:color w:val="000000"/>
                <w:sz w:val="20"/>
                <w:szCs w:val="20"/>
              </w:rPr>
              <w:t>67%</w:t>
            </w:r>
          </w:p>
        </w:tc>
        <w:tc>
          <w:tcPr>
            <w:tcW w:w="1328" w:type="dxa"/>
            <w:tcBorders>
              <w:top w:val="single" w:sz="4" w:space="0" w:color="8EA9DB"/>
              <w:left w:val="nil"/>
              <w:bottom w:val="single" w:sz="4" w:space="0" w:color="8EA9DB"/>
              <w:right w:val="single" w:sz="4" w:space="0" w:color="8EA9DB"/>
            </w:tcBorders>
            <w:shd w:val="clear" w:color="auto" w:fill="auto"/>
            <w:noWrap/>
            <w:vAlign w:val="bottom"/>
            <w:hideMark/>
          </w:tcPr>
          <w:p w14:paraId="13AEF4D3" w14:textId="77777777" w:rsidR="007402FF" w:rsidRPr="007402FF" w:rsidRDefault="007402FF" w:rsidP="007B50DC">
            <w:pPr>
              <w:spacing w:after="0" w:line="240" w:lineRule="auto"/>
              <w:jc w:val="center"/>
              <w:rPr>
                <w:rFonts w:ascii="Arial" w:hAnsi="Arial" w:cs="Arial"/>
                <w:color w:val="000000"/>
                <w:sz w:val="20"/>
                <w:szCs w:val="20"/>
              </w:rPr>
            </w:pPr>
            <w:r w:rsidRPr="007402FF">
              <w:rPr>
                <w:rFonts w:ascii="Arial" w:hAnsi="Arial" w:cs="Arial"/>
                <w:color w:val="000000"/>
                <w:sz w:val="20"/>
                <w:szCs w:val="20"/>
              </w:rPr>
              <w:t>3</w:t>
            </w:r>
          </w:p>
        </w:tc>
      </w:tr>
      <w:tr w:rsidR="007402FF" w:rsidRPr="007402FF" w14:paraId="3E09F015" w14:textId="77777777" w:rsidTr="007402FF">
        <w:trPr>
          <w:trHeight w:val="255"/>
        </w:trPr>
        <w:tc>
          <w:tcPr>
            <w:tcW w:w="2689" w:type="dxa"/>
            <w:tcBorders>
              <w:top w:val="single" w:sz="4" w:space="0" w:color="8EA9DB"/>
              <w:left w:val="single" w:sz="4" w:space="0" w:color="8EA9DB"/>
              <w:bottom w:val="single" w:sz="4" w:space="0" w:color="8EA9DB"/>
              <w:right w:val="nil"/>
            </w:tcBorders>
            <w:shd w:val="clear" w:color="D9E1F2" w:fill="D9E1F2"/>
            <w:noWrap/>
            <w:vAlign w:val="bottom"/>
            <w:hideMark/>
          </w:tcPr>
          <w:p w14:paraId="3840C884" w14:textId="77777777" w:rsidR="007402FF" w:rsidRPr="007402FF" w:rsidRDefault="007402FF" w:rsidP="007402FF">
            <w:pPr>
              <w:spacing w:after="0" w:line="240" w:lineRule="auto"/>
              <w:rPr>
                <w:rFonts w:ascii="Arial" w:hAnsi="Arial" w:cs="Arial"/>
                <w:color w:val="000000"/>
                <w:sz w:val="20"/>
                <w:szCs w:val="20"/>
              </w:rPr>
            </w:pPr>
            <w:r w:rsidRPr="007402FF">
              <w:rPr>
                <w:rFonts w:ascii="Arial" w:hAnsi="Arial" w:cs="Arial"/>
                <w:color w:val="000000"/>
                <w:sz w:val="20"/>
                <w:szCs w:val="20"/>
              </w:rPr>
              <w:t>Mid Central DHB</w:t>
            </w:r>
          </w:p>
        </w:tc>
        <w:tc>
          <w:tcPr>
            <w:tcW w:w="1507" w:type="dxa"/>
            <w:tcBorders>
              <w:top w:val="single" w:sz="4" w:space="0" w:color="8EA9DB"/>
              <w:left w:val="nil"/>
              <w:bottom w:val="single" w:sz="4" w:space="0" w:color="8EA9DB"/>
              <w:right w:val="nil"/>
            </w:tcBorders>
            <w:shd w:val="clear" w:color="D9E1F2" w:fill="D9E1F2"/>
            <w:noWrap/>
            <w:vAlign w:val="bottom"/>
            <w:hideMark/>
          </w:tcPr>
          <w:p w14:paraId="28593D95" w14:textId="77777777" w:rsidR="007402FF" w:rsidRPr="007402FF" w:rsidRDefault="007402FF" w:rsidP="007B50DC">
            <w:pPr>
              <w:spacing w:after="0" w:line="240" w:lineRule="auto"/>
              <w:jc w:val="center"/>
              <w:rPr>
                <w:rFonts w:ascii="Arial" w:hAnsi="Arial" w:cs="Arial"/>
                <w:color w:val="000000"/>
                <w:sz w:val="20"/>
                <w:szCs w:val="20"/>
              </w:rPr>
            </w:pPr>
            <w:r w:rsidRPr="007402FF">
              <w:rPr>
                <w:rFonts w:ascii="Arial" w:hAnsi="Arial" w:cs="Arial"/>
                <w:color w:val="000000"/>
                <w:sz w:val="20"/>
                <w:szCs w:val="20"/>
              </w:rPr>
              <w:t>0%</w:t>
            </w:r>
          </w:p>
        </w:tc>
        <w:tc>
          <w:tcPr>
            <w:tcW w:w="1328" w:type="dxa"/>
            <w:tcBorders>
              <w:top w:val="single" w:sz="4" w:space="0" w:color="8EA9DB"/>
              <w:left w:val="nil"/>
              <w:bottom w:val="single" w:sz="4" w:space="0" w:color="8EA9DB"/>
              <w:right w:val="single" w:sz="4" w:space="0" w:color="8EA9DB"/>
            </w:tcBorders>
            <w:shd w:val="clear" w:color="D9E1F2" w:fill="D9E1F2"/>
            <w:noWrap/>
            <w:vAlign w:val="bottom"/>
            <w:hideMark/>
          </w:tcPr>
          <w:p w14:paraId="029C3781" w14:textId="77777777" w:rsidR="007402FF" w:rsidRPr="007402FF" w:rsidRDefault="007402FF" w:rsidP="007B50DC">
            <w:pPr>
              <w:spacing w:after="0" w:line="240" w:lineRule="auto"/>
              <w:jc w:val="center"/>
              <w:rPr>
                <w:rFonts w:ascii="Arial" w:hAnsi="Arial" w:cs="Arial"/>
                <w:color w:val="000000"/>
                <w:sz w:val="20"/>
                <w:szCs w:val="20"/>
              </w:rPr>
            </w:pPr>
            <w:r w:rsidRPr="007402FF">
              <w:rPr>
                <w:rFonts w:ascii="Arial" w:hAnsi="Arial" w:cs="Arial"/>
                <w:color w:val="000000"/>
                <w:sz w:val="20"/>
                <w:szCs w:val="20"/>
              </w:rPr>
              <w:t>1</w:t>
            </w:r>
          </w:p>
        </w:tc>
      </w:tr>
      <w:tr w:rsidR="007402FF" w:rsidRPr="007402FF" w14:paraId="2331D07B" w14:textId="77777777" w:rsidTr="007402FF">
        <w:trPr>
          <w:trHeight w:val="255"/>
        </w:trPr>
        <w:tc>
          <w:tcPr>
            <w:tcW w:w="2689" w:type="dxa"/>
            <w:tcBorders>
              <w:top w:val="single" w:sz="4" w:space="0" w:color="8EA9DB"/>
              <w:left w:val="single" w:sz="4" w:space="0" w:color="8EA9DB"/>
              <w:bottom w:val="single" w:sz="4" w:space="0" w:color="8EA9DB"/>
              <w:right w:val="nil"/>
            </w:tcBorders>
            <w:shd w:val="clear" w:color="auto" w:fill="auto"/>
            <w:noWrap/>
            <w:vAlign w:val="bottom"/>
            <w:hideMark/>
          </w:tcPr>
          <w:p w14:paraId="1E4C3385" w14:textId="77777777" w:rsidR="007402FF" w:rsidRPr="007402FF" w:rsidRDefault="007402FF" w:rsidP="007402FF">
            <w:pPr>
              <w:spacing w:after="0" w:line="240" w:lineRule="auto"/>
              <w:rPr>
                <w:rFonts w:ascii="Arial" w:hAnsi="Arial" w:cs="Arial"/>
                <w:color w:val="000000"/>
                <w:sz w:val="20"/>
                <w:szCs w:val="20"/>
              </w:rPr>
            </w:pPr>
            <w:r w:rsidRPr="007402FF">
              <w:rPr>
                <w:rFonts w:ascii="Arial" w:hAnsi="Arial" w:cs="Arial"/>
                <w:color w:val="000000"/>
                <w:sz w:val="20"/>
                <w:szCs w:val="20"/>
              </w:rPr>
              <w:t>Nelson Marlborough DHB</w:t>
            </w:r>
          </w:p>
        </w:tc>
        <w:tc>
          <w:tcPr>
            <w:tcW w:w="1507" w:type="dxa"/>
            <w:tcBorders>
              <w:top w:val="single" w:sz="4" w:space="0" w:color="8EA9DB"/>
              <w:left w:val="nil"/>
              <w:bottom w:val="single" w:sz="4" w:space="0" w:color="8EA9DB"/>
              <w:right w:val="nil"/>
            </w:tcBorders>
            <w:shd w:val="clear" w:color="auto" w:fill="auto"/>
            <w:noWrap/>
            <w:vAlign w:val="bottom"/>
            <w:hideMark/>
          </w:tcPr>
          <w:p w14:paraId="6C613048" w14:textId="77777777" w:rsidR="007402FF" w:rsidRPr="007402FF" w:rsidRDefault="007402FF" w:rsidP="007B50DC">
            <w:pPr>
              <w:spacing w:after="0" w:line="240" w:lineRule="auto"/>
              <w:jc w:val="center"/>
              <w:rPr>
                <w:rFonts w:ascii="Arial" w:hAnsi="Arial" w:cs="Arial"/>
                <w:color w:val="000000"/>
                <w:sz w:val="20"/>
                <w:szCs w:val="20"/>
              </w:rPr>
            </w:pPr>
            <w:r w:rsidRPr="007402FF">
              <w:rPr>
                <w:rFonts w:ascii="Arial" w:hAnsi="Arial" w:cs="Arial"/>
                <w:color w:val="000000"/>
                <w:sz w:val="20"/>
                <w:szCs w:val="20"/>
              </w:rPr>
              <w:t>100%</w:t>
            </w:r>
          </w:p>
        </w:tc>
        <w:tc>
          <w:tcPr>
            <w:tcW w:w="1328" w:type="dxa"/>
            <w:tcBorders>
              <w:top w:val="single" w:sz="4" w:space="0" w:color="8EA9DB"/>
              <w:left w:val="nil"/>
              <w:bottom w:val="single" w:sz="4" w:space="0" w:color="8EA9DB"/>
              <w:right w:val="single" w:sz="4" w:space="0" w:color="8EA9DB"/>
            </w:tcBorders>
            <w:shd w:val="clear" w:color="auto" w:fill="auto"/>
            <w:noWrap/>
            <w:vAlign w:val="bottom"/>
            <w:hideMark/>
          </w:tcPr>
          <w:p w14:paraId="6786387C" w14:textId="77777777" w:rsidR="007402FF" w:rsidRPr="007402FF" w:rsidRDefault="007402FF" w:rsidP="007B50DC">
            <w:pPr>
              <w:spacing w:after="0" w:line="240" w:lineRule="auto"/>
              <w:jc w:val="center"/>
              <w:rPr>
                <w:rFonts w:ascii="Arial" w:hAnsi="Arial" w:cs="Arial"/>
                <w:color w:val="000000"/>
                <w:sz w:val="20"/>
                <w:szCs w:val="20"/>
              </w:rPr>
            </w:pPr>
            <w:r w:rsidRPr="007402FF">
              <w:rPr>
                <w:rFonts w:ascii="Arial" w:hAnsi="Arial" w:cs="Arial"/>
                <w:color w:val="000000"/>
                <w:sz w:val="20"/>
                <w:szCs w:val="20"/>
              </w:rPr>
              <w:t>1</w:t>
            </w:r>
          </w:p>
        </w:tc>
      </w:tr>
      <w:tr w:rsidR="007402FF" w:rsidRPr="007402FF" w14:paraId="4948B241" w14:textId="77777777" w:rsidTr="007402FF">
        <w:trPr>
          <w:trHeight w:val="255"/>
        </w:trPr>
        <w:tc>
          <w:tcPr>
            <w:tcW w:w="2689" w:type="dxa"/>
            <w:tcBorders>
              <w:top w:val="single" w:sz="4" w:space="0" w:color="8EA9DB"/>
              <w:left w:val="single" w:sz="4" w:space="0" w:color="8EA9DB"/>
              <w:bottom w:val="single" w:sz="4" w:space="0" w:color="8EA9DB"/>
              <w:right w:val="nil"/>
            </w:tcBorders>
            <w:shd w:val="clear" w:color="D9E1F2" w:fill="D9E1F2"/>
            <w:noWrap/>
            <w:vAlign w:val="bottom"/>
            <w:hideMark/>
          </w:tcPr>
          <w:p w14:paraId="4917B395" w14:textId="77777777" w:rsidR="007402FF" w:rsidRPr="007402FF" w:rsidRDefault="007402FF" w:rsidP="007402FF">
            <w:pPr>
              <w:spacing w:after="0" w:line="240" w:lineRule="auto"/>
              <w:rPr>
                <w:rFonts w:ascii="Arial" w:hAnsi="Arial" w:cs="Arial"/>
                <w:color w:val="000000"/>
                <w:sz w:val="20"/>
                <w:szCs w:val="20"/>
              </w:rPr>
            </w:pPr>
            <w:r w:rsidRPr="007402FF">
              <w:rPr>
                <w:rFonts w:ascii="Arial" w:hAnsi="Arial" w:cs="Arial"/>
                <w:color w:val="000000"/>
                <w:sz w:val="20"/>
                <w:szCs w:val="20"/>
              </w:rPr>
              <w:t>Northland DHB</w:t>
            </w:r>
          </w:p>
        </w:tc>
        <w:tc>
          <w:tcPr>
            <w:tcW w:w="1507" w:type="dxa"/>
            <w:tcBorders>
              <w:top w:val="single" w:sz="4" w:space="0" w:color="8EA9DB"/>
              <w:left w:val="nil"/>
              <w:bottom w:val="single" w:sz="4" w:space="0" w:color="8EA9DB"/>
              <w:right w:val="nil"/>
            </w:tcBorders>
            <w:shd w:val="clear" w:color="D9E1F2" w:fill="D9E1F2"/>
            <w:noWrap/>
            <w:vAlign w:val="bottom"/>
            <w:hideMark/>
          </w:tcPr>
          <w:p w14:paraId="2D513E1C" w14:textId="77777777" w:rsidR="007402FF" w:rsidRPr="007402FF" w:rsidRDefault="007402FF" w:rsidP="007B50DC">
            <w:pPr>
              <w:spacing w:after="0" w:line="240" w:lineRule="auto"/>
              <w:jc w:val="center"/>
              <w:rPr>
                <w:rFonts w:ascii="Arial" w:hAnsi="Arial" w:cs="Arial"/>
                <w:color w:val="000000"/>
                <w:sz w:val="20"/>
                <w:szCs w:val="20"/>
              </w:rPr>
            </w:pPr>
            <w:r w:rsidRPr="007402FF">
              <w:rPr>
                <w:rFonts w:ascii="Arial" w:hAnsi="Arial" w:cs="Arial"/>
                <w:color w:val="000000"/>
                <w:sz w:val="20"/>
                <w:szCs w:val="20"/>
              </w:rPr>
              <w:t>100%</w:t>
            </w:r>
          </w:p>
        </w:tc>
        <w:tc>
          <w:tcPr>
            <w:tcW w:w="1328" w:type="dxa"/>
            <w:tcBorders>
              <w:top w:val="single" w:sz="4" w:space="0" w:color="8EA9DB"/>
              <w:left w:val="nil"/>
              <w:bottom w:val="single" w:sz="4" w:space="0" w:color="8EA9DB"/>
              <w:right w:val="single" w:sz="4" w:space="0" w:color="8EA9DB"/>
            </w:tcBorders>
            <w:shd w:val="clear" w:color="D9E1F2" w:fill="D9E1F2"/>
            <w:noWrap/>
            <w:vAlign w:val="bottom"/>
            <w:hideMark/>
          </w:tcPr>
          <w:p w14:paraId="20C88FFD" w14:textId="77777777" w:rsidR="007402FF" w:rsidRPr="007402FF" w:rsidRDefault="007402FF" w:rsidP="007B50DC">
            <w:pPr>
              <w:spacing w:after="0" w:line="240" w:lineRule="auto"/>
              <w:jc w:val="center"/>
              <w:rPr>
                <w:rFonts w:ascii="Arial" w:hAnsi="Arial" w:cs="Arial"/>
                <w:color w:val="000000"/>
                <w:sz w:val="20"/>
                <w:szCs w:val="20"/>
              </w:rPr>
            </w:pPr>
            <w:r w:rsidRPr="007402FF">
              <w:rPr>
                <w:rFonts w:ascii="Arial" w:hAnsi="Arial" w:cs="Arial"/>
                <w:color w:val="000000"/>
                <w:sz w:val="20"/>
                <w:szCs w:val="20"/>
              </w:rPr>
              <w:t>4</w:t>
            </w:r>
          </w:p>
        </w:tc>
      </w:tr>
      <w:tr w:rsidR="007402FF" w:rsidRPr="007402FF" w14:paraId="6086474E" w14:textId="77777777" w:rsidTr="007402FF">
        <w:trPr>
          <w:trHeight w:val="255"/>
        </w:trPr>
        <w:tc>
          <w:tcPr>
            <w:tcW w:w="2689" w:type="dxa"/>
            <w:tcBorders>
              <w:top w:val="single" w:sz="4" w:space="0" w:color="8EA9DB"/>
              <w:left w:val="single" w:sz="4" w:space="0" w:color="8EA9DB"/>
              <w:bottom w:val="single" w:sz="4" w:space="0" w:color="8EA9DB"/>
              <w:right w:val="nil"/>
            </w:tcBorders>
            <w:shd w:val="clear" w:color="auto" w:fill="auto"/>
            <w:noWrap/>
            <w:vAlign w:val="bottom"/>
            <w:hideMark/>
          </w:tcPr>
          <w:p w14:paraId="04EB3D2F" w14:textId="77777777" w:rsidR="007402FF" w:rsidRPr="007402FF" w:rsidRDefault="007402FF" w:rsidP="007402FF">
            <w:pPr>
              <w:spacing w:after="0" w:line="240" w:lineRule="auto"/>
              <w:rPr>
                <w:rFonts w:ascii="Arial" w:hAnsi="Arial" w:cs="Arial"/>
                <w:color w:val="000000"/>
                <w:sz w:val="20"/>
                <w:szCs w:val="20"/>
              </w:rPr>
            </w:pPr>
            <w:proofErr w:type="spellStart"/>
            <w:r w:rsidRPr="007402FF">
              <w:rPr>
                <w:rFonts w:ascii="Arial" w:hAnsi="Arial" w:cs="Arial"/>
                <w:color w:val="000000"/>
                <w:sz w:val="20"/>
                <w:szCs w:val="20"/>
              </w:rPr>
              <w:t>Tairawhiti</w:t>
            </w:r>
            <w:proofErr w:type="spellEnd"/>
            <w:r w:rsidRPr="007402FF">
              <w:rPr>
                <w:rFonts w:ascii="Arial" w:hAnsi="Arial" w:cs="Arial"/>
                <w:color w:val="000000"/>
                <w:sz w:val="20"/>
                <w:szCs w:val="20"/>
              </w:rPr>
              <w:t xml:space="preserve"> DHB</w:t>
            </w:r>
          </w:p>
        </w:tc>
        <w:tc>
          <w:tcPr>
            <w:tcW w:w="1507" w:type="dxa"/>
            <w:tcBorders>
              <w:top w:val="single" w:sz="4" w:space="0" w:color="8EA9DB"/>
              <w:left w:val="nil"/>
              <w:bottom w:val="single" w:sz="4" w:space="0" w:color="8EA9DB"/>
              <w:right w:val="nil"/>
            </w:tcBorders>
            <w:shd w:val="clear" w:color="auto" w:fill="auto"/>
            <w:noWrap/>
            <w:vAlign w:val="bottom"/>
            <w:hideMark/>
          </w:tcPr>
          <w:p w14:paraId="4F96F82F" w14:textId="77777777" w:rsidR="007402FF" w:rsidRPr="007402FF" w:rsidRDefault="007402FF" w:rsidP="007B50DC">
            <w:pPr>
              <w:spacing w:after="0" w:line="240" w:lineRule="auto"/>
              <w:jc w:val="center"/>
              <w:rPr>
                <w:rFonts w:ascii="Arial" w:hAnsi="Arial" w:cs="Arial"/>
                <w:color w:val="000000"/>
                <w:sz w:val="20"/>
                <w:szCs w:val="20"/>
              </w:rPr>
            </w:pPr>
            <w:r w:rsidRPr="007402FF">
              <w:rPr>
                <w:rFonts w:ascii="Arial" w:hAnsi="Arial" w:cs="Arial"/>
                <w:color w:val="000000"/>
                <w:sz w:val="20"/>
                <w:szCs w:val="20"/>
              </w:rPr>
              <w:t>50%</w:t>
            </w:r>
          </w:p>
        </w:tc>
        <w:tc>
          <w:tcPr>
            <w:tcW w:w="1328" w:type="dxa"/>
            <w:tcBorders>
              <w:top w:val="single" w:sz="4" w:space="0" w:color="8EA9DB"/>
              <w:left w:val="nil"/>
              <w:bottom w:val="single" w:sz="4" w:space="0" w:color="8EA9DB"/>
              <w:right w:val="single" w:sz="4" w:space="0" w:color="8EA9DB"/>
            </w:tcBorders>
            <w:shd w:val="clear" w:color="auto" w:fill="auto"/>
            <w:noWrap/>
            <w:vAlign w:val="bottom"/>
            <w:hideMark/>
          </w:tcPr>
          <w:p w14:paraId="6DBC012F" w14:textId="77777777" w:rsidR="007402FF" w:rsidRPr="007402FF" w:rsidRDefault="007402FF" w:rsidP="007B50DC">
            <w:pPr>
              <w:spacing w:after="0" w:line="240" w:lineRule="auto"/>
              <w:jc w:val="center"/>
              <w:rPr>
                <w:rFonts w:ascii="Arial" w:hAnsi="Arial" w:cs="Arial"/>
                <w:color w:val="000000"/>
                <w:sz w:val="20"/>
                <w:szCs w:val="20"/>
              </w:rPr>
            </w:pPr>
            <w:r w:rsidRPr="007402FF">
              <w:rPr>
                <w:rFonts w:ascii="Arial" w:hAnsi="Arial" w:cs="Arial"/>
                <w:color w:val="000000"/>
                <w:sz w:val="20"/>
                <w:szCs w:val="20"/>
              </w:rPr>
              <w:t>2</w:t>
            </w:r>
          </w:p>
        </w:tc>
      </w:tr>
      <w:tr w:rsidR="007402FF" w:rsidRPr="007402FF" w14:paraId="753E2781" w14:textId="77777777" w:rsidTr="007402FF">
        <w:trPr>
          <w:trHeight w:val="255"/>
        </w:trPr>
        <w:tc>
          <w:tcPr>
            <w:tcW w:w="2689" w:type="dxa"/>
            <w:tcBorders>
              <w:top w:val="single" w:sz="4" w:space="0" w:color="8EA9DB"/>
              <w:left w:val="single" w:sz="4" w:space="0" w:color="8EA9DB"/>
              <w:bottom w:val="single" w:sz="4" w:space="0" w:color="8EA9DB"/>
              <w:right w:val="nil"/>
            </w:tcBorders>
            <w:shd w:val="clear" w:color="D9E1F2" w:fill="D9E1F2"/>
            <w:noWrap/>
            <w:vAlign w:val="bottom"/>
            <w:hideMark/>
          </w:tcPr>
          <w:p w14:paraId="1A6A7672" w14:textId="77777777" w:rsidR="007402FF" w:rsidRPr="007402FF" w:rsidRDefault="007402FF" w:rsidP="007402FF">
            <w:pPr>
              <w:spacing w:after="0" w:line="240" w:lineRule="auto"/>
              <w:rPr>
                <w:rFonts w:ascii="Arial" w:hAnsi="Arial" w:cs="Arial"/>
                <w:color w:val="000000"/>
                <w:sz w:val="20"/>
                <w:szCs w:val="20"/>
              </w:rPr>
            </w:pPr>
            <w:proofErr w:type="spellStart"/>
            <w:r w:rsidRPr="007402FF">
              <w:rPr>
                <w:rFonts w:ascii="Arial" w:hAnsi="Arial" w:cs="Arial"/>
                <w:color w:val="000000"/>
                <w:sz w:val="20"/>
                <w:szCs w:val="20"/>
              </w:rPr>
              <w:t>Taranaki</w:t>
            </w:r>
            <w:proofErr w:type="spellEnd"/>
            <w:r w:rsidRPr="007402FF">
              <w:rPr>
                <w:rFonts w:ascii="Arial" w:hAnsi="Arial" w:cs="Arial"/>
                <w:color w:val="000000"/>
                <w:sz w:val="20"/>
                <w:szCs w:val="20"/>
              </w:rPr>
              <w:t xml:space="preserve"> DHB</w:t>
            </w:r>
          </w:p>
        </w:tc>
        <w:tc>
          <w:tcPr>
            <w:tcW w:w="1507" w:type="dxa"/>
            <w:tcBorders>
              <w:top w:val="single" w:sz="4" w:space="0" w:color="8EA9DB"/>
              <w:left w:val="nil"/>
              <w:bottom w:val="single" w:sz="4" w:space="0" w:color="8EA9DB"/>
              <w:right w:val="nil"/>
            </w:tcBorders>
            <w:shd w:val="clear" w:color="D9E1F2" w:fill="D9E1F2"/>
            <w:noWrap/>
            <w:vAlign w:val="bottom"/>
            <w:hideMark/>
          </w:tcPr>
          <w:p w14:paraId="014EB79A" w14:textId="77777777" w:rsidR="007402FF" w:rsidRPr="007402FF" w:rsidRDefault="007402FF" w:rsidP="007B50DC">
            <w:pPr>
              <w:spacing w:after="0" w:line="240" w:lineRule="auto"/>
              <w:jc w:val="center"/>
              <w:rPr>
                <w:rFonts w:ascii="Arial" w:hAnsi="Arial" w:cs="Arial"/>
                <w:color w:val="000000"/>
                <w:sz w:val="20"/>
                <w:szCs w:val="20"/>
              </w:rPr>
            </w:pPr>
            <w:r w:rsidRPr="007402FF">
              <w:rPr>
                <w:rFonts w:ascii="Arial" w:hAnsi="Arial" w:cs="Arial"/>
                <w:color w:val="000000"/>
                <w:sz w:val="20"/>
                <w:szCs w:val="20"/>
              </w:rPr>
              <w:t>100%</w:t>
            </w:r>
          </w:p>
        </w:tc>
        <w:tc>
          <w:tcPr>
            <w:tcW w:w="1328" w:type="dxa"/>
            <w:tcBorders>
              <w:top w:val="single" w:sz="4" w:space="0" w:color="8EA9DB"/>
              <w:left w:val="nil"/>
              <w:bottom w:val="single" w:sz="4" w:space="0" w:color="8EA9DB"/>
              <w:right w:val="single" w:sz="4" w:space="0" w:color="8EA9DB"/>
            </w:tcBorders>
            <w:shd w:val="clear" w:color="D9E1F2" w:fill="D9E1F2"/>
            <w:noWrap/>
            <w:vAlign w:val="bottom"/>
            <w:hideMark/>
          </w:tcPr>
          <w:p w14:paraId="43E64DA9" w14:textId="77777777" w:rsidR="007402FF" w:rsidRPr="007402FF" w:rsidRDefault="007402FF" w:rsidP="007B50DC">
            <w:pPr>
              <w:spacing w:after="0" w:line="240" w:lineRule="auto"/>
              <w:jc w:val="center"/>
              <w:rPr>
                <w:rFonts w:ascii="Arial" w:hAnsi="Arial" w:cs="Arial"/>
                <w:color w:val="000000"/>
                <w:sz w:val="20"/>
                <w:szCs w:val="20"/>
              </w:rPr>
            </w:pPr>
            <w:r w:rsidRPr="007402FF">
              <w:rPr>
                <w:rFonts w:ascii="Arial" w:hAnsi="Arial" w:cs="Arial"/>
                <w:color w:val="000000"/>
                <w:sz w:val="20"/>
                <w:szCs w:val="20"/>
              </w:rPr>
              <w:t>1</w:t>
            </w:r>
          </w:p>
        </w:tc>
      </w:tr>
      <w:tr w:rsidR="007402FF" w:rsidRPr="007402FF" w14:paraId="4840C5D9" w14:textId="77777777" w:rsidTr="007402FF">
        <w:trPr>
          <w:trHeight w:val="255"/>
        </w:trPr>
        <w:tc>
          <w:tcPr>
            <w:tcW w:w="2689" w:type="dxa"/>
            <w:tcBorders>
              <w:top w:val="single" w:sz="4" w:space="0" w:color="8EA9DB"/>
              <w:left w:val="single" w:sz="4" w:space="0" w:color="8EA9DB"/>
              <w:bottom w:val="single" w:sz="4" w:space="0" w:color="8EA9DB"/>
              <w:right w:val="nil"/>
            </w:tcBorders>
            <w:shd w:val="clear" w:color="auto" w:fill="auto"/>
            <w:noWrap/>
            <w:vAlign w:val="bottom"/>
            <w:hideMark/>
          </w:tcPr>
          <w:p w14:paraId="6C7E86BB" w14:textId="77777777" w:rsidR="007402FF" w:rsidRPr="007402FF" w:rsidRDefault="007402FF" w:rsidP="007402FF">
            <w:pPr>
              <w:spacing w:after="0" w:line="240" w:lineRule="auto"/>
              <w:rPr>
                <w:rFonts w:ascii="Arial" w:hAnsi="Arial" w:cs="Arial"/>
                <w:color w:val="000000"/>
                <w:sz w:val="20"/>
                <w:szCs w:val="20"/>
              </w:rPr>
            </w:pPr>
            <w:r w:rsidRPr="007402FF">
              <w:rPr>
                <w:rFonts w:ascii="Arial" w:hAnsi="Arial" w:cs="Arial"/>
                <w:color w:val="000000"/>
                <w:sz w:val="20"/>
                <w:szCs w:val="20"/>
              </w:rPr>
              <w:t>Waikato DHB</w:t>
            </w:r>
          </w:p>
        </w:tc>
        <w:tc>
          <w:tcPr>
            <w:tcW w:w="1507" w:type="dxa"/>
            <w:tcBorders>
              <w:top w:val="single" w:sz="4" w:space="0" w:color="8EA9DB"/>
              <w:left w:val="nil"/>
              <w:bottom w:val="single" w:sz="4" w:space="0" w:color="8EA9DB"/>
              <w:right w:val="nil"/>
            </w:tcBorders>
            <w:shd w:val="clear" w:color="auto" w:fill="auto"/>
            <w:noWrap/>
            <w:vAlign w:val="bottom"/>
            <w:hideMark/>
          </w:tcPr>
          <w:p w14:paraId="4D03B256" w14:textId="77777777" w:rsidR="007402FF" w:rsidRPr="007402FF" w:rsidRDefault="007402FF" w:rsidP="007B50DC">
            <w:pPr>
              <w:spacing w:after="0" w:line="240" w:lineRule="auto"/>
              <w:jc w:val="center"/>
              <w:rPr>
                <w:rFonts w:ascii="Arial" w:hAnsi="Arial" w:cs="Arial"/>
                <w:color w:val="000000"/>
                <w:sz w:val="20"/>
                <w:szCs w:val="20"/>
              </w:rPr>
            </w:pPr>
            <w:r w:rsidRPr="007402FF">
              <w:rPr>
                <w:rFonts w:ascii="Arial" w:hAnsi="Arial" w:cs="Arial"/>
                <w:color w:val="000000"/>
                <w:sz w:val="20"/>
                <w:szCs w:val="20"/>
              </w:rPr>
              <w:t>67%</w:t>
            </w:r>
          </w:p>
        </w:tc>
        <w:tc>
          <w:tcPr>
            <w:tcW w:w="1328" w:type="dxa"/>
            <w:tcBorders>
              <w:top w:val="single" w:sz="4" w:space="0" w:color="8EA9DB"/>
              <w:left w:val="nil"/>
              <w:bottom w:val="single" w:sz="4" w:space="0" w:color="8EA9DB"/>
              <w:right w:val="single" w:sz="4" w:space="0" w:color="8EA9DB"/>
            </w:tcBorders>
            <w:shd w:val="clear" w:color="auto" w:fill="auto"/>
            <w:noWrap/>
            <w:vAlign w:val="bottom"/>
            <w:hideMark/>
          </w:tcPr>
          <w:p w14:paraId="21DD7791" w14:textId="77777777" w:rsidR="007402FF" w:rsidRPr="007402FF" w:rsidRDefault="007402FF" w:rsidP="007B50DC">
            <w:pPr>
              <w:spacing w:after="0" w:line="240" w:lineRule="auto"/>
              <w:jc w:val="center"/>
              <w:rPr>
                <w:rFonts w:ascii="Arial" w:hAnsi="Arial" w:cs="Arial"/>
                <w:color w:val="000000"/>
                <w:sz w:val="20"/>
                <w:szCs w:val="20"/>
              </w:rPr>
            </w:pPr>
            <w:r w:rsidRPr="007402FF">
              <w:rPr>
                <w:rFonts w:ascii="Arial" w:hAnsi="Arial" w:cs="Arial"/>
                <w:color w:val="000000"/>
                <w:sz w:val="20"/>
                <w:szCs w:val="20"/>
              </w:rPr>
              <w:t>3</w:t>
            </w:r>
          </w:p>
        </w:tc>
      </w:tr>
      <w:tr w:rsidR="007402FF" w:rsidRPr="007402FF" w14:paraId="6C2F4EDC" w14:textId="77777777" w:rsidTr="007402FF">
        <w:trPr>
          <w:trHeight w:val="255"/>
        </w:trPr>
        <w:tc>
          <w:tcPr>
            <w:tcW w:w="2689" w:type="dxa"/>
            <w:tcBorders>
              <w:top w:val="single" w:sz="4" w:space="0" w:color="8EA9DB"/>
              <w:left w:val="single" w:sz="4" w:space="0" w:color="8EA9DB"/>
              <w:bottom w:val="single" w:sz="4" w:space="0" w:color="8EA9DB"/>
              <w:right w:val="nil"/>
            </w:tcBorders>
            <w:shd w:val="clear" w:color="D9E1F2" w:fill="D9E1F2"/>
            <w:noWrap/>
            <w:vAlign w:val="bottom"/>
            <w:hideMark/>
          </w:tcPr>
          <w:p w14:paraId="77F2FD4E" w14:textId="77777777" w:rsidR="007402FF" w:rsidRPr="007402FF" w:rsidRDefault="007402FF" w:rsidP="007402FF">
            <w:pPr>
              <w:spacing w:after="0" w:line="240" w:lineRule="auto"/>
              <w:rPr>
                <w:rFonts w:ascii="Arial" w:hAnsi="Arial" w:cs="Arial"/>
                <w:color w:val="000000"/>
                <w:sz w:val="20"/>
                <w:szCs w:val="20"/>
              </w:rPr>
            </w:pPr>
            <w:proofErr w:type="spellStart"/>
            <w:r w:rsidRPr="007402FF">
              <w:rPr>
                <w:rFonts w:ascii="Arial" w:hAnsi="Arial" w:cs="Arial"/>
                <w:color w:val="000000"/>
                <w:sz w:val="20"/>
                <w:szCs w:val="20"/>
              </w:rPr>
              <w:t>Waitemata</w:t>
            </w:r>
            <w:proofErr w:type="spellEnd"/>
            <w:r w:rsidRPr="007402FF">
              <w:rPr>
                <w:rFonts w:ascii="Arial" w:hAnsi="Arial" w:cs="Arial"/>
                <w:color w:val="000000"/>
                <w:sz w:val="20"/>
                <w:szCs w:val="20"/>
              </w:rPr>
              <w:t xml:space="preserve"> DHB</w:t>
            </w:r>
          </w:p>
        </w:tc>
        <w:tc>
          <w:tcPr>
            <w:tcW w:w="1507" w:type="dxa"/>
            <w:tcBorders>
              <w:top w:val="single" w:sz="4" w:space="0" w:color="8EA9DB"/>
              <w:left w:val="nil"/>
              <w:bottom w:val="single" w:sz="4" w:space="0" w:color="8EA9DB"/>
              <w:right w:val="nil"/>
            </w:tcBorders>
            <w:shd w:val="clear" w:color="D9E1F2" w:fill="D9E1F2"/>
            <w:noWrap/>
            <w:vAlign w:val="bottom"/>
            <w:hideMark/>
          </w:tcPr>
          <w:p w14:paraId="3FEC939F" w14:textId="77777777" w:rsidR="007402FF" w:rsidRPr="007402FF" w:rsidRDefault="007402FF" w:rsidP="007B50DC">
            <w:pPr>
              <w:spacing w:after="0" w:line="240" w:lineRule="auto"/>
              <w:jc w:val="center"/>
              <w:rPr>
                <w:rFonts w:ascii="Arial" w:hAnsi="Arial" w:cs="Arial"/>
                <w:color w:val="000000"/>
                <w:sz w:val="20"/>
                <w:szCs w:val="20"/>
              </w:rPr>
            </w:pPr>
            <w:r w:rsidRPr="007402FF">
              <w:rPr>
                <w:rFonts w:ascii="Arial" w:hAnsi="Arial" w:cs="Arial"/>
                <w:color w:val="000000"/>
                <w:sz w:val="20"/>
                <w:szCs w:val="20"/>
              </w:rPr>
              <w:t>75%</w:t>
            </w:r>
          </w:p>
        </w:tc>
        <w:tc>
          <w:tcPr>
            <w:tcW w:w="1328" w:type="dxa"/>
            <w:tcBorders>
              <w:top w:val="single" w:sz="4" w:space="0" w:color="8EA9DB"/>
              <w:left w:val="nil"/>
              <w:bottom w:val="single" w:sz="4" w:space="0" w:color="8EA9DB"/>
              <w:right w:val="single" w:sz="4" w:space="0" w:color="8EA9DB"/>
            </w:tcBorders>
            <w:shd w:val="clear" w:color="D9E1F2" w:fill="D9E1F2"/>
            <w:noWrap/>
            <w:vAlign w:val="bottom"/>
            <w:hideMark/>
          </w:tcPr>
          <w:p w14:paraId="71E7FF05" w14:textId="77777777" w:rsidR="007402FF" w:rsidRPr="007402FF" w:rsidRDefault="007402FF" w:rsidP="007B50DC">
            <w:pPr>
              <w:spacing w:after="0" w:line="240" w:lineRule="auto"/>
              <w:jc w:val="center"/>
              <w:rPr>
                <w:rFonts w:ascii="Arial" w:hAnsi="Arial" w:cs="Arial"/>
                <w:color w:val="000000"/>
                <w:sz w:val="20"/>
                <w:szCs w:val="20"/>
              </w:rPr>
            </w:pPr>
            <w:r w:rsidRPr="007402FF">
              <w:rPr>
                <w:rFonts w:ascii="Arial" w:hAnsi="Arial" w:cs="Arial"/>
                <w:color w:val="000000"/>
                <w:sz w:val="20"/>
                <w:szCs w:val="20"/>
              </w:rPr>
              <w:t>4</w:t>
            </w:r>
          </w:p>
        </w:tc>
      </w:tr>
      <w:tr w:rsidR="007402FF" w:rsidRPr="007402FF" w14:paraId="5CDAC4AF" w14:textId="77777777" w:rsidTr="007402FF">
        <w:trPr>
          <w:trHeight w:val="255"/>
        </w:trPr>
        <w:tc>
          <w:tcPr>
            <w:tcW w:w="2689" w:type="dxa"/>
            <w:tcBorders>
              <w:top w:val="single" w:sz="4" w:space="0" w:color="8EA9DB"/>
              <w:left w:val="single" w:sz="4" w:space="0" w:color="8EA9DB"/>
              <w:bottom w:val="single" w:sz="4" w:space="0" w:color="8EA9DB"/>
              <w:right w:val="nil"/>
            </w:tcBorders>
            <w:shd w:val="clear" w:color="auto" w:fill="auto"/>
            <w:noWrap/>
            <w:vAlign w:val="bottom"/>
            <w:hideMark/>
          </w:tcPr>
          <w:p w14:paraId="6DF14B6D" w14:textId="77777777" w:rsidR="007402FF" w:rsidRPr="007402FF" w:rsidRDefault="007402FF" w:rsidP="007402FF">
            <w:pPr>
              <w:spacing w:after="0" w:line="240" w:lineRule="auto"/>
              <w:rPr>
                <w:rFonts w:ascii="Arial" w:hAnsi="Arial" w:cs="Arial"/>
                <w:color w:val="000000"/>
                <w:sz w:val="20"/>
                <w:szCs w:val="20"/>
              </w:rPr>
            </w:pPr>
            <w:proofErr w:type="spellStart"/>
            <w:r w:rsidRPr="007402FF">
              <w:rPr>
                <w:rFonts w:ascii="Arial" w:hAnsi="Arial" w:cs="Arial"/>
                <w:color w:val="000000"/>
                <w:sz w:val="20"/>
                <w:szCs w:val="20"/>
              </w:rPr>
              <w:t>Whanganui</w:t>
            </w:r>
            <w:proofErr w:type="spellEnd"/>
            <w:r w:rsidRPr="007402FF">
              <w:rPr>
                <w:rFonts w:ascii="Arial" w:hAnsi="Arial" w:cs="Arial"/>
                <w:color w:val="000000"/>
                <w:sz w:val="20"/>
                <w:szCs w:val="20"/>
              </w:rPr>
              <w:t xml:space="preserve"> DHB</w:t>
            </w:r>
          </w:p>
        </w:tc>
        <w:tc>
          <w:tcPr>
            <w:tcW w:w="1507" w:type="dxa"/>
            <w:tcBorders>
              <w:top w:val="single" w:sz="4" w:space="0" w:color="8EA9DB"/>
              <w:left w:val="nil"/>
              <w:bottom w:val="single" w:sz="4" w:space="0" w:color="8EA9DB"/>
              <w:right w:val="nil"/>
            </w:tcBorders>
            <w:shd w:val="clear" w:color="auto" w:fill="auto"/>
            <w:noWrap/>
            <w:vAlign w:val="bottom"/>
            <w:hideMark/>
          </w:tcPr>
          <w:p w14:paraId="5CE77807" w14:textId="77777777" w:rsidR="007402FF" w:rsidRPr="007402FF" w:rsidRDefault="007402FF" w:rsidP="007B50DC">
            <w:pPr>
              <w:spacing w:after="0" w:line="240" w:lineRule="auto"/>
              <w:jc w:val="center"/>
              <w:rPr>
                <w:rFonts w:ascii="Arial" w:hAnsi="Arial" w:cs="Arial"/>
                <w:color w:val="000000"/>
                <w:sz w:val="20"/>
                <w:szCs w:val="20"/>
              </w:rPr>
            </w:pPr>
            <w:r w:rsidRPr="007402FF">
              <w:rPr>
                <w:rFonts w:ascii="Arial" w:hAnsi="Arial" w:cs="Arial"/>
                <w:color w:val="000000"/>
                <w:sz w:val="20"/>
                <w:szCs w:val="20"/>
              </w:rPr>
              <w:t>100%</w:t>
            </w:r>
          </w:p>
        </w:tc>
        <w:tc>
          <w:tcPr>
            <w:tcW w:w="1328" w:type="dxa"/>
            <w:tcBorders>
              <w:top w:val="single" w:sz="4" w:space="0" w:color="8EA9DB"/>
              <w:left w:val="nil"/>
              <w:bottom w:val="single" w:sz="4" w:space="0" w:color="8EA9DB"/>
              <w:right w:val="single" w:sz="4" w:space="0" w:color="8EA9DB"/>
            </w:tcBorders>
            <w:shd w:val="clear" w:color="auto" w:fill="auto"/>
            <w:noWrap/>
            <w:vAlign w:val="bottom"/>
            <w:hideMark/>
          </w:tcPr>
          <w:p w14:paraId="36F47FE2" w14:textId="77777777" w:rsidR="007402FF" w:rsidRPr="007402FF" w:rsidRDefault="007402FF" w:rsidP="007B50DC">
            <w:pPr>
              <w:spacing w:after="0" w:line="240" w:lineRule="auto"/>
              <w:jc w:val="center"/>
              <w:rPr>
                <w:rFonts w:ascii="Arial" w:hAnsi="Arial" w:cs="Arial"/>
                <w:color w:val="000000"/>
                <w:sz w:val="20"/>
                <w:szCs w:val="20"/>
              </w:rPr>
            </w:pPr>
            <w:r w:rsidRPr="007402FF">
              <w:rPr>
                <w:rFonts w:ascii="Arial" w:hAnsi="Arial" w:cs="Arial"/>
                <w:color w:val="000000"/>
                <w:sz w:val="20"/>
                <w:szCs w:val="20"/>
              </w:rPr>
              <w:t>1</w:t>
            </w:r>
          </w:p>
        </w:tc>
      </w:tr>
      <w:tr w:rsidR="007402FF" w:rsidRPr="007402FF" w14:paraId="3B1E27F0" w14:textId="77777777" w:rsidTr="007402FF">
        <w:trPr>
          <w:trHeight w:val="255"/>
        </w:trPr>
        <w:tc>
          <w:tcPr>
            <w:tcW w:w="2689" w:type="dxa"/>
            <w:tcBorders>
              <w:top w:val="single" w:sz="4" w:space="0" w:color="8EA9DB"/>
              <w:left w:val="single" w:sz="4" w:space="0" w:color="8EA9DB"/>
              <w:bottom w:val="single" w:sz="4" w:space="0" w:color="8EA9DB"/>
              <w:right w:val="nil"/>
            </w:tcBorders>
            <w:shd w:val="clear" w:color="D9E1F2" w:fill="D9E1F2"/>
            <w:noWrap/>
            <w:vAlign w:val="bottom"/>
            <w:hideMark/>
          </w:tcPr>
          <w:p w14:paraId="4FB867A2" w14:textId="77777777" w:rsidR="007402FF" w:rsidRPr="007402FF" w:rsidRDefault="007402FF" w:rsidP="007402FF">
            <w:pPr>
              <w:spacing w:after="0" w:line="240" w:lineRule="auto"/>
              <w:rPr>
                <w:rFonts w:ascii="Arial" w:hAnsi="Arial" w:cs="Arial"/>
                <w:b/>
                <w:color w:val="000000"/>
                <w:sz w:val="20"/>
                <w:szCs w:val="20"/>
              </w:rPr>
            </w:pPr>
            <w:r w:rsidRPr="007402FF">
              <w:rPr>
                <w:rFonts w:ascii="Arial" w:hAnsi="Arial" w:cs="Arial"/>
                <w:b/>
                <w:color w:val="000000"/>
                <w:sz w:val="20"/>
                <w:szCs w:val="20"/>
              </w:rPr>
              <w:t>Total</w:t>
            </w:r>
          </w:p>
        </w:tc>
        <w:tc>
          <w:tcPr>
            <w:tcW w:w="1507" w:type="dxa"/>
            <w:tcBorders>
              <w:top w:val="single" w:sz="4" w:space="0" w:color="8EA9DB"/>
              <w:left w:val="nil"/>
              <w:bottom w:val="single" w:sz="4" w:space="0" w:color="8EA9DB"/>
              <w:right w:val="nil"/>
            </w:tcBorders>
            <w:shd w:val="clear" w:color="D9E1F2" w:fill="D9E1F2"/>
            <w:noWrap/>
            <w:vAlign w:val="bottom"/>
            <w:hideMark/>
          </w:tcPr>
          <w:p w14:paraId="706C8791" w14:textId="77777777" w:rsidR="007402FF" w:rsidRPr="007402FF" w:rsidRDefault="007402FF" w:rsidP="007B50DC">
            <w:pPr>
              <w:spacing w:after="0" w:line="240" w:lineRule="auto"/>
              <w:jc w:val="center"/>
              <w:rPr>
                <w:rFonts w:ascii="Arial" w:hAnsi="Arial" w:cs="Arial"/>
                <w:b/>
                <w:color w:val="000000"/>
                <w:sz w:val="20"/>
                <w:szCs w:val="20"/>
              </w:rPr>
            </w:pPr>
            <w:r w:rsidRPr="007402FF">
              <w:rPr>
                <w:rFonts w:ascii="Arial" w:hAnsi="Arial" w:cs="Arial"/>
                <w:b/>
                <w:color w:val="000000"/>
                <w:sz w:val="20"/>
                <w:szCs w:val="20"/>
              </w:rPr>
              <w:t>78%</w:t>
            </w:r>
          </w:p>
        </w:tc>
        <w:tc>
          <w:tcPr>
            <w:tcW w:w="1328" w:type="dxa"/>
            <w:tcBorders>
              <w:top w:val="single" w:sz="4" w:space="0" w:color="8EA9DB"/>
              <w:left w:val="nil"/>
              <w:bottom w:val="single" w:sz="4" w:space="0" w:color="8EA9DB"/>
              <w:right w:val="single" w:sz="4" w:space="0" w:color="8EA9DB"/>
            </w:tcBorders>
            <w:shd w:val="clear" w:color="D9E1F2" w:fill="D9E1F2"/>
            <w:noWrap/>
            <w:vAlign w:val="bottom"/>
            <w:hideMark/>
          </w:tcPr>
          <w:p w14:paraId="0E99BE17" w14:textId="77777777" w:rsidR="007402FF" w:rsidRPr="007402FF" w:rsidRDefault="007402FF" w:rsidP="007B50DC">
            <w:pPr>
              <w:spacing w:after="0" w:line="240" w:lineRule="auto"/>
              <w:jc w:val="center"/>
              <w:rPr>
                <w:rFonts w:ascii="Arial" w:hAnsi="Arial" w:cs="Arial"/>
                <w:b/>
                <w:color w:val="000000"/>
                <w:sz w:val="20"/>
                <w:szCs w:val="20"/>
              </w:rPr>
            </w:pPr>
            <w:r w:rsidRPr="007402FF">
              <w:rPr>
                <w:rFonts w:ascii="Arial" w:hAnsi="Arial" w:cs="Arial"/>
                <w:b/>
                <w:color w:val="000000"/>
                <w:sz w:val="20"/>
                <w:szCs w:val="20"/>
              </w:rPr>
              <w:t>45</w:t>
            </w:r>
          </w:p>
        </w:tc>
      </w:tr>
    </w:tbl>
    <w:p w14:paraId="0EEEE2C7" w14:textId="77777777" w:rsidR="007B50DC" w:rsidRDefault="007B50DC" w:rsidP="007B50DC">
      <w:pPr>
        <w:pStyle w:val="Heading2"/>
      </w:pPr>
      <w:bookmarkStart w:id="66" w:name="_Toc415657704"/>
      <w:r>
        <w:t>Retention by High Needs Populations</w:t>
      </w:r>
      <w:bookmarkEnd w:id="66"/>
    </w:p>
    <w:p w14:paraId="7D7EB5CB" w14:textId="77777777" w:rsidR="007B50DC" w:rsidRDefault="007B50DC" w:rsidP="007B50DC">
      <w:r>
        <w:t xml:space="preserve">Retention rates were slightly greater for </w:t>
      </w:r>
      <w:proofErr w:type="gramStart"/>
      <w:r>
        <w:t>those practices with a lower pr</w:t>
      </w:r>
      <w:r w:rsidR="009C23A6">
        <w:t>oportion of high needs</w:t>
      </w:r>
      <w:proofErr w:type="gramEnd"/>
      <w:r w:rsidR="009C23A6">
        <w:t xml:space="preserve"> enrolees, although these differences are not significant. </w:t>
      </w:r>
    </w:p>
    <w:tbl>
      <w:tblPr>
        <w:tblW w:w="5098" w:type="dxa"/>
        <w:tblLook w:val="04A0" w:firstRow="1" w:lastRow="0" w:firstColumn="1" w:lastColumn="0" w:noHBand="0" w:noVBand="1"/>
      </w:tblPr>
      <w:tblGrid>
        <w:gridCol w:w="2348"/>
        <w:gridCol w:w="1333"/>
        <w:gridCol w:w="1417"/>
      </w:tblGrid>
      <w:tr w:rsidR="007B50DC" w:rsidRPr="007B50DC" w14:paraId="76D46383" w14:textId="77777777" w:rsidTr="007B50DC">
        <w:trPr>
          <w:trHeight w:val="255"/>
        </w:trPr>
        <w:tc>
          <w:tcPr>
            <w:tcW w:w="2348" w:type="dxa"/>
            <w:tcBorders>
              <w:top w:val="single" w:sz="4" w:space="0" w:color="8EA9DB"/>
              <w:left w:val="single" w:sz="4" w:space="0" w:color="8EA9DB"/>
              <w:bottom w:val="single" w:sz="4" w:space="0" w:color="8EA9DB"/>
              <w:right w:val="nil"/>
            </w:tcBorders>
            <w:shd w:val="clear" w:color="4472C4" w:fill="4472C4"/>
            <w:noWrap/>
            <w:vAlign w:val="bottom"/>
            <w:hideMark/>
          </w:tcPr>
          <w:p w14:paraId="01113438" w14:textId="77777777" w:rsidR="007B50DC" w:rsidRPr="007B50DC" w:rsidRDefault="007B50DC" w:rsidP="007B50DC">
            <w:pPr>
              <w:spacing w:after="0" w:line="240" w:lineRule="auto"/>
              <w:rPr>
                <w:rFonts w:ascii="Arial" w:hAnsi="Arial" w:cs="Arial"/>
                <w:b/>
                <w:bCs/>
                <w:color w:val="FFFFFF"/>
                <w:sz w:val="20"/>
                <w:szCs w:val="20"/>
              </w:rPr>
            </w:pPr>
            <w:r w:rsidRPr="007B50DC">
              <w:rPr>
                <w:rFonts w:ascii="Arial" w:hAnsi="Arial" w:cs="Arial"/>
                <w:b/>
                <w:bCs/>
                <w:color w:val="FFFFFF"/>
                <w:sz w:val="20"/>
                <w:szCs w:val="20"/>
              </w:rPr>
              <w:t>High needs proportion</w:t>
            </w:r>
          </w:p>
        </w:tc>
        <w:tc>
          <w:tcPr>
            <w:tcW w:w="1333" w:type="dxa"/>
            <w:tcBorders>
              <w:top w:val="single" w:sz="4" w:space="0" w:color="8EA9DB"/>
              <w:left w:val="nil"/>
              <w:bottom w:val="single" w:sz="4" w:space="0" w:color="8EA9DB"/>
              <w:right w:val="nil"/>
            </w:tcBorders>
            <w:shd w:val="clear" w:color="4472C4" w:fill="4472C4"/>
            <w:noWrap/>
            <w:vAlign w:val="bottom"/>
            <w:hideMark/>
          </w:tcPr>
          <w:p w14:paraId="0C0D0B68" w14:textId="77777777" w:rsidR="007B50DC" w:rsidRPr="007B50DC" w:rsidRDefault="007B50DC" w:rsidP="007B50DC">
            <w:pPr>
              <w:spacing w:after="0" w:line="240" w:lineRule="auto"/>
              <w:jc w:val="center"/>
              <w:rPr>
                <w:rFonts w:ascii="Arial" w:hAnsi="Arial" w:cs="Arial"/>
                <w:b/>
                <w:bCs/>
                <w:color w:val="FFFFFF"/>
                <w:sz w:val="20"/>
                <w:szCs w:val="20"/>
              </w:rPr>
            </w:pPr>
            <w:r w:rsidRPr="007B50DC">
              <w:rPr>
                <w:rFonts w:ascii="Arial" w:hAnsi="Arial" w:cs="Arial"/>
                <w:b/>
                <w:bCs/>
                <w:color w:val="FFFFFF"/>
                <w:sz w:val="20"/>
                <w:szCs w:val="20"/>
              </w:rPr>
              <w:t>Retention rate</w:t>
            </w:r>
          </w:p>
        </w:tc>
        <w:tc>
          <w:tcPr>
            <w:tcW w:w="1417" w:type="dxa"/>
            <w:tcBorders>
              <w:top w:val="single" w:sz="4" w:space="0" w:color="8EA9DB"/>
              <w:left w:val="nil"/>
              <w:bottom w:val="single" w:sz="4" w:space="0" w:color="8EA9DB"/>
              <w:right w:val="single" w:sz="4" w:space="0" w:color="8EA9DB"/>
            </w:tcBorders>
            <w:shd w:val="clear" w:color="4472C4" w:fill="4472C4"/>
            <w:noWrap/>
            <w:vAlign w:val="bottom"/>
            <w:hideMark/>
          </w:tcPr>
          <w:p w14:paraId="6B7B5E0F" w14:textId="77777777" w:rsidR="007B50DC" w:rsidRPr="007B50DC" w:rsidRDefault="007B50DC" w:rsidP="007B50DC">
            <w:pPr>
              <w:spacing w:after="0" w:line="240" w:lineRule="auto"/>
              <w:jc w:val="center"/>
              <w:rPr>
                <w:rFonts w:ascii="Arial" w:hAnsi="Arial" w:cs="Arial"/>
                <w:b/>
                <w:bCs/>
                <w:color w:val="FFFFFF"/>
                <w:sz w:val="20"/>
                <w:szCs w:val="20"/>
              </w:rPr>
            </w:pPr>
            <w:r w:rsidRPr="007B50DC">
              <w:rPr>
                <w:rFonts w:ascii="Arial" w:hAnsi="Arial" w:cs="Arial"/>
                <w:b/>
                <w:bCs/>
                <w:color w:val="FFFFFF"/>
                <w:sz w:val="20"/>
                <w:szCs w:val="20"/>
              </w:rPr>
              <w:t>Number of practices</w:t>
            </w:r>
          </w:p>
        </w:tc>
      </w:tr>
      <w:tr w:rsidR="007B50DC" w:rsidRPr="007B50DC" w14:paraId="3F526537" w14:textId="77777777" w:rsidTr="007B50DC">
        <w:trPr>
          <w:trHeight w:val="255"/>
        </w:trPr>
        <w:tc>
          <w:tcPr>
            <w:tcW w:w="2348" w:type="dxa"/>
            <w:tcBorders>
              <w:top w:val="single" w:sz="4" w:space="0" w:color="8EA9DB"/>
              <w:left w:val="single" w:sz="4" w:space="0" w:color="8EA9DB"/>
              <w:bottom w:val="single" w:sz="4" w:space="0" w:color="8EA9DB"/>
              <w:right w:val="nil"/>
            </w:tcBorders>
            <w:shd w:val="clear" w:color="D9E1F2" w:fill="D9E1F2"/>
            <w:noWrap/>
            <w:vAlign w:val="bottom"/>
            <w:hideMark/>
          </w:tcPr>
          <w:p w14:paraId="4CFA9D23" w14:textId="77777777" w:rsidR="007B50DC" w:rsidRPr="007B50DC" w:rsidRDefault="007B50DC" w:rsidP="007B50DC">
            <w:pPr>
              <w:spacing w:after="0" w:line="240" w:lineRule="auto"/>
              <w:rPr>
                <w:rFonts w:ascii="Arial" w:hAnsi="Arial" w:cs="Arial"/>
                <w:color w:val="000000"/>
                <w:sz w:val="20"/>
                <w:szCs w:val="20"/>
              </w:rPr>
            </w:pPr>
            <w:r w:rsidRPr="007B50DC">
              <w:rPr>
                <w:rFonts w:ascii="Arial" w:hAnsi="Arial" w:cs="Arial"/>
                <w:color w:val="000000"/>
                <w:sz w:val="20"/>
                <w:szCs w:val="20"/>
              </w:rPr>
              <w:t>50 - 60%</w:t>
            </w:r>
          </w:p>
        </w:tc>
        <w:tc>
          <w:tcPr>
            <w:tcW w:w="1333" w:type="dxa"/>
            <w:tcBorders>
              <w:top w:val="single" w:sz="4" w:space="0" w:color="8EA9DB"/>
              <w:left w:val="nil"/>
              <w:bottom w:val="single" w:sz="4" w:space="0" w:color="8EA9DB"/>
              <w:right w:val="nil"/>
            </w:tcBorders>
            <w:shd w:val="clear" w:color="D9E1F2" w:fill="D9E1F2"/>
            <w:noWrap/>
            <w:vAlign w:val="bottom"/>
            <w:hideMark/>
          </w:tcPr>
          <w:p w14:paraId="456B2DFE" w14:textId="77777777" w:rsidR="007B50DC" w:rsidRPr="007B50DC" w:rsidRDefault="007B50DC" w:rsidP="007B50DC">
            <w:pPr>
              <w:spacing w:after="0" w:line="240" w:lineRule="auto"/>
              <w:jc w:val="center"/>
              <w:rPr>
                <w:rFonts w:ascii="Arial" w:hAnsi="Arial" w:cs="Arial"/>
                <w:color w:val="000000"/>
                <w:sz w:val="20"/>
                <w:szCs w:val="20"/>
              </w:rPr>
            </w:pPr>
            <w:r w:rsidRPr="007B50DC">
              <w:rPr>
                <w:rFonts w:ascii="Arial" w:hAnsi="Arial" w:cs="Arial"/>
                <w:color w:val="000000"/>
                <w:sz w:val="20"/>
                <w:szCs w:val="20"/>
              </w:rPr>
              <w:t>100%</w:t>
            </w:r>
          </w:p>
        </w:tc>
        <w:tc>
          <w:tcPr>
            <w:tcW w:w="1417" w:type="dxa"/>
            <w:tcBorders>
              <w:top w:val="single" w:sz="4" w:space="0" w:color="8EA9DB"/>
              <w:left w:val="nil"/>
              <w:bottom w:val="single" w:sz="4" w:space="0" w:color="8EA9DB"/>
              <w:right w:val="single" w:sz="4" w:space="0" w:color="8EA9DB"/>
            </w:tcBorders>
            <w:shd w:val="clear" w:color="D9E1F2" w:fill="D9E1F2"/>
            <w:noWrap/>
            <w:vAlign w:val="bottom"/>
            <w:hideMark/>
          </w:tcPr>
          <w:p w14:paraId="3BD040CA" w14:textId="77777777" w:rsidR="007B50DC" w:rsidRPr="007B50DC" w:rsidRDefault="007B50DC" w:rsidP="007B50DC">
            <w:pPr>
              <w:spacing w:after="0" w:line="240" w:lineRule="auto"/>
              <w:jc w:val="center"/>
              <w:rPr>
                <w:rFonts w:ascii="Arial" w:hAnsi="Arial" w:cs="Arial"/>
                <w:color w:val="000000"/>
                <w:sz w:val="20"/>
                <w:szCs w:val="20"/>
              </w:rPr>
            </w:pPr>
            <w:r w:rsidRPr="007B50DC">
              <w:rPr>
                <w:rFonts w:ascii="Arial" w:hAnsi="Arial" w:cs="Arial"/>
                <w:color w:val="000000"/>
                <w:sz w:val="20"/>
                <w:szCs w:val="20"/>
              </w:rPr>
              <w:t>4</w:t>
            </w:r>
          </w:p>
        </w:tc>
      </w:tr>
      <w:tr w:rsidR="007B50DC" w:rsidRPr="007B50DC" w14:paraId="64C748C0" w14:textId="77777777" w:rsidTr="007B50DC">
        <w:trPr>
          <w:trHeight w:val="255"/>
        </w:trPr>
        <w:tc>
          <w:tcPr>
            <w:tcW w:w="2348" w:type="dxa"/>
            <w:tcBorders>
              <w:top w:val="single" w:sz="4" w:space="0" w:color="8EA9DB"/>
              <w:left w:val="single" w:sz="4" w:space="0" w:color="8EA9DB"/>
              <w:bottom w:val="single" w:sz="4" w:space="0" w:color="8EA9DB"/>
              <w:right w:val="nil"/>
            </w:tcBorders>
            <w:shd w:val="clear" w:color="auto" w:fill="auto"/>
            <w:noWrap/>
            <w:vAlign w:val="bottom"/>
            <w:hideMark/>
          </w:tcPr>
          <w:p w14:paraId="5701D508" w14:textId="77777777" w:rsidR="007B50DC" w:rsidRPr="007B50DC" w:rsidRDefault="007B50DC" w:rsidP="007B50DC">
            <w:pPr>
              <w:spacing w:after="0" w:line="240" w:lineRule="auto"/>
              <w:rPr>
                <w:rFonts w:ascii="Arial" w:hAnsi="Arial" w:cs="Arial"/>
                <w:color w:val="000000"/>
                <w:sz w:val="20"/>
                <w:szCs w:val="20"/>
              </w:rPr>
            </w:pPr>
            <w:r w:rsidRPr="007B50DC">
              <w:rPr>
                <w:rFonts w:ascii="Arial" w:hAnsi="Arial" w:cs="Arial"/>
                <w:color w:val="000000"/>
                <w:sz w:val="20"/>
                <w:szCs w:val="20"/>
              </w:rPr>
              <w:t>60 - 70%</w:t>
            </w:r>
          </w:p>
        </w:tc>
        <w:tc>
          <w:tcPr>
            <w:tcW w:w="1333" w:type="dxa"/>
            <w:tcBorders>
              <w:top w:val="single" w:sz="4" w:space="0" w:color="8EA9DB"/>
              <w:left w:val="nil"/>
              <w:bottom w:val="single" w:sz="4" w:space="0" w:color="8EA9DB"/>
              <w:right w:val="nil"/>
            </w:tcBorders>
            <w:shd w:val="clear" w:color="auto" w:fill="auto"/>
            <w:noWrap/>
            <w:vAlign w:val="bottom"/>
            <w:hideMark/>
          </w:tcPr>
          <w:p w14:paraId="7C567CE1" w14:textId="77777777" w:rsidR="007B50DC" w:rsidRPr="007B50DC" w:rsidRDefault="007B50DC" w:rsidP="007B50DC">
            <w:pPr>
              <w:spacing w:after="0" w:line="240" w:lineRule="auto"/>
              <w:jc w:val="center"/>
              <w:rPr>
                <w:rFonts w:ascii="Arial" w:hAnsi="Arial" w:cs="Arial"/>
                <w:color w:val="000000"/>
                <w:sz w:val="20"/>
                <w:szCs w:val="20"/>
              </w:rPr>
            </w:pPr>
            <w:r w:rsidRPr="007B50DC">
              <w:rPr>
                <w:rFonts w:ascii="Arial" w:hAnsi="Arial" w:cs="Arial"/>
                <w:color w:val="000000"/>
                <w:sz w:val="20"/>
                <w:szCs w:val="20"/>
              </w:rPr>
              <w:t>85%</w:t>
            </w:r>
          </w:p>
        </w:tc>
        <w:tc>
          <w:tcPr>
            <w:tcW w:w="1417" w:type="dxa"/>
            <w:tcBorders>
              <w:top w:val="single" w:sz="4" w:space="0" w:color="8EA9DB"/>
              <w:left w:val="nil"/>
              <w:bottom w:val="single" w:sz="4" w:space="0" w:color="8EA9DB"/>
              <w:right w:val="single" w:sz="4" w:space="0" w:color="8EA9DB"/>
            </w:tcBorders>
            <w:shd w:val="clear" w:color="auto" w:fill="auto"/>
            <w:noWrap/>
            <w:vAlign w:val="bottom"/>
            <w:hideMark/>
          </w:tcPr>
          <w:p w14:paraId="1D01AFF0" w14:textId="77777777" w:rsidR="007B50DC" w:rsidRPr="007B50DC" w:rsidRDefault="007B50DC" w:rsidP="007B50DC">
            <w:pPr>
              <w:spacing w:after="0" w:line="240" w:lineRule="auto"/>
              <w:jc w:val="center"/>
              <w:rPr>
                <w:rFonts w:ascii="Arial" w:hAnsi="Arial" w:cs="Arial"/>
                <w:color w:val="000000"/>
                <w:sz w:val="20"/>
                <w:szCs w:val="20"/>
              </w:rPr>
            </w:pPr>
            <w:r w:rsidRPr="007B50DC">
              <w:rPr>
                <w:rFonts w:ascii="Arial" w:hAnsi="Arial" w:cs="Arial"/>
                <w:color w:val="000000"/>
                <w:sz w:val="20"/>
                <w:szCs w:val="20"/>
              </w:rPr>
              <w:t>13</w:t>
            </w:r>
          </w:p>
        </w:tc>
      </w:tr>
      <w:tr w:rsidR="007B50DC" w:rsidRPr="007B50DC" w14:paraId="60098F19" w14:textId="77777777" w:rsidTr="007B50DC">
        <w:trPr>
          <w:trHeight w:val="255"/>
        </w:trPr>
        <w:tc>
          <w:tcPr>
            <w:tcW w:w="2348" w:type="dxa"/>
            <w:tcBorders>
              <w:top w:val="single" w:sz="4" w:space="0" w:color="8EA9DB"/>
              <w:left w:val="single" w:sz="4" w:space="0" w:color="8EA9DB"/>
              <w:bottom w:val="single" w:sz="4" w:space="0" w:color="8EA9DB"/>
              <w:right w:val="nil"/>
            </w:tcBorders>
            <w:shd w:val="clear" w:color="D9E1F2" w:fill="D9E1F2"/>
            <w:noWrap/>
            <w:vAlign w:val="bottom"/>
            <w:hideMark/>
          </w:tcPr>
          <w:p w14:paraId="4C3EE14A" w14:textId="77777777" w:rsidR="007B50DC" w:rsidRPr="007B50DC" w:rsidRDefault="007B50DC" w:rsidP="007B50DC">
            <w:pPr>
              <w:spacing w:after="0" w:line="240" w:lineRule="auto"/>
              <w:rPr>
                <w:rFonts w:ascii="Arial" w:hAnsi="Arial" w:cs="Arial"/>
                <w:color w:val="000000"/>
                <w:sz w:val="20"/>
                <w:szCs w:val="20"/>
              </w:rPr>
            </w:pPr>
            <w:r w:rsidRPr="007B50DC">
              <w:rPr>
                <w:rFonts w:ascii="Arial" w:hAnsi="Arial" w:cs="Arial"/>
                <w:color w:val="000000"/>
                <w:sz w:val="20"/>
                <w:szCs w:val="20"/>
              </w:rPr>
              <w:t>70 - 80%</w:t>
            </w:r>
          </w:p>
        </w:tc>
        <w:tc>
          <w:tcPr>
            <w:tcW w:w="1333" w:type="dxa"/>
            <w:tcBorders>
              <w:top w:val="single" w:sz="4" w:space="0" w:color="8EA9DB"/>
              <w:left w:val="nil"/>
              <w:bottom w:val="single" w:sz="4" w:space="0" w:color="8EA9DB"/>
              <w:right w:val="nil"/>
            </w:tcBorders>
            <w:shd w:val="clear" w:color="D9E1F2" w:fill="D9E1F2"/>
            <w:noWrap/>
            <w:vAlign w:val="bottom"/>
            <w:hideMark/>
          </w:tcPr>
          <w:p w14:paraId="2355B12C" w14:textId="77777777" w:rsidR="007B50DC" w:rsidRPr="007B50DC" w:rsidRDefault="007B50DC" w:rsidP="007B50DC">
            <w:pPr>
              <w:spacing w:after="0" w:line="240" w:lineRule="auto"/>
              <w:jc w:val="center"/>
              <w:rPr>
                <w:rFonts w:ascii="Arial" w:hAnsi="Arial" w:cs="Arial"/>
                <w:color w:val="000000"/>
                <w:sz w:val="20"/>
                <w:szCs w:val="20"/>
              </w:rPr>
            </w:pPr>
            <w:r w:rsidRPr="007B50DC">
              <w:rPr>
                <w:rFonts w:ascii="Arial" w:hAnsi="Arial" w:cs="Arial"/>
                <w:color w:val="000000"/>
                <w:sz w:val="20"/>
                <w:szCs w:val="20"/>
              </w:rPr>
              <w:t>60%</w:t>
            </w:r>
          </w:p>
        </w:tc>
        <w:tc>
          <w:tcPr>
            <w:tcW w:w="1417" w:type="dxa"/>
            <w:tcBorders>
              <w:top w:val="single" w:sz="4" w:space="0" w:color="8EA9DB"/>
              <w:left w:val="nil"/>
              <w:bottom w:val="single" w:sz="4" w:space="0" w:color="8EA9DB"/>
              <w:right w:val="single" w:sz="4" w:space="0" w:color="8EA9DB"/>
            </w:tcBorders>
            <w:shd w:val="clear" w:color="D9E1F2" w:fill="D9E1F2"/>
            <w:noWrap/>
            <w:vAlign w:val="bottom"/>
            <w:hideMark/>
          </w:tcPr>
          <w:p w14:paraId="297A9DEE" w14:textId="77777777" w:rsidR="007B50DC" w:rsidRPr="007B50DC" w:rsidRDefault="007B50DC" w:rsidP="007B50DC">
            <w:pPr>
              <w:spacing w:after="0" w:line="240" w:lineRule="auto"/>
              <w:jc w:val="center"/>
              <w:rPr>
                <w:rFonts w:ascii="Arial" w:hAnsi="Arial" w:cs="Arial"/>
                <w:color w:val="000000"/>
                <w:sz w:val="20"/>
                <w:szCs w:val="20"/>
              </w:rPr>
            </w:pPr>
            <w:r w:rsidRPr="007B50DC">
              <w:rPr>
                <w:rFonts w:ascii="Arial" w:hAnsi="Arial" w:cs="Arial"/>
                <w:color w:val="000000"/>
                <w:sz w:val="20"/>
                <w:szCs w:val="20"/>
              </w:rPr>
              <w:t>5</w:t>
            </w:r>
          </w:p>
        </w:tc>
      </w:tr>
      <w:tr w:rsidR="007B50DC" w:rsidRPr="007B50DC" w14:paraId="072ED66C" w14:textId="77777777" w:rsidTr="007B50DC">
        <w:trPr>
          <w:trHeight w:val="255"/>
        </w:trPr>
        <w:tc>
          <w:tcPr>
            <w:tcW w:w="2348" w:type="dxa"/>
            <w:tcBorders>
              <w:top w:val="single" w:sz="4" w:space="0" w:color="8EA9DB"/>
              <w:left w:val="single" w:sz="4" w:space="0" w:color="8EA9DB"/>
              <w:bottom w:val="single" w:sz="4" w:space="0" w:color="8EA9DB"/>
              <w:right w:val="nil"/>
            </w:tcBorders>
            <w:shd w:val="clear" w:color="auto" w:fill="auto"/>
            <w:noWrap/>
            <w:vAlign w:val="bottom"/>
            <w:hideMark/>
          </w:tcPr>
          <w:p w14:paraId="69C3918A" w14:textId="77777777" w:rsidR="007B50DC" w:rsidRPr="007B50DC" w:rsidRDefault="007B50DC" w:rsidP="007B50DC">
            <w:pPr>
              <w:spacing w:after="0" w:line="240" w:lineRule="auto"/>
              <w:rPr>
                <w:rFonts w:ascii="Arial" w:hAnsi="Arial" w:cs="Arial"/>
                <w:color w:val="000000"/>
                <w:sz w:val="20"/>
                <w:szCs w:val="20"/>
              </w:rPr>
            </w:pPr>
            <w:r w:rsidRPr="007B50DC">
              <w:rPr>
                <w:rFonts w:ascii="Arial" w:hAnsi="Arial" w:cs="Arial"/>
                <w:color w:val="000000"/>
                <w:sz w:val="20"/>
                <w:szCs w:val="20"/>
              </w:rPr>
              <w:t>80 - 90%</w:t>
            </w:r>
          </w:p>
        </w:tc>
        <w:tc>
          <w:tcPr>
            <w:tcW w:w="1333" w:type="dxa"/>
            <w:tcBorders>
              <w:top w:val="single" w:sz="4" w:space="0" w:color="8EA9DB"/>
              <w:left w:val="nil"/>
              <w:bottom w:val="single" w:sz="4" w:space="0" w:color="8EA9DB"/>
              <w:right w:val="nil"/>
            </w:tcBorders>
            <w:shd w:val="clear" w:color="auto" w:fill="auto"/>
            <w:noWrap/>
            <w:vAlign w:val="bottom"/>
            <w:hideMark/>
          </w:tcPr>
          <w:p w14:paraId="0EB344B6" w14:textId="77777777" w:rsidR="007B50DC" w:rsidRPr="007B50DC" w:rsidRDefault="007B50DC" w:rsidP="007B50DC">
            <w:pPr>
              <w:spacing w:after="0" w:line="240" w:lineRule="auto"/>
              <w:jc w:val="center"/>
              <w:rPr>
                <w:rFonts w:ascii="Arial" w:hAnsi="Arial" w:cs="Arial"/>
                <w:color w:val="000000"/>
                <w:sz w:val="20"/>
                <w:szCs w:val="20"/>
              </w:rPr>
            </w:pPr>
            <w:r w:rsidRPr="007B50DC">
              <w:rPr>
                <w:rFonts w:ascii="Arial" w:hAnsi="Arial" w:cs="Arial"/>
                <w:color w:val="000000"/>
                <w:sz w:val="20"/>
                <w:szCs w:val="20"/>
              </w:rPr>
              <w:t>79%</w:t>
            </w:r>
          </w:p>
        </w:tc>
        <w:tc>
          <w:tcPr>
            <w:tcW w:w="1417" w:type="dxa"/>
            <w:tcBorders>
              <w:top w:val="single" w:sz="4" w:space="0" w:color="8EA9DB"/>
              <w:left w:val="nil"/>
              <w:bottom w:val="single" w:sz="4" w:space="0" w:color="8EA9DB"/>
              <w:right w:val="single" w:sz="4" w:space="0" w:color="8EA9DB"/>
            </w:tcBorders>
            <w:shd w:val="clear" w:color="auto" w:fill="auto"/>
            <w:noWrap/>
            <w:vAlign w:val="bottom"/>
            <w:hideMark/>
          </w:tcPr>
          <w:p w14:paraId="0E5FAAF9" w14:textId="77777777" w:rsidR="007B50DC" w:rsidRPr="007B50DC" w:rsidRDefault="007B50DC" w:rsidP="007B50DC">
            <w:pPr>
              <w:spacing w:after="0" w:line="240" w:lineRule="auto"/>
              <w:jc w:val="center"/>
              <w:rPr>
                <w:rFonts w:ascii="Arial" w:hAnsi="Arial" w:cs="Arial"/>
                <w:color w:val="000000"/>
                <w:sz w:val="20"/>
                <w:szCs w:val="20"/>
              </w:rPr>
            </w:pPr>
            <w:r w:rsidRPr="007B50DC">
              <w:rPr>
                <w:rFonts w:ascii="Arial" w:hAnsi="Arial" w:cs="Arial"/>
                <w:color w:val="000000"/>
                <w:sz w:val="20"/>
                <w:szCs w:val="20"/>
              </w:rPr>
              <w:t>14</w:t>
            </w:r>
          </w:p>
        </w:tc>
      </w:tr>
      <w:tr w:rsidR="007B50DC" w:rsidRPr="007B50DC" w14:paraId="1EC02500" w14:textId="77777777" w:rsidTr="007B50DC">
        <w:trPr>
          <w:trHeight w:val="255"/>
        </w:trPr>
        <w:tc>
          <w:tcPr>
            <w:tcW w:w="2348" w:type="dxa"/>
            <w:tcBorders>
              <w:top w:val="single" w:sz="4" w:space="0" w:color="8EA9DB"/>
              <w:left w:val="single" w:sz="4" w:space="0" w:color="8EA9DB"/>
              <w:bottom w:val="single" w:sz="4" w:space="0" w:color="8EA9DB"/>
              <w:right w:val="nil"/>
            </w:tcBorders>
            <w:shd w:val="clear" w:color="D9E1F2" w:fill="D9E1F2"/>
            <w:noWrap/>
            <w:vAlign w:val="bottom"/>
            <w:hideMark/>
          </w:tcPr>
          <w:p w14:paraId="2AE4970C" w14:textId="77777777" w:rsidR="007B50DC" w:rsidRPr="007B50DC" w:rsidRDefault="007B50DC" w:rsidP="007B50DC">
            <w:pPr>
              <w:spacing w:after="0" w:line="240" w:lineRule="auto"/>
              <w:rPr>
                <w:rFonts w:ascii="Arial" w:hAnsi="Arial" w:cs="Arial"/>
                <w:color w:val="000000"/>
                <w:sz w:val="20"/>
                <w:szCs w:val="20"/>
              </w:rPr>
            </w:pPr>
            <w:r w:rsidRPr="007B50DC">
              <w:rPr>
                <w:rFonts w:ascii="Arial" w:hAnsi="Arial" w:cs="Arial"/>
                <w:color w:val="000000"/>
                <w:sz w:val="20"/>
                <w:szCs w:val="20"/>
              </w:rPr>
              <w:t>90 - 100%</w:t>
            </w:r>
          </w:p>
        </w:tc>
        <w:tc>
          <w:tcPr>
            <w:tcW w:w="1333" w:type="dxa"/>
            <w:tcBorders>
              <w:top w:val="single" w:sz="4" w:space="0" w:color="8EA9DB"/>
              <w:left w:val="nil"/>
              <w:bottom w:val="single" w:sz="4" w:space="0" w:color="8EA9DB"/>
              <w:right w:val="nil"/>
            </w:tcBorders>
            <w:shd w:val="clear" w:color="D9E1F2" w:fill="D9E1F2"/>
            <w:noWrap/>
            <w:vAlign w:val="bottom"/>
            <w:hideMark/>
          </w:tcPr>
          <w:p w14:paraId="1E836879" w14:textId="77777777" w:rsidR="007B50DC" w:rsidRPr="007B50DC" w:rsidRDefault="007B50DC" w:rsidP="007B50DC">
            <w:pPr>
              <w:spacing w:after="0" w:line="240" w:lineRule="auto"/>
              <w:jc w:val="center"/>
              <w:rPr>
                <w:rFonts w:ascii="Arial" w:hAnsi="Arial" w:cs="Arial"/>
                <w:color w:val="000000"/>
                <w:sz w:val="20"/>
                <w:szCs w:val="20"/>
              </w:rPr>
            </w:pPr>
            <w:r w:rsidRPr="007B50DC">
              <w:rPr>
                <w:rFonts w:ascii="Arial" w:hAnsi="Arial" w:cs="Arial"/>
                <w:color w:val="000000"/>
                <w:sz w:val="20"/>
                <w:szCs w:val="20"/>
              </w:rPr>
              <w:t>67%</w:t>
            </w:r>
          </w:p>
        </w:tc>
        <w:tc>
          <w:tcPr>
            <w:tcW w:w="1417" w:type="dxa"/>
            <w:tcBorders>
              <w:top w:val="single" w:sz="4" w:space="0" w:color="8EA9DB"/>
              <w:left w:val="nil"/>
              <w:bottom w:val="single" w:sz="4" w:space="0" w:color="8EA9DB"/>
              <w:right w:val="single" w:sz="4" w:space="0" w:color="8EA9DB"/>
            </w:tcBorders>
            <w:shd w:val="clear" w:color="D9E1F2" w:fill="D9E1F2"/>
            <w:noWrap/>
            <w:vAlign w:val="bottom"/>
            <w:hideMark/>
          </w:tcPr>
          <w:p w14:paraId="324BBDE1" w14:textId="77777777" w:rsidR="007B50DC" w:rsidRPr="007B50DC" w:rsidRDefault="007B50DC" w:rsidP="007B50DC">
            <w:pPr>
              <w:spacing w:after="0" w:line="240" w:lineRule="auto"/>
              <w:jc w:val="center"/>
              <w:rPr>
                <w:rFonts w:ascii="Arial" w:hAnsi="Arial" w:cs="Arial"/>
                <w:color w:val="000000"/>
                <w:sz w:val="20"/>
                <w:szCs w:val="20"/>
              </w:rPr>
            </w:pPr>
            <w:r w:rsidRPr="007B50DC">
              <w:rPr>
                <w:rFonts w:ascii="Arial" w:hAnsi="Arial" w:cs="Arial"/>
                <w:color w:val="000000"/>
                <w:sz w:val="20"/>
                <w:szCs w:val="20"/>
              </w:rPr>
              <w:t>9</w:t>
            </w:r>
          </w:p>
        </w:tc>
      </w:tr>
      <w:tr w:rsidR="007B50DC" w:rsidRPr="007B50DC" w14:paraId="1A636342" w14:textId="77777777" w:rsidTr="007B50DC">
        <w:trPr>
          <w:trHeight w:val="255"/>
        </w:trPr>
        <w:tc>
          <w:tcPr>
            <w:tcW w:w="2348" w:type="dxa"/>
            <w:tcBorders>
              <w:top w:val="single" w:sz="4" w:space="0" w:color="8EA9DB"/>
              <w:left w:val="single" w:sz="4" w:space="0" w:color="8EA9DB"/>
              <w:bottom w:val="single" w:sz="4" w:space="0" w:color="8EA9DB"/>
              <w:right w:val="nil"/>
            </w:tcBorders>
            <w:shd w:val="clear" w:color="auto" w:fill="auto"/>
            <w:noWrap/>
            <w:vAlign w:val="bottom"/>
            <w:hideMark/>
          </w:tcPr>
          <w:p w14:paraId="4C5836AF" w14:textId="77777777" w:rsidR="007B50DC" w:rsidRPr="007B50DC" w:rsidRDefault="007B50DC" w:rsidP="007B50DC">
            <w:pPr>
              <w:spacing w:after="0" w:line="240" w:lineRule="auto"/>
              <w:rPr>
                <w:rFonts w:ascii="Arial" w:hAnsi="Arial" w:cs="Arial"/>
                <w:b/>
                <w:color w:val="000000"/>
                <w:sz w:val="20"/>
                <w:szCs w:val="20"/>
              </w:rPr>
            </w:pPr>
            <w:r w:rsidRPr="007B50DC">
              <w:rPr>
                <w:rFonts w:ascii="Arial" w:hAnsi="Arial" w:cs="Arial"/>
                <w:b/>
                <w:color w:val="000000"/>
                <w:sz w:val="20"/>
                <w:szCs w:val="20"/>
              </w:rPr>
              <w:t>Total</w:t>
            </w:r>
          </w:p>
        </w:tc>
        <w:tc>
          <w:tcPr>
            <w:tcW w:w="1333" w:type="dxa"/>
            <w:tcBorders>
              <w:top w:val="single" w:sz="4" w:space="0" w:color="8EA9DB"/>
              <w:left w:val="nil"/>
              <w:bottom w:val="single" w:sz="4" w:space="0" w:color="8EA9DB"/>
              <w:right w:val="nil"/>
            </w:tcBorders>
            <w:shd w:val="clear" w:color="auto" w:fill="auto"/>
            <w:noWrap/>
            <w:vAlign w:val="bottom"/>
            <w:hideMark/>
          </w:tcPr>
          <w:p w14:paraId="6F36AE90" w14:textId="77777777" w:rsidR="007B50DC" w:rsidRPr="007B50DC" w:rsidRDefault="007B50DC" w:rsidP="007B50DC">
            <w:pPr>
              <w:spacing w:after="0" w:line="240" w:lineRule="auto"/>
              <w:jc w:val="center"/>
              <w:rPr>
                <w:rFonts w:ascii="Arial" w:hAnsi="Arial" w:cs="Arial"/>
                <w:b/>
                <w:color w:val="000000"/>
                <w:sz w:val="20"/>
                <w:szCs w:val="20"/>
              </w:rPr>
            </w:pPr>
            <w:r w:rsidRPr="007B50DC">
              <w:rPr>
                <w:rFonts w:ascii="Arial" w:hAnsi="Arial" w:cs="Arial"/>
                <w:b/>
                <w:color w:val="000000"/>
                <w:sz w:val="20"/>
                <w:szCs w:val="20"/>
              </w:rPr>
              <w:t>78%</w:t>
            </w:r>
          </w:p>
        </w:tc>
        <w:tc>
          <w:tcPr>
            <w:tcW w:w="1417" w:type="dxa"/>
            <w:tcBorders>
              <w:top w:val="single" w:sz="4" w:space="0" w:color="8EA9DB"/>
              <w:left w:val="nil"/>
              <w:bottom w:val="single" w:sz="4" w:space="0" w:color="8EA9DB"/>
              <w:right w:val="single" w:sz="4" w:space="0" w:color="8EA9DB"/>
            </w:tcBorders>
            <w:shd w:val="clear" w:color="auto" w:fill="auto"/>
            <w:noWrap/>
            <w:vAlign w:val="bottom"/>
            <w:hideMark/>
          </w:tcPr>
          <w:p w14:paraId="1FD3C619" w14:textId="77777777" w:rsidR="007B50DC" w:rsidRPr="007B50DC" w:rsidRDefault="007B50DC" w:rsidP="007B50DC">
            <w:pPr>
              <w:spacing w:after="0" w:line="240" w:lineRule="auto"/>
              <w:jc w:val="center"/>
              <w:rPr>
                <w:rFonts w:ascii="Arial" w:hAnsi="Arial" w:cs="Arial"/>
                <w:b/>
                <w:color w:val="000000"/>
                <w:sz w:val="20"/>
                <w:szCs w:val="20"/>
              </w:rPr>
            </w:pPr>
            <w:r w:rsidRPr="007B50DC">
              <w:rPr>
                <w:rFonts w:ascii="Arial" w:hAnsi="Arial" w:cs="Arial"/>
                <w:b/>
                <w:color w:val="000000"/>
                <w:sz w:val="20"/>
                <w:szCs w:val="20"/>
              </w:rPr>
              <w:t>45</w:t>
            </w:r>
          </w:p>
        </w:tc>
      </w:tr>
    </w:tbl>
    <w:p w14:paraId="71E39AF6" w14:textId="77777777" w:rsidR="009C23A6" w:rsidRDefault="009C23A6" w:rsidP="009C23A6">
      <w:pPr>
        <w:pStyle w:val="Heading2"/>
        <w:numPr>
          <w:ilvl w:val="1"/>
          <w:numId w:val="44"/>
        </w:numPr>
      </w:pPr>
      <w:bookmarkStart w:id="67" w:name="_Toc415657705"/>
      <w:r>
        <w:lastRenderedPageBreak/>
        <w:t>Retention by Practice size</w:t>
      </w:r>
      <w:bookmarkEnd w:id="67"/>
    </w:p>
    <w:p w14:paraId="43BCD437" w14:textId="77777777" w:rsidR="00B21676" w:rsidRPr="00B21676" w:rsidRDefault="009C23A6" w:rsidP="00B21676">
      <w:r>
        <w:t xml:space="preserve">Retention rates were higher for larger practices based on both enrolled population and number of GPs. </w:t>
      </w:r>
      <w:r w:rsidR="00B21676">
        <w:t>This reflects some comments that larger practices, or a group of practices, were able to absorb the NGN salary across the business.</w:t>
      </w:r>
    </w:p>
    <w:tbl>
      <w:tblPr>
        <w:tblW w:w="5098" w:type="dxa"/>
        <w:tblLook w:val="04A0" w:firstRow="1" w:lastRow="0" w:firstColumn="1" w:lastColumn="0" w:noHBand="0" w:noVBand="1"/>
      </w:tblPr>
      <w:tblGrid>
        <w:gridCol w:w="2348"/>
        <w:gridCol w:w="1333"/>
        <w:gridCol w:w="1417"/>
      </w:tblGrid>
      <w:tr w:rsidR="007B50DC" w:rsidRPr="007B50DC" w14:paraId="6E7DFBF9" w14:textId="77777777" w:rsidTr="00B21676">
        <w:trPr>
          <w:trHeight w:val="255"/>
        </w:trPr>
        <w:tc>
          <w:tcPr>
            <w:tcW w:w="2348" w:type="dxa"/>
            <w:tcBorders>
              <w:top w:val="single" w:sz="4" w:space="0" w:color="8EA9DB"/>
              <w:left w:val="single" w:sz="4" w:space="0" w:color="8EA9DB"/>
              <w:bottom w:val="single" w:sz="4" w:space="0" w:color="8EA9DB"/>
              <w:right w:val="nil"/>
            </w:tcBorders>
            <w:shd w:val="clear" w:color="4472C4" w:fill="4472C4"/>
            <w:noWrap/>
            <w:vAlign w:val="bottom"/>
            <w:hideMark/>
          </w:tcPr>
          <w:p w14:paraId="3E261DC5" w14:textId="77777777" w:rsidR="007B50DC" w:rsidRPr="007B50DC" w:rsidRDefault="007B50DC" w:rsidP="007B50DC">
            <w:pPr>
              <w:spacing w:after="0" w:line="240" w:lineRule="auto"/>
              <w:rPr>
                <w:rFonts w:ascii="Arial" w:hAnsi="Arial" w:cs="Arial"/>
                <w:b/>
                <w:bCs/>
                <w:color w:val="FFFFFF"/>
                <w:sz w:val="20"/>
                <w:szCs w:val="20"/>
              </w:rPr>
            </w:pPr>
            <w:r w:rsidRPr="007B50DC">
              <w:rPr>
                <w:rFonts w:ascii="Arial" w:hAnsi="Arial" w:cs="Arial"/>
                <w:b/>
                <w:bCs/>
                <w:color w:val="FFFFFF"/>
                <w:sz w:val="20"/>
                <w:szCs w:val="20"/>
              </w:rPr>
              <w:t>Enrolled population</w:t>
            </w:r>
          </w:p>
        </w:tc>
        <w:tc>
          <w:tcPr>
            <w:tcW w:w="1333" w:type="dxa"/>
            <w:tcBorders>
              <w:top w:val="single" w:sz="4" w:space="0" w:color="8EA9DB"/>
              <w:left w:val="nil"/>
              <w:bottom w:val="single" w:sz="4" w:space="0" w:color="8EA9DB"/>
              <w:right w:val="nil"/>
            </w:tcBorders>
            <w:shd w:val="clear" w:color="4472C4" w:fill="4472C4"/>
            <w:noWrap/>
            <w:vAlign w:val="bottom"/>
            <w:hideMark/>
          </w:tcPr>
          <w:p w14:paraId="5750D599" w14:textId="77777777" w:rsidR="007B50DC" w:rsidRPr="007B50DC" w:rsidRDefault="007B50DC" w:rsidP="00B21676">
            <w:pPr>
              <w:spacing w:after="0" w:line="240" w:lineRule="auto"/>
              <w:jc w:val="center"/>
              <w:rPr>
                <w:rFonts w:ascii="Arial" w:hAnsi="Arial" w:cs="Arial"/>
                <w:b/>
                <w:bCs/>
                <w:color w:val="FFFFFF"/>
                <w:sz w:val="20"/>
                <w:szCs w:val="20"/>
              </w:rPr>
            </w:pPr>
            <w:r w:rsidRPr="007B50DC">
              <w:rPr>
                <w:rFonts w:ascii="Arial" w:hAnsi="Arial" w:cs="Arial"/>
                <w:b/>
                <w:bCs/>
                <w:color w:val="FFFFFF"/>
                <w:sz w:val="20"/>
                <w:szCs w:val="20"/>
              </w:rPr>
              <w:t>Retention rate</w:t>
            </w:r>
          </w:p>
        </w:tc>
        <w:tc>
          <w:tcPr>
            <w:tcW w:w="1417" w:type="dxa"/>
            <w:tcBorders>
              <w:top w:val="single" w:sz="4" w:space="0" w:color="8EA9DB"/>
              <w:left w:val="nil"/>
              <w:bottom w:val="single" w:sz="4" w:space="0" w:color="8EA9DB"/>
              <w:right w:val="single" w:sz="4" w:space="0" w:color="8EA9DB"/>
            </w:tcBorders>
            <w:shd w:val="clear" w:color="4472C4" w:fill="4472C4"/>
            <w:noWrap/>
            <w:vAlign w:val="bottom"/>
            <w:hideMark/>
          </w:tcPr>
          <w:p w14:paraId="531F2FEA" w14:textId="77777777" w:rsidR="007B50DC" w:rsidRPr="007B50DC" w:rsidRDefault="007B50DC" w:rsidP="00B21676">
            <w:pPr>
              <w:spacing w:after="0" w:line="240" w:lineRule="auto"/>
              <w:jc w:val="center"/>
              <w:rPr>
                <w:rFonts w:ascii="Arial" w:hAnsi="Arial" w:cs="Arial"/>
                <w:b/>
                <w:bCs/>
                <w:color w:val="FFFFFF"/>
                <w:sz w:val="20"/>
                <w:szCs w:val="20"/>
              </w:rPr>
            </w:pPr>
            <w:r w:rsidRPr="007B50DC">
              <w:rPr>
                <w:rFonts w:ascii="Arial" w:hAnsi="Arial" w:cs="Arial"/>
                <w:b/>
                <w:bCs/>
                <w:color w:val="FFFFFF"/>
                <w:sz w:val="20"/>
                <w:szCs w:val="20"/>
              </w:rPr>
              <w:t>Number of practices</w:t>
            </w:r>
          </w:p>
        </w:tc>
      </w:tr>
      <w:tr w:rsidR="007B50DC" w:rsidRPr="007B50DC" w14:paraId="4E871D78" w14:textId="77777777" w:rsidTr="00B21676">
        <w:trPr>
          <w:trHeight w:val="255"/>
        </w:trPr>
        <w:tc>
          <w:tcPr>
            <w:tcW w:w="2348" w:type="dxa"/>
            <w:tcBorders>
              <w:top w:val="single" w:sz="4" w:space="0" w:color="8EA9DB"/>
              <w:left w:val="single" w:sz="4" w:space="0" w:color="8EA9DB"/>
              <w:bottom w:val="single" w:sz="4" w:space="0" w:color="8EA9DB"/>
              <w:right w:val="nil"/>
            </w:tcBorders>
            <w:shd w:val="clear" w:color="D9E1F2" w:fill="D9E1F2"/>
            <w:noWrap/>
            <w:vAlign w:val="bottom"/>
            <w:hideMark/>
          </w:tcPr>
          <w:p w14:paraId="723862BC" w14:textId="77777777" w:rsidR="007B50DC" w:rsidRPr="007B50DC" w:rsidRDefault="007B50DC" w:rsidP="007B50DC">
            <w:pPr>
              <w:spacing w:after="0" w:line="240" w:lineRule="auto"/>
              <w:rPr>
                <w:rFonts w:ascii="Arial" w:hAnsi="Arial" w:cs="Arial"/>
                <w:color w:val="000000"/>
                <w:sz w:val="20"/>
                <w:szCs w:val="20"/>
              </w:rPr>
            </w:pPr>
            <w:r w:rsidRPr="007B50DC">
              <w:rPr>
                <w:rFonts w:ascii="Arial" w:hAnsi="Arial" w:cs="Arial"/>
                <w:color w:val="000000"/>
                <w:sz w:val="20"/>
                <w:szCs w:val="20"/>
              </w:rPr>
              <w:t>&lt;2</w:t>
            </w:r>
            <w:r>
              <w:rPr>
                <w:rFonts w:ascii="Arial" w:hAnsi="Arial" w:cs="Arial"/>
                <w:color w:val="000000"/>
                <w:sz w:val="20"/>
                <w:szCs w:val="20"/>
              </w:rPr>
              <w:t>,</w:t>
            </w:r>
            <w:r w:rsidRPr="007B50DC">
              <w:rPr>
                <w:rFonts w:ascii="Arial" w:hAnsi="Arial" w:cs="Arial"/>
                <w:color w:val="000000"/>
                <w:sz w:val="20"/>
                <w:szCs w:val="20"/>
              </w:rPr>
              <w:t>000 enrolees</w:t>
            </w:r>
          </w:p>
        </w:tc>
        <w:tc>
          <w:tcPr>
            <w:tcW w:w="1333" w:type="dxa"/>
            <w:tcBorders>
              <w:top w:val="single" w:sz="4" w:space="0" w:color="8EA9DB"/>
              <w:left w:val="nil"/>
              <w:bottom w:val="single" w:sz="4" w:space="0" w:color="8EA9DB"/>
              <w:right w:val="nil"/>
            </w:tcBorders>
            <w:shd w:val="clear" w:color="D9E1F2" w:fill="D9E1F2"/>
            <w:noWrap/>
            <w:vAlign w:val="bottom"/>
            <w:hideMark/>
          </w:tcPr>
          <w:p w14:paraId="7830BA0F" w14:textId="77777777" w:rsidR="007B50DC" w:rsidRPr="007B50DC" w:rsidRDefault="007B50DC" w:rsidP="00B21676">
            <w:pPr>
              <w:spacing w:after="0" w:line="240" w:lineRule="auto"/>
              <w:jc w:val="center"/>
              <w:rPr>
                <w:rFonts w:ascii="Arial" w:hAnsi="Arial" w:cs="Arial"/>
                <w:color w:val="000000"/>
                <w:sz w:val="20"/>
                <w:szCs w:val="20"/>
              </w:rPr>
            </w:pPr>
            <w:r w:rsidRPr="007B50DC">
              <w:rPr>
                <w:rFonts w:ascii="Arial" w:hAnsi="Arial" w:cs="Arial"/>
                <w:color w:val="000000"/>
                <w:sz w:val="20"/>
                <w:szCs w:val="20"/>
              </w:rPr>
              <w:t>71%</w:t>
            </w:r>
          </w:p>
        </w:tc>
        <w:tc>
          <w:tcPr>
            <w:tcW w:w="1417" w:type="dxa"/>
            <w:tcBorders>
              <w:top w:val="single" w:sz="4" w:space="0" w:color="8EA9DB"/>
              <w:left w:val="nil"/>
              <w:bottom w:val="single" w:sz="4" w:space="0" w:color="8EA9DB"/>
              <w:right w:val="single" w:sz="4" w:space="0" w:color="8EA9DB"/>
            </w:tcBorders>
            <w:shd w:val="clear" w:color="D9E1F2" w:fill="D9E1F2"/>
            <w:noWrap/>
            <w:vAlign w:val="bottom"/>
            <w:hideMark/>
          </w:tcPr>
          <w:p w14:paraId="005EC3B8" w14:textId="77777777" w:rsidR="007B50DC" w:rsidRPr="007B50DC" w:rsidRDefault="007B50DC" w:rsidP="00B21676">
            <w:pPr>
              <w:spacing w:after="0" w:line="240" w:lineRule="auto"/>
              <w:jc w:val="center"/>
              <w:rPr>
                <w:rFonts w:ascii="Arial" w:hAnsi="Arial" w:cs="Arial"/>
                <w:color w:val="000000"/>
                <w:sz w:val="20"/>
                <w:szCs w:val="20"/>
              </w:rPr>
            </w:pPr>
            <w:r w:rsidRPr="007B50DC">
              <w:rPr>
                <w:rFonts w:ascii="Arial" w:hAnsi="Arial" w:cs="Arial"/>
                <w:color w:val="000000"/>
                <w:sz w:val="20"/>
                <w:szCs w:val="20"/>
              </w:rPr>
              <w:t>7</w:t>
            </w:r>
          </w:p>
        </w:tc>
      </w:tr>
      <w:tr w:rsidR="007B50DC" w:rsidRPr="007B50DC" w14:paraId="5EC05663" w14:textId="77777777" w:rsidTr="00B21676">
        <w:trPr>
          <w:trHeight w:val="255"/>
        </w:trPr>
        <w:tc>
          <w:tcPr>
            <w:tcW w:w="2348" w:type="dxa"/>
            <w:tcBorders>
              <w:top w:val="single" w:sz="4" w:space="0" w:color="8EA9DB"/>
              <w:left w:val="single" w:sz="4" w:space="0" w:color="8EA9DB"/>
              <w:bottom w:val="single" w:sz="4" w:space="0" w:color="8EA9DB"/>
              <w:right w:val="nil"/>
            </w:tcBorders>
            <w:shd w:val="clear" w:color="auto" w:fill="auto"/>
            <w:noWrap/>
            <w:vAlign w:val="bottom"/>
            <w:hideMark/>
          </w:tcPr>
          <w:p w14:paraId="30826434" w14:textId="77777777" w:rsidR="007B50DC" w:rsidRPr="007B50DC" w:rsidRDefault="007B50DC" w:rsidP="007B50DC">
            <w:pPr>
              <w:spacing w:after="0" w:line="240" w:lineRule="auto"/>
              <w:rPr>
                <w:rFonts w:ascii="Arial" w:hAnsi="Arial" w:cs="Arial"/>
                <w:color w:val="000000"/>
                <w:sz w:val="20"/>
                <w:szCs w:val="20"/>
              </w:rPr>
            </w:pPr>
            <w:r w:rsidRPr="007B50DC">
              <w:rPr>
                <w:rFonts w:ascii="Arial" w:hAnsi="Arial" w:cs="Arial"/>
                <w:color w:val="000000"/>
                <w:sz w:val="20"/>
                <w:szCs w:val="20"/>
              </w:rPr>
              <w:t>2</w:t>
            </w:r>
            <w:r>
              <w:rPr>
                <w:rFonts w:ascii="Arial" w:hAnsi="Arial" w:cs="Arial"/>
                <w:color w:val="000000"/>
                <w:sz w:val="20"/>
                <w:szCs w:val="20"/>
              </w:rPr>
              <w:t>,</w:t>
            </w:r>
            <w:r w:rsidRPr="007B50DC">
              <w:rPr>
                <w:rFonts w:ascii="Arial" w:hAnsi="Arial" w:cs="Arial"/>
                <w:color w:val="000000"/>
                <w:sz w:val="20"/>
                <w:szCs w:val="20"/>
              </w:rPr>
              <w:t>000-5</w:t>
            </w:r>
            <w:r>
              <w:rPr>
                <w:rFonts w:ascii="Arial" w:hAnsi="Arial" w:cs="Arial"/>
                <w:color w:val="000000"/>
                <w:sz w:val="20"/>
                <w:szCs w:val="20"/>
              </w:rPr>
              <w:t>,</w:t>
            </w:r>
            <w:r w:rsidRPr="007B50DC">
              <w:rPr>
                <w:rFonts w:ascii="Arial" w:hAnsi="Arial" w:cs="Arial"/>
                <w:color w:val="000000"/>
                <w:sz w:val="20"/>
                <w:szCs w:val="20"/>
              </w:rPr>
              <w:t>000 enrolees</w:t>
            </w:r>
          </w:p>
        </w:tc>
        <w:tc>
          <w:tcPr>
            <w:tcW w:w="1333" w:type="dxa"/>
            <w:tcBorders>
              <w:top w:val="single" w:sz="4" w:space="0" w:color="8EA9DB"/>
              <w:left w:val="nil"/>
              <w:bottom w:val="single" w:sz="4" w:space="0" w:color="8EA9DB"/>
              <w:right w:val="nil"/>
            </w:tcBorders>
            <w:shd w:val="clear" w:color="auto" w:fill="auto"/>
            <w:noWrap/>
            <w:vAlign w:val="bottom"/>
            <w:hideMark/>
          </w:tcPr>
          <w:p w14:paraId="154AFE6D" w14:textId="77777777" w:rsidR="007B50DC" w:rsidRPr="007B50DC" w:rsidRDefault="007B50DC" w:rsidP="00B21676">
            <w:pPr>
              <w:spacing w:after="0" w:line="240" w:lineRule="auto"/>
              <w:jc w:val="center"/>
              <w:rPr>
                <w:rFonts w:ascii="Arial" w:hAnsi="Arial" w:cs="Arial"/>
                <w:color w:val="000000"/>
                <w:sz w:val="20"/>
                <w:szCs w:val="20"/>
              </w:rPr>
            </w:pPr>
            <w:r w:rsidRPr="007B50DC">
              <w:rPr>
                <w:rFonts w:ascii="Arial" w:hAnsi="Arial" w:cs="Arial"/>
                <w:color w:val="000000"/>
                <w:sz w:val="20"/>
                <w:szCs w:val="20"/>
              </w:rPr>
              <w:t>69%</w:t>
            </w:r>
          </w:p>
        </w:tc>
        <w:tc>
          <w:tcPr>
            <w:tcW w:w="1417" w:type="dxa"/>
            <w:tcBorders>
              <w:top w:val="single" w:sz="4" w:space="0" w:color="8EA9DB"/>
              <w:left w:val="nil"/>
              <w:bottom w:val="single" w:sz="4" w:space="0" w:color="8EA9DB"/>
              <w:right w:val="single" w:sz="4" w:space="0" w:color="8EA9DB"/>
            </w:tcBorders>
            <w:shd w:val="clear" w:color="auto" w:fill="auto"/>
            <w:noWrap/>
            <w:vAlign w:val="bottom"/>
            <w:hideMark/>
          </w:tcPr>
          <w:p w14:paraId="790F65C6" w14:textId="77777777" w:rsidR="007B50DC" w:rsidRPr="007B50DC" w:rsidRDefault="007B50DC" w:rsidP="00B21676">
            <w:pPr>
              <w:spacing w:after="0" w:line="240" w:lineRule="auto"/>
              <w:jc w:val="center"/>
              <w:rPr>
                <w:rFonts w:ascii="Arial" w:hAnsi="Arial" w:cs="Arial"/>
                <w:color w:val="000000"/>
                <w:sz w:val="20"/>
                <w:szCs w:val="20"/>
              </w:rPr>
            </w:pPr>
            <w:r w:rsidRPr="007B50DC">
              <w:rPr>
                <w:rFonts w:ascii="Arial" w:hAnsi="Arial" w:cs="Arial"/>
                <w:color w:val="000000"/>
                <w:sz w:val="20"/>
                <w:szCs w:val="20"/>
              </w:rPr>
              <w:t>16</w:t>
            </w:r>
          </w:p>
        </w:tc>
      </w:tr>
      <w:tr w:rsidR="007B50DC" w:rsidRPr="007B50DC" w14:paraId="74D99E72" w14:textId="77777777" w:rsidTr="00B21676">
        <w:trPr>
          <w:trHeight w:val="255"/>
        </w:trPr>
        <w:tc>
          <w:tcPr>
            <w:tcW w:w="2348" w:type="dxa"/>
            <w:tcBorders>
              <w:top w:val="single" w:sz="4" w:space="0" w:color="8EA9DB"/>
              <w:left w:val="single" w:sz="4" w:space="0" w:color="8EA9DB"/>
              <w:bottom w:val="single" w:sz="4" w:space="0" w:color="8EA9DB"/>
              <w:right w:val="nil"/>
            </w:tcBorders>
            <w:shd w:val="clear" w:color="D9E1F2" w:fill="D9E1F2"/>
            <w:noWrap/>
            <w:vAlign w:val="bottom"/>
            <w:hideMark/>
          </w:tcPr>
          <w:p w14:paraId="13BEFEBE" w14:textId="77777777" w:rsidR="007B50DC" w:rsidRPr="007B50DC" w:rsidRDefault="007B50DC" w:rsidP="007B50DC">
            <w:pPr>
              <w:spacing w:after="0" w:line="240" w:lineRule="auto"/>
              <w:rPr>
                <w:rFonts w:ascii="Arial" w:hAnsi="Arial" w:cs="Arial"/>
                <w:color w:val="000000"/>
                <w:sz w:val="20"/>
                <w:szCs w:val="20"/>
              </w:rPr>
            </w:pPr>
            <w:r w:rsidRPr="007B50DC">
              <w:rPr>
                <w:rFonts w:ascii="Arial" w:hAnsi="Arial" w:cs="Arial"/>
                <w:color w:val="000000"/>
                <w:sz w:val="20"/>
                <w:szCs w:val="20"/>
              </w:rPr>
              <w:t>5</w:t>
            </w:r>
            <w:r>
              <w:rPr>
                <w:rFonts w:ascii="Arial" w:hAnsi="Arial" w:cs="Arial"/>
                <w:color w:val="000000"/>
                <w:sz w:val="20"/>
                <w:szCs w:val="20"/>
              </w:rPr>
              <w:t>,</w:t>
            </w:r>
            <w:r w:rsidRPr="007B50DC">
              <w:rPr>
                <w:rFonts w:ascii="Arial" w:hAnsi="Arial" w:cs="Arial"/>
                <w:color w:val="000000"/>
                <w:sz w:val="20"/>
                <w:szCs w:val="20"/>
              </w:rPr>
              <w:t>000-10</w:t>
            </w:r>
            <w:r>
              <w:rPr>
                <w:rFonts w:ascii="Arial" w:hAnsi="Arial" w:cs="Arial"/>
                <w:color w:val="000000"/>
                <w:sz w:val="20"/>
                <w:szCs w:val="20"/>
              </w:rPr>
              <w:t>,</w:t>
            </w:r>
            <w:r w:rsidRPr="007B50DC">
              <w:rPr>
                <w:rFonts w:ascii="Arial" w:hAnsi="Arial" w:cs="Arial"/>
                <w:color w:val="000000"/>
                <w:sz w:val="20"/>
                <w:szCs w:val="20"/>
              </w:rPr>
              <w:t>000 enrolees</w:t>
            </w:r>
          </w:p>
        </w:tc>
        <w:tc>
          <w:tcPr>
            <w:tcW w:w="1333" w:type="dxa"/>
            <w:tcBorders>
              <w:top w:val="single" w:sz="4" w:space="0" w:color="8EA9DB"/>
              <w:left w:val="nil"/>
              <w:bottom w:val="single" w:sz="4" w:space="0" w:color="8EA9DB"/>
              <w:right w:val="nil"/>
            </w:tcBorders>
            <w:shd w:val="clear" w:color="D9E1F2" w:fill="D9E1F2"/>
            <w:noWrap/>
            <w:vAlign w:val="bottom"/>
            <w:hideMark/>
          </w:tcPr>
          <w:p w14:paraId="213F6C48" w14:textId="77777777" w:rsidR="007B50DC" w:rsidRPr="007B50DC" w:rsidRDefault="007B50DC" w:rsidP="00B21676">
            <w:pPr>
              <w:spacing w:after="0" w:line="240" w:lineRule="auto"/>
              <w:jc w:val="center"/>
              <w:rPr>
                <w:rFonts w:ascii="Arial" w:hAnsi="Arial" w:cs="Arial"/>
                <w:color w:val="000000"/>
                <w:sz w:val="20"/>
                <w:szCs w:val="20"/>
              </w:rPr>
            </w:pPr>
            <w:r w:rsidRPr="007B50DC">
              <w:rPr>
                <w:rFonts w:ascii="Arial" w:hAnsi="Arial" w:cs="Arial"/>
                <w:color w:val="000000"/>
                <w:sz w:val="20"/>
                <w:szCs w:val="20"/>
              </w:rPr>
              <w:t>81%</w:t>
            </w:r>
          </w:p>
        </w:tc>
        <w:tc>
          <w:tcPr>
            <w:tcW w:w="1417" w:type="dxa"/>
            <w:tcBorders>
              <w:top w:val="single" w:sz="4" w:space="0" w:color="8EA9DB"/>
              <w:left w:val="nil"/>
              <w:bottom w:val="single" w:sz="4" w:space="0" w:color="8EA9DB"/>
              <w:right w:val="single" w:sz="4" w:space="0" w:color="8EA9DB"/>
            </w:tcBorders>
            <w:shd w:val="clear" w:color="D9E1F2" w:fill="D9E1F2"/>
            <w:noWrap/>
            <w:vAlign w:val="bottom"/>
            <w:hideMark/>
          </w:tcPr>
          <w:p w14:paraId="1929D4E9" w14:textId="77777777" w:rsidR="007B50DC" w:rsidRPr="007B50DC" w:rsidRDefault="007B50DC" w:rsidP="00B21676">
            <w:pPr>
              <w:spacing w:after="0" w:line="240" w:lineRule="auto"/>
              <w:jc w:val="center"/>
              <w:rPr>
                <w:rFonts w:ascii="Arial" w:hAnsi="Arial" w:cs="Arial"/>
                <w:color w:val="000000"/>
                <w:sz w:val="20"/>
                <w:szCs w:val="20"/>
              </w:rPr>
            </w:pPr>
            <w:r w:rsidRPr="007B50DC">
              <w:rPr>
                <w:rFonts w:ascii="Arial" w:hAnsi="Arial" w:cs="Arial"/>
                <w:color w:val="000000"/>
                <w:sz w:val="20"/>
                <w:szCs w:val="20"/>
              </w:rPr>
              <w:t>16</w:t>
            </w:r>
          </w:p>
        </w:tc>
      </w:tr>
      <w:tr w:rsidR="007B50DC" w:rsidRPr="007B50DC" w14:paraId="7B1953D0" w14:textId="77777777" w:rsidTr="00B21676">
        <w:trPr>
          <w:trHeight w:val="255"/>
        </w:trPr>
        <w:tc>
          <w:tcPr>
            <w:tcW w:w="2348" w:type="dxa"/>
            <w:tcBorders>
              <w:top w:val="single" w:sz="4" w:space="0" w:color="8EA9DB"/>
              <w:left w:val="single" w:sz="4" w:space="0" w:color="8EA9DB"/>
              <w:bottom w:val="single" w:sz="4" w:space="0" w:color="8EA9DB"/>
              <w:right w:val="nil"/>
            </w:tcBorders>
            <w:shd w:val="clear" w:color="auto" w:fill="auto"/>
            <w:noWrap/>
            <w:vAlign w:val="bottom"/>
            <w:hideMark/>
          </w:tcPr>
          <w:p w14:paraId="5BA07745" w14:textId="77777777" w:rsidR="007B50DC" w:rsidRPr="007B50DC" w:rsidRDefault="007B50DC" w:rsidP="007B50DC">
            <w:pPr>
              <w:spacing w:after="0" w:line="240" w:lineRule="auto"/>
              <w:rPr>
                <w:rFonts w:ascii="Arial" w:hAnsi="Arial" w:cs="Arial"/>
                <w:color w:val="000000"/>
                <w:sz w:val="20"/>
                <w:szCs w:val="20"/>
              </w:rPr>
            </w:pPr>
            <w:r w:rsidRPr="007B50DC">
              <w:rPr>
                <w:rFonts w:ascii="Arial" w:hAnsi="Arial" w:cs="Arial"/>
                <w:color w:val="000000"/>
                <w:sz w:val="20"/>
                <w:szCs w:val="20"/>
              </w:rPr>
              <w:t>10</w:t>
            </w:r>
            <w:r>
              <w:rPr>
                <w:rFonts w:ascii="Arial" w:hAnsi="Arial" w:cs="Arial"/>
                <w:color w:val="000000"/>
                <w:sz w:val="20"/>
                <w:szCs w:val="20"/>
              </w:rPr>
              <w:t>,</w:t>
            </w:r>
            <w:r w:rsidRPr="007B50DC">
              <w:rPr>
                <w:rFonts w:ascii="Arial" w:hAnsi="Arial" w:cs="Arial"/>
                <w:color w:val="000000"/>
                <w:sz w:val="20"/>
                <w:szCs w:val="20"/>
              </w:rPr>
              <w:t>000+ enrolees</w:t>
            </w:r>
          </w:p>
        </w:tc>
        <w:tc>
          <w:tcPr>
            <w:tcW w:w="1333" w:type="dxa"/>
            <w:tcBorders>
              <w:top w:val="single" w:sz="4" w:space="0" w:color="8EA9DB"/>
              <w:left w:val="nil"/>
              <w:bottom w:val="single" w:sz="4" w:space="0" w:color="8EA9DB"/>
              <w:right w:val="nil"/>
            </w:tcBorders>
            <w:shd w:val="clear" w:color="auto" w:fill="auto"/>
            <w:noWrap/>
            <w:vAlign w:val="bottom"/>
            <w:hideMark/>
          </w:tcPr>
          <w:p w14:paraId="360C75A6" w14:textId="77777777" w:rsidR="007B50DC" w:rsidRPr="007B50DC" w:rsidRDefault="007B50DC" w:rsidP="00B21676">
            <w:pPr>
              <w:spacing w:after="0" w:line="240" w:lineRule="auto"/>
              <w:jc w:val="center"/>
              <w:rPr>
                <w:rFonts w:ascii="Arial" w:hAnsi="Arial" w:cs="Arial"/>
                <w:color w:val="000000"/>
                <w:sz w:val="20"/>
                <w:szCs w:val="20"/>
              </w:rPr>
            </w:pPr>
            <w:r w:rsidRPr="007B50DC">
              <w:rPr>
                <w:rFonts w:ascii="Arial" w:hAnsi="Arial" w:cs="Arial"/>
                <w:color w:val="000000"/>
                <w:sz w:val="20"/>
                <w:szCs w:val="20"/>
              </w:rPr>
              <w:t>100%</w:t>
            </w:r>
          </w:p>
        </w:tc>
        <w:tc>
          <w:tcPr>
            <w:tcW w:w="1417" w:type="dxa"/>
            <w:tcBorders>
              <w:top w:val="single" w:sz="4" w:space="0" w:color="8EA9DB"/>
              <w:left w:val="nil"/>
              <w:bottom w:val="single" w:sz="4" w:space="0" w:color="8EA9DB"/>
              <w:right w:val="single" w:sz="4" w:space="0" w:color="8EA9DB"/>
            </w:tcBorders>
            <w:shd w:val="clear" w:color="auto" w:fill="auto"/>
            <w:noWrap/>
            <w:vAlign w:val="bottom"/>
            <w:hideMark/>
          </w:tcPr>
          <w:p w14:paraId="170A2425" w14:textId="77777777" w:rsidR="007B50DC" w:rsidRPr="007B50DC" w:rsidRDefault="007B50DC" w:rsidP="00B21676">
            <w:pPr>
              <w:spacing w:after="0" w:line="240" w:lineRule="auto"/>
              <w:jc w:val="center"/>
              <w:rPr>
                <w:rFonts w:ascii="Arial" w:hAnsi="Arial" w:cs="Arial"/>
                <w:color w:val="000000"/>
                <w:sz w:val="20"/>
                <w:szCs w:val="20"/>
              </w:rPr>
            </w:pPr>
            <w:r w:rsidRPr="007B50DC">
              <w:rPr>
                <w:rFonts w:ascii="Arial" w:hAnsi="Arial" w:cs="Arial"/>
                <w:color w:val="000000"/>
                <w:sz w:val="20"/>
                <w:szCs w:val="20"/>
              </w:rPr>
              <w:t>6</w:t>
            </w:r>
          </w:p>
        </w:tc>
      </w:tr>
      <w:tr w:rsidR="007B50DC" w:rsidRPr="007B50DC" w14:paraId="575479C3" w14:textId="77777777" w:rsidTr="00B21676">
        <w:trPr>
          <w:trHeight w:val="255"/>
        </w:trPr>
        <w:tc>
          <w:tcPr>
            <w:tcW w:w="2348" w:type="dxa"/>
            <w:tcBorders>
              <w:top w:val="single" w:sz="4" w:space="0" w:color="8EA9DB"/>
              <w:left w:val="single" w:sz="4" w:space="0" w:color="8EA9DB"/>
              <w:bottom w:val="single" w:sz="4" w:space="0" w:color="8EA9DB"/>
              <w:right w:val="nil"/>
            </w:tcBorders>
            <w:shd w:val="clear" w:color="D9E1F2" w:fill="D9E1F2"/>
            <w:noWrap/>
            <w:vAlign w:val="bottom"/>
            <w:hideMark/>
          </w:tcPr>
          <w:p w14:paraId="15B1517E" w14:textId="77777777" w:rsidR="007B50DC" w:rsidRPr="007B50DC" w:rsidRDefault="007B50DC" w:rsidP="007B50DC">
            <w:pPr>
              <w:spacing w:after="0" w:line="240" w:lineRule="auto"/>
              <w:rPr>
                <w:rFonts w:ascii="Arial" w:hAnsi="Arial" w:cs="Arial"/>
                <w:b/>
                <w:color w:val="000000"/>
                <w:sz w:val="20"/>
                <w:szCs w:val="20"/>
              </w:rPr>
            </w:pPr>
            <w:r w:rsidRPr="007B50DC">
              <w:rPr>
                <w:rFonts w:ascii="Arial" w:hAnsi="Arial" w:cs="Arial"/>
                <w:b/>
                <w:color w:val="000000"/>
                <w:sz w:val="20"/>
                <w:szCs w:val="20"/>
              </w:rPr>
              <w:t>Total</w:t>
            </w:r>
          </w:p>
        </w:tc>
        <w:tc>
          <w:tcPr>
            <w:tcW w:w="1333" w:type="dxa"/>
            <w:tcBorders>
              <w:top w:val="single" w:sz="4" w:space="0" w:color="8EA9DB"/>
              <w:left w:val="nil"/>
              <w:bottom w:val="single" w:sz="4" w:space="0" w:color="8EA9DB"/>
              <w:right w:val="nil"/>
            </w:tcBorders>
            <w:shd w:val="clear" w:color="D9E1F2" w:fill="D9E1F2"/>
            <w:noWrap/>
            <w:vAlign w:val="bottom"/>
            <w:hideMark/>
          </w:tcPr>
          <w:p w14:paraId="4E901D39" w14:textId="77777777" w:rsidR="007B50DC" w:rsidRPr="007B50DC" w:rsidRDefault="007B50DC" w:rsidP="00B21676">
            <w:pPr>
              <w:spacing w:after="0" w:line="240" w:lineRule="auto"/>
              <w:jc w:val="center"/>
              <w:rPr>
                <w:rFonts w:ascii="Arial" w:hAnsi="Arial" w:cs="Arial"/>
                <w:b/>
                <w:color w:val="000000"/>
                <w:sz w:val="20"/>
                <w:szCs w:val="20"/>
              </w:rPr>
            </w:pPr>
            <w:r w:rsidRPr="007B50DC">
              <w:rPr>
                <w:rFonts w:ascii="Arial" w:hAnsi="Arial" w:cs="Arial"/>
                <w:b/>
                <w:color w:val="000000"/>
                <w:sz w:val="20"/>
                <w:szCs w:val="20"/>
              </w:rPr>
              <w:t>78%</w:t>
            </w:r>
          </w:p>
        </w:tc>
        <w:tc>
          <w:tcPr>
            <w:tcW w:w="1417" w:type="dxa"/>
            <w:tcBorders>
              <w:top w:val="single" w:sz="4" w:space="0" w:color="8EA9DB"/>
              <w:left w:val="nil"/>
              <w:bottom w:val="single" w:sz="4" w:space="0" w:color="8EA9DB"/>
              <w:right w:val="single" w:sz="4" w:space="0" w:color="8EA9DB"/>
            </w:tcBorders>
            <w:shd w:val="clear" w:color="D9E1F2" w:fill="D9E1F2"/>
            <w:noWrap/>
            <w:vAlign w:val="bottom"/>
            <w:hideMark/>
          </w:tcPr>
          <w:p w14:paraId="09BDF45E" w14:textId="77777777" w:rsidR="007B50DC" w:rsidRPr="007B50DC" w:rsidRDefault="007B50DC" w:rsidP="00B21676">
            <w:pPr>
              <w:spacing w:after="0" w:line="240" w:lineRule="auto"/>
              <w:jc w:val="center"/>
              <w:rPr>
                <w:rFonts w:ascii="Arial" w:hAnsi="Arial" w:cs="Arial"/>
                <w:b/>
                <w:color w:val="000000"/>
                <w:sz w:val="20"/>
                <w:szCs w:val="20"/>
              </w:rPr>
            </w:pPr>
            <w:r w:rsidRPr="007B50DC">
              <w:rPr>
                <w:rFonts w:ascii="Arial" w:hAnsi="Arial" w:cs="Arial"/>
                <w:b/>
                <w:color w:val="000000"/>
                <w:sz w:val="20"/>
                <w:szCs w:val="20"/>
              </w:rPr>
              <w:t>45</w:t>
            </w:r>
          </w:p>
        </w:tc>
      </w:tr>
    </w:tbl>
    <w:p w14:paraId="5ED00FD8" w14:textId="77777777" w:rsidR="007B50DC" w:rsidRDefault="007B50DC" w:rsidP="007B50DC"/>
    <w:tbl>
      <w:tblPr>
        <w:tblW w:w="5240" w:type="dxa"/>
        <w:tblLook w:val="04A0" w:firstRow="1" w:lastRow="0" w:firstColumn="1" w:lastColumn="0" w:noHBand="0" w:noVBand="1"/>
      </w:tblPr>
      <w:tblGrid>
        <w:gridCol w:w="2348"/>
        <w:gridCol w:w="1333"/>
        <w:gridCol w:w="1559"/>
      </w:tblGrid>
      <w:tr w:rsidR="00B21676" w:rsidRPr="00B21676" w14:paraId="2A8308CA" w14:textId="77777777" w:rsidTr="00B21676">
        <w:trPr>
          <w:trHeight w:val="255"/>
        </w:trPr>
        <w:tc>
          <w:tcPr>
            <w:tcW w:w="2348" w:type="dxa"/>
            <w:tcBorders>
              <w:top w:val="single" w:sz="4" w:space="0" w:color="8EA9DB"/>
              <w:left w:val="single" w:sz="4" w:space="0" w:color="8EA9DB"/>
              <w:bottom w:val="single" w:sz="4" w:space="0" w:color="8EA9DB"/>
              <w:right w:val="nil"/>
            </w:tcBorders>
            <w:shd w:val="clear" w:color="4472C4" w:fill="4472C4"/>
            <w:noWrap/>
            <w:vAlign w:val="bottom"/>
            <w:hideMark/>
          </w:tcPr>
          <w:p w14:paraId="6EFCC1C9" w14:textId="77777777" w:rsidR="00B21676" w:rsidRPr="00B21676" w:rsidRDefault="00B21676" w:rsidP="00B21676">
            <w:pPr>
              <w:spacing w:after="0" w:line="240" w:lineRule="auto"/>
              <w:rPr>
                <w:rFonts w:ascii="Arial" w:hAnsi="Arial" w:cs="Arial"/>
                <w:b/>
                <w:bCs/>
                <w:color w:val="FFFFFF"/>
                <w:sz w:val="20"/>
                <w:szCs w:val="20"/>
              </w:rPr>
            </w:pPr>
            <w:r w:rsidRPr="00B21676">
              <w:rPr>
                <w:rFonts w:ascii="Arial" w:hAnsi="Arial" w:cs="Arial"/>
                <w:b/>
                <w:bCs/>
                <w:color w:val="FFFFFF"/>
                <w:sz w:val="20"/>
                <w:szCs w:val="20"/>
              </w:rPr>
              <w:t>Number of GPs</w:t>
            </w:r>
          </w:p>
        </w:tc>
        <w:tc>
          <w:tcPr>
            <w:tcW w:w="1333" w:type="dxa"/>
            <w:tcBorders>
              <w:top w:val="single" w:sz="4" w:space="0" w:color="8EA9DB"/>
              <w:left w:val="nil"/>
              <w:bottom w:val="single" w:sz="4" w:space="0" w:color="8EA9DB"/>
              <w:right w:val="nil"/>
            </w:tcBorders>
            <w:shd w:val="clear" w:color="4472C4" w:fill="4472C4"/>
            <w:noWrap/>
            <w:vAlign w:val="bottom"/>
            <w:hideMark/>
          </w:tcPr>
          <w:p w14:paraId="71A32092" w14:textId="77777777" w:rsidR="00B21676" w:rsidRPr="00B21676" w:rsidRDefault="00B21676" w:rsidP="00B21676">
            <w:pPr>
              <w:spacing w:after="0" w:line="240" w:lineRule="auto"/>
              <w:jc w:val="center"/>
              <w:rPr>
                <w:rFonts w:ascii="Arial" w:hAnsi="Arial" w:cs="Arial"/>
                <w:b/>
                <w:bCs/>
                <w:color w:val="FFFFFF"/>
                <w:sz w:val="20"/>
                <w:szCs w:val="20"/>
              </w:rPr>
            </w:pPr>
            <w:r w:rsidRPr="00B21676">
              <w:rPr>
                <w:rFonts w:ascii="Arial" w:hAnsi="Arial" w:cs="Arial"/>
                <w:b/>
                <w:bCs/>
                <w:color w:val="FFFFFF"/>
                <w:sz w:val="20"/>
                <w:szCs w:val="20"/>
              </w:rPr>
              <w:t>Retention rate</w:t>
            </w:r>
          </w:p>
        </w:tc>
        <w:tc>
          <w:tcPr>
            <w:tcW w:w="1559" w:type="dxa"/>
            <w:tcBorders>
              <w:top w:val="single" w:sz="4" w:space="0" w:color="8EA9DB"/>
              <w:left w:val="nil"/>
              <w:bottom w:val="single" w:sz="4" w:space="0" w:color="8EA9DB"/>
              <w:right w:val="single" w:sz="4" w:space="0" w:color="8EA9DB"/>
            </w:tcBorders>
            <w:shd w:val="clear" w:color="4472C4" w:fill="4472C4"/>
            <w:noWrap/>
            <w:vAlign w:val="bottom"/>
            <w:hideMark/>
          </w:tcPr>
          <w:p w14:paraId="1A257841" w14:textId="77777777" w:rsidR="00B21676" w:rsidRPr="00B21676" w:rsidRDefault="00B21676" w:rsidP="00B21676">
            <w:pPr>
              <w:spacing w:after="0" w:line="240" w:lineRule="auto"/>
              <w:jc w:val="center"/>
              <w:rPr>
                <w:rFonts w:ascii="Arial" w:hAnsi="Arial" w:cs="Arial"/>
                <w:b/>
                <w:bCs/>
                <w:color w:val="FFFFFF"/>
                <w:sz w:val="20"/>
                <w:szCs w:val="20"/>
              </w:rPr>
            </w:pPr>
            <w:r w:rsidRPr="00B21676">
              <w:rPr>
                <w:rFonts w:ascii="Arial" w:hAnsi="Arial" w:cs="Arial"/>
                <w:b/>
                <w:bCs/>
                <w:color w:val="FFFFFF"/>
                <w:sz w:val="20"/>
                <w:szCs w:val="20"/>
              </w:rPr>
              <w:t>Number of practices</w:t>
            </w:r>
          </w:p>
        </w:tc>
      </w:tr>
      <w:tr w:rsidR="00B21676" w:rsidRPr="00B21676" w14:paraId="49D67DF2" w14:textId="77777777" w:rsidTr="00B21676">
        <w:trPr>
          <w:trHeight w:val="255"/>
        </w:trPr>
        <w:tc>
          <w:tcPr>
            <w:tcW w:w="2348" w:type="dxa"/>
            <w:tcBorders>
              <w:top w:val="single" w:sz="4" w:space="0" w:color="8EA9DB"/>
              <w:left w:val="single" w:sz="4" w:space="0" w:color="8EA9DB"/>
              <w:bottom w:val="single" w:sz="4" w:space="0" w:color="8EA9DB"/>
              <w:right w:val="nil"/>
            </w:tcBorders>
            <w:shd w:val="clear" w:color="D9E1F2" w:fill="D9E1F2"/>
            <w:noWrap/>
            <w:vAlign w:val="bottom"/>
            <w:hideMark/>
          </w:tcPr>
          <w:p w14:paraId="7FF5098B" w14:textId="77777777" w:rsidR="00B21676" w:rsidRPr="00B21676" w:rsidRDefault="00B21676" w:rsidP="00B21676">
            <w:pPr>
              <w:spacing w:after="0" w:line="240" w:lineRule="auto"/>
              <w:rPr>
                <w:rFonts w:ascii="Arial" w:hAnsi="Arial" w:cs="Arial"/>
                <w:color w:val="000000"/>
                <w:sz w:val="20"/>
                <w:szCs w:val="20"/>
              </w:rPr>
            </w:pPr>
            <w:r w:rsidRPr="00B21676">
              <w:rPr>
                <w:rFonts w:ascii="Arial" w:hAnsi="Arial" w:cs="Arial"/>
                <w:color w:val="000000"/>
                <w:sz w:val="20"/>
                <w:szCs w:val="20"/>
              </w:rPr>
              <w:t>1 GP</w:t>
            </w:r>
          </w:p>
        </w:tc>
        <w:tc>
          <w:tcPr>
            <w:tcW w:w="1333" w:type="dxa"/>
            <w:tcBorders>
              <w:top w:val="single" w:sz="4" w:space="0" w:color="8EA9DB"/>
              <w:left w:val="nil"/>
              <w:bottom w:val="single" w:sz="4" w:space="0" w:color="8EA9DB"/>
              <w:right w:val="nil"/>
            </w:tcBorders>
            <w:shd w:val="clear" w:color="D9E1F2" w:fill="D9E1F2"/>
            <w:noWrap/>
            <w:vAlign w:val="bottom"/>
            <w:hideMark/>
          </w:tcPr>
          <w:p w14:paraId="767C035E" w14:textId="77777777" w:rsidR="00B21676" w:rsidRPr="00B21676" w:rsidRDefault="00B21676" w:rsidP="00B21676">
            <w:pPr>
              <w:spacing w:after="0" w:line="240" w:lineRule="auto"/>
              <w:jc w:val="center"/>
              <w:rPr>
                <w:rFonts w:ascii="Arial" w:hAnsi="Arial" w:cs="Arial"/>
                <w:color w:val="000000"/>
                <w:sz w:val="20"/>
                <w:szCs w:val="20"/>
              </w:rPr>
            </w:pPr>
            <w:r w:rsidRPr="00B21676">
              <w:rPr>
                <w:rFonts w:ascii="Arial" w:hAnsi="Arial" w:cs="Arial"/>
                <w:color w:val="000000"/>
                <w:sz w:val="20"/>
                <w:szCs w:val="20"/>
              </w:rPr>
              <w:t>67%</w:t>
            </w:r>
          </w:p>
        </w:tc>
        <w:tc>
          <w:tcPr>
            <w:tcW w:w="1559" w:type="dxa"/>
            <w:tcBorders>
              <w:top w:val="single" w:sz="4" w:space="0" w:color="8EA9DB"/>
              <w:left w:val="nil"/>
              <w:bottom w:val="single" w:sz="4" w:space="0" w:color="8EA9DB"/>
              <w:right w:val="single" w:sz="4" w:space="0" w:color="8EA9DB"/>
            </w:tcBorders>
            <w:shd w:val="clear" w:color="D9E1F2" w:fill="D9E1F2"/>
            <w:noWrap/>
            <w:vAlign w:val="bottom"/>
            <w:hideMark/>
          </w:tcPr>
          <w:p w14:paraId="0E9A2051" w14:textId="77777777" w:rsidR="00B21676" w:rsidRPr="00B21676" w:rsidRDefault="00B21676" w:rsidP="00B21676">
            <w:pPr>
              <w:spacing w:after="0" w:line="240" w:lineRule="auto"/>
              <w:jc w:val="center"/>
              <w:rPr>
                <w:rFonts w:ascii="Arial" w:hAnsi="Arial" w:cs="Arial"/>
                <w:color w:val="000000"/>
                <w:sz w:val="20"/>
                <w:szCs w:val="20"/>
              </w:rPr>
            </w:pPr>
            <w:r w:rsidRPr="00B21676">
              <w:rPr>
                <w:rFonts w:ascii="Arial" w:hAnsi="Arial" w:cs="Arial"/>
                <w:color w:val="000000"/>
                <w:sz w:val="20"/>
                <w:szCs w:val="20"/>
              </w:rPr>
              <w:t>3</w:t>
            </w:r>
          </w:p>
        </w:tc>
      </w:tr>
      <w:tr w:rsidR="00B21676" w:rsidRPr="00B21676" w14:paraId="19B166FA" w14:textId="77777777" w:rsidTr="00B21676">
        <w:trPr>
          <w:trHeight w:val="255"/>
        </w:trPr>
        <w:tc>
          <w:tcPr>
            <w:tcW w:w="2348" w:type="dxa"/>
            <w:tcBorders>
              <w:top w:val="single" w:sz="4" w:space="0" w:color="8EA9DB"/>
              <w:left w:val="single" w:sz="4" w:space="0" w:color="8EA9DB"/>
              <w:bottom w:val="single" w:sz="4" w:space="0" w:color="8EA9DB"/>
              <w:right w:val="nil"/>
            </w:tcBorders>
            <w:shd w:val="clear" w:color="auto" w:fill="auto"/>
            <w:noWrap/>
            <w:vAlign w:val="bottom"/>
            <w:hideMark/>
          </w:tcPr>
          <w:p w14:paraId="44AA816F" w14:textId="77777777" w:rsidR="00B21676" w:rsidRPr="00B21676" w:rsidRDefault="00B21676" w:rsidP="00B21676">
            <w:pPr>
              <w:spacing w:after="0" w:line="240" w:lineRule="auto"/>
              <w:rPr>
                <w:rFonts w:ascii="Arial" w:hAnsi="Arial" w:cs="Arial"/>
                <w:color w:val="000000"/>
                <w:sz w:val="20"/>
                <w:szCs w:val="20"/>
              </w:rPr>
            </w:pPr>
            <w:r w:rsidRPr="00B21676">
              <w:rPr>
                <w:rFonts w:ascii="Arial" w:hAnsi="Arial" w:cs="Arial"/>
                <w:color w:val="000000"/>
                <w:sz w:val="20"/>
                <w:szCs w:val="20"/>
              </w:rPr>
              <w:t>2-4 GPs</w:t>
            </w:r>
          </w:p>
        </w:tc>
        <w:tc>
          <w:tcPr>
            <w:tcW w:w="1333" w:type="dxa"/>
            <w:tcBorders>
              <w:top w:val="single" w:sz="4" w:space="0" w:color="8EA9DB"/>
              <w:left w:val="nil"/>
              <w:bottom w:val="single" w:sz="4" w:space="0" w:color="8EA9DB"/>
              <w:right w:val="nil"/>
            </w:tcBorders>
            <w:shd w:val="clear" w:color="auto" w:fill="auto"/>
            <w:noWrap/>
            <w:vAlign w:val="bottom"/>
            <w:hideMark/>
          </w:tcPr>
          <w:p w14:paraId="5C3454F7" w14:textId="77777777" w:rsidR="00B21676" w:rsidRPr="00B21676" w:rsidRDefault="00B21676" w:rsidP="00B21676">
            <w:pPr>
              <w:spacing w:after="0" w:line="240" w:lineRule="auto"/>
              <w:jc w:val="center"/>
              <w:rPr>
                <w:rFonts w:ascii="Arial" w:hAnsi="Arial" w:cs="Arial"/>
                <w:color w:val="000000"/>
                <w:sz w:val="20"/>
                <w:szCs w:val="20"/>
              </w:rPr>
            </w:pPr>
            <w:r w:rsidRPr="00B21676">
              <w:rPr>
                <w:rFonts w:ascii="Arial" w:hAnsi="Arial" w:cs="Arial"/>
                <w:color w:val="000000"/>
                <w:sz w:val="20"/>
                <w:szCs w:val="20"/>
              </w:rPr>
              <w:t>68%</w:t>
            </w:r>
          </w:p>
        </w:tc>
        <w:tc>
          <w:tcPr>
            <w:tcW w:w="1559" w:type="dxa"/>
            <w:tcBorders>
              <w:top w:val="single" w:sz="4" w:space="0" w:color="8EA9DB"/>
              <w:left w:val="nil"/>
              <w:bottom w:val="single" w:sz="4" w:space="0" w:color="8EA9DB"/>
              <w:right w:val="single" w:sz="4" w:space="0" w:color="8EA9DB"/>
            </w:tcBorders>
            <w:shd w:val="clear" w:color="auto" w:fill="auto"/>
            <w:noWrap/>
            <w:vAlign w:val="bottom"/>
            <w:hideMark/>
          </w:tcPr>
          <w:p w14:paraId="5EAC792C" w14:textId="77777777" w:rsidR="00B21676" w:rsidRPr="00B21676" w:rsidRDefault="00B21676" w:rsidP="00B21676">
            <w:pPr>
              <w:spacing w:after="0" w:line="240" w:lineRule="auto"/>
              <w:jc w:val="center"/>
              <w:rPr>
                <w:rFonts w:ascii="Arial" w:hAnsi="Arial" w:cs="Arial"/>
                <w:color w:val="000000"/>
                <w:sz w:val="20"/>
                <w:szCs w:val="20"/>
              </w:rPr>
            </w:pPr>
            <w:r w:rsidRPr="00B21676">
              <w:rPr>
                <w:rFonts w:ascii="Arial" w:hAnsi="Arial" w:cs="Arial"/>
                <w:color w:val="000000"/>
                <w:sz w:val="20"/>
                <w:szCs w:val="20"/>
              </w:rPr>
              <w:t>19</w:t>
            </w:r>
          </w:p>
        </w:tc>
      </w:tr>
      <w:tr w:rsidR="00B21676" w:rsidRPr="00B21676" w14:paraId="13A9D4B3" w14:textId="77777777" w:rsidTr="00B21676">
        <w:trPr>
          <w:trHeight w:val="255"/>
        </w:trPr>
        <w:tc>
          <w:tcPr>
            <w:tcW w:w="2348" w:type="dxa"/>
            <w:tcBorders>
              <w:top w:val="single" w:sz="4" w:space="0" w:color="8EA9DB"/>
              <w:left w:val="single" w:sz="4" w:space="0" w:color="8EA9DB"/>
              <w:bottom w:val="single" w:sz="4" w:space="0" w:color="8EA9DB"/>
              <w:right w:val="nil"/>
            </w:tcBorders>
            <w:shd w:val="clear" w:color="D9E1F2" w:fill="D9E1F2"/>
            <w:noWrap/>
            <w:vAlign w:val="bottom"/>
            <w:hideMark/>
          </w:tcPr>
          <w:p w14:paraId="45C83E11" w14:textId="77777777" w:rsidR="00B21676" w:rsidRPr="00B21676" w:rsidRDefault="00B21676" w:rsidP="00B21676">
            <w:pPr>
              <w:spacing w:after="0" w:line="240" w:lineRule="auto"/>
              <w:rPr>
                <w:rFonts w:ascii="Arial" w:hAnsi="Arial" w:cs="Arial"/>
                <w:color w:val="000000"/>
                <w:sz w:val="20"/>
                <w:szCs w:val="20"/>
              </w:rPr>
            </w:pPr>
            <w:r w:rsidRPr="00B21676">
              <w:rPr>
                <w:rFonts w:ascii="Arial" w:hAnsi="Arial" w:cs="Arial"/>
                <w:color w:val="000000"/>
                <w:sz w:val="20"/>
                <w:szCs w:val="20"/>
              </w:rPr>
              <w:t>5-9 GPs</w:t>
            </w:r>
          </w:p>
        </w:tc>
        <w:tc>
          <w:tcPr>
            <w:tcW w:w="1333" w:type="dxa"/>
            <w:tcBorders>
              <w:top w:val="single" w:sz="4" w:space="0" w:color="8EA9DB"/>
              <w:left w:val="nil"/>
              <w:bottom w:val="single" w:sz="4" w:space="0" w:color="8EA9DB"/>
              <w:right w:val="nil"/>
            </w:tcBorders>
            <w:shd w:val="clear" w:color="D9E1F2" w:fill="D9E1F2"/>
            <w:noWrap/>
            <w:vAlign w:val="bottom"/>
            <w:hideMark/>
          </w:tcPr>
          <w:p w14:paraId="2E01E353" w14:textId="77777777" w:rsidR="00B21676" w:rsidRPr="00B21676" w:rsidRDefault="00B21676" w:rsidP="00B21676">
            <w:pPr>
              <w:spacing w:after="0" w:line="240" w:lineRule="auto"/>
              <w:jc w:val="center"/>
              <w:rPr>
                <w:rFonts w:ascii="Arial" w:hAnsi="Arial" w:cs="Arial"/>
                <w:color w:val="000000"/>
                <w:sz w:val="20"/>
                <w:szCs w:val="20"/>
              </w:rPr>
            </w:pPr>
            <w:r w:rsidRPr="00B21676">
              <w:rPr>
                <w:rFonts w:ascii="Arial" w:hAnsi="Arial" w:cs="Arial"/>
                <w:color w:val="000000"/>
                <w:sz w:val="20"/>
                <w:szCs w:val="20"/>
              </w:rPr>
              <w:t>83%</w:t>
            </w:r>
          </w:p>
        </w:tc>
        <w:tc>
          <w:tcPr>
            <w:tcW w:w="1559" w:type="dxa"/>
            <w:tcBorders>
              <w:top w:val="single" w:sz="4" w:space="0" w:color="8EA9DB"/>
              <w:left w:val="nil"/>
              <w:bottom w:val="single" w:sz="4" w:space="0" w:color="8EA9DB"/>
              <w:right w:val="single" w:sz="4" w:space="0" w:color="8EA9DB"/>
            </w:tcBorders>
            <w:shd w:val="clear" w:color="D9E1F2" w:fill="D9E1F2"/>
            <w:noWrap/>
            <w:vAlign w:val="bottom"/>
            <w:hideMark/>
          </w:tcPr>
          <w:p w14:paraId="197AB621" w14:textId="77777777" w:rsidR="00B21676" w:rsidRPr="00B21676" w:rsidRDefault="00B21676" w:rsidP="00B21676">
            <w:pPr>
              <w:spacing w:after="0" w:line="240" w:lineRule="auto"/>
              <w:jc w:val="center"/>
              <w:rPr>
                <w:rFonts w:ascii="Arial" w:hAnsi="Arial" w:cs="Arial"/>
                <w:color w:val="000000"/>
                <w:sz w:val="20"/>
                <w:szCs w:val="20"/>
              </w:rPr>
            </w:pPr>
            <w:r w:rsidRPr="00B21676">
              <w:rPr>
                <w:rFonts w:ascii="Arial" w:hAnsi="Arial" w:cs="Arial"/>
                <w:color w:val="000000"/>
                <w:sz w:val="20"/>
                <w:szCs w:val="20"/>
              </w:rPr>
              <w:t>12</w:t>
            </w:r>
          </w:p>
        </w:tc>
      </w:tr>
      <w:tr w:rsidR="00B21676" w:rsidRPr="00B21676" w14:paraId="42762297" w14:textId="77777777" w:rsidTr="00B21676">
        <w:trPr>
          <w:trHeight w:val="255"/>
        </w:trPr>
        <w:tc>
          <w:tcPr>
            <w:tcW w:w="2348" w:type="dxa"/>
            <w:tcBorders>
              <w:top w:val="single" w:sz="4" w:space="0" w:color="8EA9DB"/>
              <w:left w:val="single" w:sz="4" w:space="0" w:color="8EA9DB"/>
              <w:bottom w:val="single" w:sz="4" w:space="0" w:color="8EA9DB"/>
              <w:right w:val="nil"/>
            </w:tcBorders>
            <w:shd w:val="clear" w:color="auto" w:fill="auto"/>
            <w:noWrap/>
            <w:vAlign w:val="bottom"/>
            <w:hideMark/>
          </w:tcPr>
          <w:p w14:paraId="7551A028" w14:textId="77777777" w:rsidR="00B21676" w:rsidRPr="00B21676" w:rsidRDefault="00B21676" w:rsidP="00B21676">
            <w:pPr>
              <w:spacing w:after="0" w:line="240" w:lineRule="auto"/>
              <w:rPr>
                <w:rFonts w:ascii="Arial" w:hAnsi="Arial" w:cs="Arial"/>
                <w:color w:val="000000"/>
                <w:sz w:val="20"/>
                <w:szCs w:val="20"/>
              </w:rPr>
            </w:pPr>
            <w:r w:rsidRPr="00B21676">
              <w:rPr>
                <w:rFonts w:ascii="Arial" w:hAnsi="Arial" w:cs="Arial"/>
                <w:color w:val="000000"/>
                <w:sz w:val="20"/>
                <w:szCs w:val="20"/>
              </w:rPr>
              <w:t>10+ GPs</w:t>
            </w:r>
          </w:p>
        </w:tc>
        <w:tc>
          <w:tcPr>
            <w:tcW w:w="1333" w:type="dxa"/>
            <w:tcBorders>
              <w:top w:val="single" w:sz="4" w:space="0" w:color="8EA9DB"/>
              <w:left w:val="nil"/>
              <w:bottom w:val="single" w:sz="4" w:space="0" w:color="8EA9DB"/>
              <w:right w:val="nil"/>
            </w:tcBorders>
            <w:shd w:val="clear" w:color="auto" w:fill="auto"/>
            <w:noWrap/>
            <w:vAlign w:val="bottom"/>
            <w:hideMark/>
          </w:tcPr>
          <w:p w14:paraId="577A0329" w14:textId="77777777" w:rsidR="00B21676" w:rsidRPr="00B21676" w:rsidRDefault="00B21676" w:rsidP="00B21676">
            <w:pPr>
              <w:spacing w:after="0" w:line="240" w:lineRule="auto"/>
              <w:jc w:val="center"/>
              <w:rPr>
                <w:rFonts w:ascii="Arial" w:hAnsi="Arial" w:cs="Arial"/>
                <w:color w:val="000000"/>
                <w:sz w:val="20"/>
                <w:szCs w:val="20"/>
              </w:rPr>
            </w:pPr>
            <w:r w:rsidRPr="00B21676">
              <w:rPr>
                <w:rFonts w:ascii="Arial" w:hAnsi="Arial" w:cs="Arial"/>
                <w:color w:val="000000"/>
                <w:sz w:val="20"/>
                <w:szCs w:val="20"/>
              </w:rPr>
              <w:t>100%</w:t>
            </w:r>
          </w:p>
        </w:tc>
        <w:tc>
          <w:tcPr>
            <w:tcW w:w="1559" w:type="dxa"/>
            <w:tcBorders>
              <w:top w:val="single" w:sz="4" w:space="0" w:color="8EA9DB"/>
              <w:left w:val="nil"/>
              <w:bottom w:val="single" w:sz="4" w:space="0" w:color="8EA9DB"/>
              <w:right w:val="single" w:sz="4" w:space="0" w:color="8EA9DB"/>
            </w:tcBorders>
            <w:shd w:val="clear" w:color="auto" w:fill="auto"/>
            <w:noWrap/>
            <w:vAlign w:val="bottom"/>
            <w:hideMark/>
          </w:tcPr>
          <w:p w14:paraId="7ED813A2" w14:textId="77777777" w:rsidR="00B21676" w:rsidRPr="00B21676" w:rsidRDefault="00B21676" w:rsidP="00B21676">
            <w:pPr>
              <w:spacing w:after="0" w:line="240" w:lineRule="auto"/>
              <w:jc w:val="center"/>
              <w:rPr>
                <w:rFonts w:ascii="Arial" w:hAnsi="Arial" w:cs="Arial"/>
                <w:color w:val="000000"/>
                <w:sz w:val="20"/>
                <w:szCs w:val="20"/>
              </w:rPr>
            </w:pPr>
            <w:r w:rsidRPr="00B21676">
              <w:rPr>
                <w:rFonts w:ascii="Arial" w:hAnsi="Arial" w:cs="Arial"/>
                <w:color w:val="000000"/>
                <w:sz w:val="20"/>
                <w:szCs w:val="20"/>
              </w:rPr>
              <w:t>3</w:t>
            </w:r>
          </w:p>
        </w:tc>
      </w:tr>
      <w:tr w:rsidR="00B21676" w:rsidRPr="00B21676" w14:paraId="188F7328" w14:textId="77777777" w:rsidTr="00B21676">
        <w:trPr>
          <w:trHeight w:val="255"/>
        </w:trPr>
        <w:tc>
          <w:tcPr>
            <w:tcW w:w="2348" w:type="dxa"/>
            <w:tcBorders>
              <w:top w:val="single" w:sz="4" w:space="0" w:color="8EA9DB"/>
              <w:left w:val="single" w:sz="4" w:space="0" w:color="8EA9DB"/>
              <w:bottom w:val="single" w:sz="4" w:space="0" w:color="8EA9DB"/>
              <w:right w:val="nil"/>
            </w:tcBorders>
            <w:shd w:val="clear" w:color="D9E1F2" w:fill="D9E1F2"/>
            <w:noWrap/>
            <w:vAlign w:val="bottom"/>
            <w:hideMark/>
          </w:tcPr>
          <w:p w14:paraId="4919D4B2" w14:textId="77777777" w:rsidR="00B21676" w:rsidRPr="00B21676" w:rsidRDefault="00B21676" w:rsidP="00B21676">
            <w:pPr>
              <w:spacing w:after="0" w:line="240" w:lineRule="auto"/>
              <w:rPr>
                <w:rFonts w:ascii="Arial" w:hAnsi="Arial" w:cs="Arial"/>
                <w:color w:val="000000"/>
                <w:sz w:val="20"/>
                <w:szCs w:val="20"/>
              </w:rPr>
            </w:pPr>
            <w:r>
              <w:rPr>
                <w:rFonts w:ascii="Arial" w:hAnsi="Arial" w:cs="Arial"/>
                <w:color w:val="000000"/>
                <w:sz w:val="20"/>
                <w:szCs w:val="20"/>
              </w:rPr>
              <w:t>U</w:t>
            </w:r>
            <w:r w:rsidRPr="00B21676">
              <w:rPr>
                <w:rFonts w:ascii="Arial" w:hAnsi="Arial" w:cs="Arial"/>
                <w:color w:val="000000"/>
                <w:sz w:val="20"/>
                <w:szCs w:val="20"/>
              </w:rPr>
              <w:t>nknown</w:t>
            </w:r>
          </w:p>
        </w:tc>
        <w:tc>
          <w:tcPr>
            <w:tcW w:w="1333" w:type="dxa"/>
            <w:tcBorders>
              <w:top w:val="single" w:sz="4" w:space="0" w:color="8EA9DB"/>
              <w:left w:val="nil"/>
              <w:bottom w:val="single" w:sz="4" w:space="0" w:color="8EA9DB"/>
              <w:right w:val="nil"/>
            </w:tcBorders>
            <w:shd w:val="clear" w:color="D9E1F2" w:fill="D9E1F2"/>
            <w:noWrap/>
            <w:vAlign w:val="bottom"/>
            <w:hideMark/>
          </w:tcPr>
          <w:p w14:paraId="7F018255" w14:textId="77777777" w:rsidR="00B21676" w:rsidRPr="00B21676" w:rsidRDefault="00B21676" w:rsidP="00B21676">
            <w:pPr>
              <w:spacing w:after="0" w:line="240" w:lineRule="auto"/>
              <w:jc w:val="center"/>
              <w:rPr>
                <w:rFonts w:ascii="Arial" w:hAnsi="Arial" w:cs="Arial"/>
                <w:color w:val="000000"/>
                <w:sz w:val="20"/>
                <w:szCs w:val="20"/>
              </w:rPr>
            </w:pPr>
            <w:r w:rsidRPr="00B21676">
              <w:rPr>
                <w:rFonts w:ascii="Arial" w:hAnsi="Arial" w:cs="Arial"/>
                <w:color w:val="000000"/>
                <w:sz w:val="20"/>
                <w:szCs w:val="20"/>
              </w:rPr>
              <w:t>88%</w:t>
            </w:r>
          </w:p>
        </w:tc>
        <w:tc>
          <w:tcPr>
            <w:tcW w:w="1559" w:type="dxa"/>
            <w:tcBorders>
              <w:top w:val="single" w:sz="4" w:space="0" w:color="8EA9DB"/>
              <w:left w:val="nil"/>
              <w:bottom w:val="single" w:sz="4" w:space="0" w:color="8EA9DB"/>
              <w:right w:val="single" w:sz="4" w:space="0" w:color="8EA9DB"/>
            </w:tcBorders>
            <w:shd w:val="clear" w:color="D9E1F2" w:fill="D9E1F2"/>
            <w:noWrap/>
            <w:vAlign w:val="bottom"/>
            <w:hideMark/>
          </w:tcPr>
          <w:p w14:paraId="77F1F6A1" w14:textId="77777777" w:rsidR="00B21676" w:rsidRPr="00B21676" w:rsidRDefault="00B21676" w:rsidP="00B21676">
            <w:pPr>
              <w:spacing w:after="0" w:line="240" w:lineRule="auto"/>
              <w:jc w:val="center"/>
              <w:rPr>
                <w:rFonts w:ascii="Arial" w:hAnsi="Arial" w:cs="Arial"/>
                <w:color w:val="000000"/>
                <w:sz w:val="20"/>
                <w:szCs w:val="20"/>
              </w:rPr>
            </w:pPr>
            <w:r w:rsidRPr="00B21676">
              <w:rPr>
                <w:rFonts w:ascii="Arial" w:hAnsi="Arial" w:cs="Arial"/>
                <w:color w:val="000000"/>
                <w:sz w:val="20"/>
                <w:szCs w:val="20"/>
              </w:rPr>
              <w:t>8</w:t>
            </w:r>
          </w:p>
        </w:tc>
      </w:tr>
      <w:tr w:rsidR="00B21676" w:rsidRPr="00B21676" w14:paraId="369EB594" w14:textId="77777777" w:rsidTr="00B21676">
        <w:trPr>
          <w:trHeight w:val="255"/>
        </w:trPr>
        <w:tc>
          <w:tcPr>
            <w:tcW w:w="2348" w:type="dxa"/>
            <w:tcBorders>
              <w:top w:val="single" w:sz="4" w:space="0" w:color="8EA9DB"/>
              <w:left w:val="single" w:sz="4" w:space="0" w:color="8EA9DB"/>
              <w:bottom w:val="single" w:sz="4" w:space="0" w:color="8EA9DB"/>
              <w:right w:val="nil"/>
            </w:tcBorders>
            <w:shd w:val="clear" w:color="auto" w:fill="auto"/>
            <w:noWrap/>
            <w:vAlign w:val="bottom"/>
            <w:hideMark/>
          </w:tcPr>
          <w:p w14:paraId="524171F7" w14:textId="77777777" w:rsidR="00B21676" w:rsidRPr="00B21676" w:rsidRDefault="00B21676" w:rsidP="00B21676">
            <w:pPr>
              <w:spacing w:after="0" w:line="240" w:lineRule="auto"/>
              <w:rPr>
                <w:rFonts w:ascii="Arial" w:hAnsi="Arial" w:cs="Arial"/>
                <w:b/>
                <w:color w:val="000000"/>
                <w:sz w:val="20"/>
                <w:szCs w:val="20"/>
              </w:rPr>
            </w:pPr>
            <w:r w:rsidRPr="00B21676">
              <w:rPr>
                <w:rFonts w:ascii="Arial" w:hAnsi="Arial" w:cs="Arial"/>
                <w:b/>
                <w:color w:val="000000"/>
                <w:sz w:val="20"/>
                <w:szCs w:val="20"/>
              </w:rPr>
              <w:t>Total</w:t>
            </w:r>
          </w:p>
        </w:tc>
        <w:tc>
          <w:tcPr>
            <w:tcW w:w="1333" w:type="dxa"/>
            <w:tcBorders>
              <w:top w:val="single" w:sz="4" w:space="0" w:color="8EA9DB"/>
              <w:left w:val="nil"/>
              <w:bottom w:val="single" w:sz="4" w:space="0" w:color="8EA9DB"/>
              <w:right w:val="nil"/>
            </w:tcBorders>
            <w:shd w:val="clear" w:color="auto" w:fill="auto"/>
            <w:noWrap/>
            <w:vAlign w:val="bottom"/>
            <w:hideMark/>
          </w:tcPr>
          <w:p w14:paraId="33BDDF8E" w14:textId="77777777" w:rsidR="00B21676" w:rsidRPr="00B21676" w:rsidRDefault="00B21676" w:rsidP="00B21676">
            <w:pPr>
              <w:spacing w:after="0" w:line="240" w:lineRule="auto"/>
              <w:jc w:val="center"/>
              <w:rPr>
                <w:rFonts w:ascii="Arial" w:hAnsi="Arial" w:cs="Arial"/>
                <w:b/>
                <w:color w:val="000000"/>
                <w:sz w:val="20"/>
                <w:szCs w:val="20"/>
              </w:rPr>
            </w:pPr>
            <w:r w:rsidRPr="00B21676">
              <w:rPr>
                <w:rFonts w:ascii="Arial" w:hAnsi="Arial" w:cs="Arial"/>
                <w:b/>
                <w:color w:val="000000"/>
                <w:sz w:val="20"/>
                <w:szCs w:val="20"/>
              </w:rPr>
              <w:t>78%</w:t>
            </w:r>
          </w:p>
        </w:tc>
        <w:tc>
          <w:tcPr>
            <w:tcW w:w="1559" w:type="dxa"/>
            <w:tcBorders>
              <w:top w:val="single" w:sz="4" w:space="0" w:color="8EA9DB"/>
              <w:left w:val="nil"/>
              <w:bottom w:val="single" w:sz="4" w:space="0" w:color="8EA9DB"/>
              <w:right w:val="single" w:sz="4" w:space="0" w:color="8EA9DB"/>
            </w:tcBorders>
            <w:shd w:val="clear" w:color="auto" w:fill="auto"/>
            <w:noWrap/>
            <w:vAlign w:val="bottom"/>
            <w:hideMark/>
          </w:tcPr>
          <w:p w14:paraId="163627BA" w14:textId="77777777" w:rsidR="00B21676" w:rsidRPr="00B21676" w:rsidRDefault="00B21676" w:rsidP="00B21676">
            <w:pPr>
              <w:spacing w:after="0" w:line="240" w:lineRule="auto"/>
              <w:jc w:val="center"/>
              <w:rPr>
                <w:rFonts w:ascii="Arial" w:hAnsi="Arial" w:cs="Arial"/>
                <w:b/>
                <w:color w:val="000000"/>
                <w:sz w:val="20"/>
                <w:szCs w:val="20"/>
              </w:rPr>
            </w:pPr>
            <w:r w:rsidRPr="00B21676">
              <w:rPr>
                <w:rFonts w:ascii="Arial" w:hAnsi="Arial" w:cs="Arial"/>
                <w:b/>
                <w:color w:val="000000"/>
                <w:sz w:val="20"/>
                <w:szCs w:val="20"/>
              </w:rPr>
              <w:t>45</w:t>
            </w:r>
          </w:p>
        </w:tc>
      </w:tr>
    </w:tbl>
    <w:p w14:paraId="01A8D2A6" w14:textId="77777777" w:rsidR="00B21676" w:rsidRDefault="00B21676" w:rsidP="007B50DC"/>
    <w:p w14:paraId="44A5E2A7" w14:textId="77777777" w:rsidR="00B21676" w:rsidRDefault="00B21676" w:rsidP="00B21676">
      <w:pPr>
        <w:pStyle w:val="Heading2"/>
      </w:pPr>
      <w:bookmarkStart w:id="68" w:name="_Toc415657706"/>
      <w:r>
        <w:t>Retention by previous experience training NGNs</w:t>
      </w:r>
      <w:bookmarkEnd w:id="68"/>
    </w:p>
    <w:p w14:paraId="2AF4EAED" w14:textId="77777777" w:rsidR="00B21676" w:rsidRDefault="002B79A4" w:rsidP="00B21676">
      <w:r>
        <w:t>Retention rates were similar for practices that had past experience training NGNs compared to those who were new to the role.</w:t>
      </w:r>
    </w:p>
    <w:tbl>
      <w:tblPr>
        <w:tblW w:w="4957" w:type="dxa"/>
        <w:tblLook w:val="04A0" w:firstRow="1" w:lastRow="0" w:firstColumn="1" w:lastColumn="0" w:noHBand="0" w:noVBand="1"/>
      </w:tblPr>
      <w:tblGrid>
        <w:gridCol w:w="2348"/>
        <w:gridCol w:w="1191"/>
        <w:gridCol w:w="1418"/>
      </w:tblGrid>
      <w:tr w:rsidR="00B21676" w:rsidRPr="00B21676" w14:paraId="1A4C131B" w14:textId="77777777" w:rsidTr="00B21676">
        <w:trPr>
          <w:trHeight w:val="255"/>
        </w:trPr>
        <w:tc>
          <w:tcPr>
            <w:tcW w:w="2348" w:type="dxa"/>
            <w:tcBorders>
              <w:top w:val="single" w:sz="4" w:space="0" w:color="8EA9DB"/>
              <w:left w:val="single" w:sz="4" w:space="0" w:color="8EA9DB"/>
              <w:bottom w:val="single" w:sz="4" w:space="0" w:color="8EA9DB"/>
              <w:right w:val="nil"/>
            </w:tcBorders>
            <w:shd w:val="clear" w:color="4472C4" w:fill="4472C4"/>
            <w:noWrap/>
            <w:vAlign w:val="bottom"/>
            <w:hideMark/>
          </w:tcPr>
          <w:p w14:paraId="10E54544" w14:textId="77777777" w:rsidR="00B21676" w:rsidRPr="00B21676" w:rsidRDefault="00B21676" w:rsidP="00B21676">
            <w:pPr>
              <w:spacing w:after="0" w:line="240" w:lineRule="auto"/>
              <w:rPr>
                <w:rFonts w:ascii="Arial" w:hAnsi="Arial" w:cs="Arial"/>
                <w:b/>
                <w:bCs/>
                <w:color w:val="FFFFFF"/>
                <w:sz w:val="20"/>
                <w:szCs w:val="20"/>
              </w:rPr>
            </w:pPr>
            <w:r w:rsidRPr="00B21676">
              <w:rPr>
                <w:rFonts w:ascii="Arial" w:hAnsi="Arial" w:cs="Arial"/>
                <w:b/>
                <w:bCs/>
                <w:color w:val="FFFFFF"/>
                <w:sz w:val="20"/>
                <w:szCs w:val="20"/>
              </w:rPr>
              <w:t>Previous NGN</w:t>
            </w:r>
          </w:p>
        </w:tc>
        <w:tc>
          <w:tcPr>
            <w:tcW w:w="1191" w:type="dxa"/>
            <w:tcBorders>
              <w:top w:val="single" w:sz="4" w:space="0" w:color="8EA9DB"/>
              <w:left w:val="nil"/>
              <w:bottom w:val="single" w:sz="4" w:space="0" w:color="8EA9DB"/>
              <w:right w:val="nil"/>
            </w:tcBorders>
            <w:shd w:val="clear" w:color="4472C4" w:fill="4472C4"/>
            <w:noWrap/>
            <w:vAlign w:val="bottom"/>
            <w:hideMark/>
          </w:tcPr>
          <w:p w14:paraId="469EF9E6" w14:textId="77777777" w:rsidR="00B21676" w:rsidRPr="00B21676" w:rsidRDefault="00B21676" w:rsidP="00B21676">
            <w:pPr>
              <w:spacing w:after="0" w:line="240" w:lineRule="auto"/>
              <w:jc w:val="center"/>
              <w:rPr>
                <w:rFonts w:ascii="Arial" w:hAnsi="Arial" w:cs="Arial"/>
                <w:b/>
                <w:bCs/>
                <w:color w:val="FFFFFF"/>
                <w:sz w:val="20"/>
                <w:szCs w:val="20"/>
              </w:rPr>
            </w:pPr>
            <w:r w:rsidRPr="00B21676">
              <w:rPr>
                <w:rFonts w:ascii="Arial" w:hAnsi="Arial" w:cs="Arial"/>
                <w:b/>
                <w:bCs/>
                <w:color w:val="FFFFFF"/>
                <w:sz w:val="20"/>
                <w:szCs w:val="20"/>
              </w:rPr>
              <w:t>Retention rate</w:t>
            </w:r>
          </w:p>
        </w:tc>
        <w:tc>
          <w:tcPr>
            <w:tcW w:w="1418" w:type="dxa"/>
            <w:tcBorders>
              <w:top w:val="single" w:sz="4" w:space="0" w:color="8EA9DB"/>
              <w:left w:val="nil"/>
              <w:bottom w:val="single" w:sz="4" w:space="0" w:color="8EA9DB"/>
              <w:right w:val="single" w:sz="4" w:space="0" w:color="8EA9DB"/>
            </w:tcBorders>
            <w:shd w:val="clear" w:color="4472C4" w:fill="4472C4"/>
            <w:noWrap/>
            <w:vAlign w:val="bottom"/>
            <w:hideMark/>
          </w:tcPr>
          <w:p w14:paraId="5BE5CF3C" w14:textId="77777777" w:rsidR="00B21676" w:rsidRPr="00B21676" w:rsidRDefault="00B21676" w:rsidP="00B21676">
            <w:pPr>
              <w:spacing w:after="0" w:line="240" w:lineRule="auto"/>
              <w:jc w:val="center"/>
              <w:rPr>
                <w:rFonts w:ascii="Arial" w:hAnsi="Arial" w:cs="Arial"/>
                <w:b/>
                <w:bCs/>
                <w:color w:val="FFFFFF"/>
                <w:sz w:val="20"/>
                <w:szCs w:val="20"/>
              </w:rPr>
            </w:pPr>
            <w:r w:rsidRPr="00B21676">
              <w:rPr>
                <w:rFonts w:ascii="Arial" w:hAnsi="Arial" w:cs="Arial"/>
                <w:b/>
                <w:bCs/>
                <w:color w:val="FFFFFF"/>
                <w:sz w:val="20"/>
                <w:szCs w:val="20"/>
              </w:rPr>
              <w:t>Number of practices</w:t>
            </w:r>
          </w:p>
        </w:tc>
      </w:tr>
      <w:tr w:rsidR="00B21676" w:rsidRPr="00B21676" w14:paraId="0B95634A" w14:textId="77777777" w:rsidTr="00B21676">
        <w:trPr>
          <w:trHeight w:val="255"/>
        </w:trPr>
        <w:tc>
          <w:tcPr>
            <w:tcW w:w="2348" w:type="dxa"/>
            <w:tcBorders>
              <w:top w:val="single" w:sz="4" w:space="0" w:color="8EA9DB"/>
              <w:left w:val="single" w:sz="4" w:space="0" w:color="8EA9DB"/>
              <w:bottom w:val="single" w:sz="4" w:space="0" w:color="8EA9DB"/>
              <w:right w:val="nil"/>
            </w:tcBorders>
            <w:shd w:val="clear" w:color="D9E1F2" w:fill="D9E1F2"/>
            <w:noWrap/>
            <w:vAlign w:val="bottom"/>
            <w:hideMark/>
          </w:tcPr>
          <w:p w14:paraId="7385B245" w14:textId="77777777" w:rsidR="00B21676" w:rsidRPr="00B21676" w:rsidRDefault="00B21676" w:rsidP="00B21676">
            <w:pPr>
              <w:spacing w:after="0" w:line="240" w:lineRule="auto"/>
              <w:rPr>
                <w:rFonts w:ascii="Arial" w:hAnsi="Arial" w:cs="Arial"/>
                <w:color w:val="000000"/>
                <w:sz w:val="20"/>
                <w:szCs w:val="20"/>
              </w:rPr>
            </w:pPr>
            <w:r w:rsidRPr="00B21676">
              <w:rPr>
                <w:rFonts w:ascii="Arial" w:hAnsi="Arial" w:cs="Arial"/>
                <w:color w:val="000000"/>
                <w:sz w:val="20"/>
                <w:szCs w:val="20"/>
              </w:rPr>
              <w:t>Yes</w:t>
            </w:r>
          </w:p>
        </w:tc>
        <w:tc>
          <w:tcPr>
            <w:tcW w:w="1191" w:type="dxa"/>
            <w:tcBorders>
              <w:top w:val="single" w:sz="4" w:space="0" w:color="8EA9DB"/>
              <w:left w:val="nil"/>
              <w:bottom w:val="single" w:sz="4" w:space="0" w:color="8EA9DB"/>
              <w:right w:val="nil"/>
            </w:tcBorders>
            <w:shd w:val="clear" w:color="D9E1F2" w:fill="D9E1F2"/>
            <w:noWrap/>
            <w:vAlign w:val="bottom"/>
            <w:hideMark/>
          </w:tcPr>
          <w:p w14:paraId="6B14FB7F" w14:textId="77777777" w:rsidR="00B21676" w:rsidRPr="00B21676" w:rsidRDefault="00B21676" w:rsidP="00B21676">
            <w:pPr>
              <w:spacing w:after="0" w:line="240" w:lineRule="auto"/>
              <w:jc w:val="center"/>
              <w:rPr>
                <w:rFonts w:ascii="Arial" w:hAnsi="Arial" w:cs="Arial"/>
                <w:color w:val="000000"/>
                <w:sz w:val="20"/>
                <w:szCs w:val="20"/>
              </w:rPr>
            </w:pPr>
            <w:r w:rsidRPr="00B21676">
              <w:rPr>
                <w:rFonts w:ascii="Arial" w:hAnsi="Arial" w:cs="Arial"/>
                <w:color w:val="000000"/>
                <w:sz w:val="20"/>
                <w:szCs w:val="20"/>
              </w:rPr>
              <w:t>75%</w:t>
            </w:r>
          </w:p>
        </w:tc>
        <w:tc>
          <w:tcPr>
            <w:tcW w:w="1418" w:type="dxa"/>
            <w:tcBorders>
              <w:top w:val="single" w:sz="4" w:space="0" w:color="8EA9DB"/>
              <w:left w:val="nil"/>
              <w:bottom w:val="single" w:sz="4" w:space="0" w:color="8EA9DB"/>
              <w:right w:val="single" w:sz="4" w:space="0" w:color="8EA9DB"/>
            </w:tcBorders>
            <w:shd w:val="clear" w:color="D9E1F2" w:fill="D9E1F2"/>
            <w:noWrap/>
            <w:vAlign w:val="bottom"/>
            <w:hideMark/>
          </w:tcPr>
          <w:p w14:paraId="1F012FD9" w14:textId="77777777" w:rsidR="00B21676" w:rsidRPr="00B21676" w:rsidRDefault="00B21676" w:rsidP="00B21676">
            <w:pPr>
              <w:spacing w:after="0" w:line="240" w:lineRule="auto"/>
              <w:jc w:val="center"/>
              <w:rPr>
                <w:rFonts w:ascii="Arial" w:hAnsi="Arial" w:cs="Arial"/>
                <w:color w:val="000000"/>
                <w:sz w:val="20"/>
                <w:szCs w:val="20"/>
              </w:rPr>
            </w:pPr>
            <w:r w:rsidRPr="00B21676">
              <w:rPr>
                <w:rFonts w:ascii="Arial" w:hAnsi="Arial" w:cs="Arial"/>
                <w:color w:val="000000"/>
                <w:sz w:val="20"/>
                <w:szCs w:val="20"/>
              </w:rPr>
              <w:t>8</w:t>
            </w:r>
          </w:p>
        </w:tc>
      </w:tr>
      <w:tr w:rsidR="00B21676" w:rsidRPr="00B21676" w14:paraId="68F3A924" w14:textId="77777777" w:rsidTr="00B21676">
        <w:trPr>
          <w:trHeight w:val="255"/>
        </w:trPr>
        <w:tc>
          <w:tcPr>
            <w:tcW w:w="2348" w:type="dxa"/>
            <w:tcBorders>
              <w:top w:val="single" w:sz="4" w:space="0" w:color="8EA9DB"/>
              <w:left w:val="single" w:sz="4" w:space="0" w:color="8EA9DB"/>
              <w:bottom w:val="single" w:sz="4" w:space="0" w:color="8EA9DB"/>
              <w:right w:val="nil"/>
            </w:tcBorders>
            <w:shd w:val="clear" w:color="auto" w:fill="auto"/>
            <w:noWrap/>
            <w:vAlign w:val="bottom"/>
            <w:hideMark/>
          </w:tcPr>
          <w:p w14:paraId="7D0EBDFC" w14:textId="77777777" w:rsidR="00B21676" w:rsidRPr="00B21676" w:rsidRDefault="00B21676" w:rsidP="00B21676">
            <w:pPr>
              <w:spacing w:after="0" w:line="240" w:lineRule="auto"/>
              <w:rPr>
                <w:rFonts w:ascii="Arial" w:hAnsi="Arial" w:cs="Arial"/>
                <w:color w:val="000000"/>
                <w:sz w:val="20"/>
                <w:szCs w:val="20"/>
              </w:rPr>
            </w:pPr>
            <w:r w:rsidRPr="00B21676">
              <w:rPr>
                <w:rFonts w:ascii="Arial" w:hAnsi="Arial" w:cs="Arial"/>
                <w:color w:val="000000"/>
                <w:sz w:val="20"/>
                <w:szCs w:val="20"/>
              </w:rPr>
              <w:t>No</w:t>
            </w:r>
          </w:p>
        </w:tc>
        <w:tc>
          <w:tcPr>
            <w:tcW w:w="1191" w:type="dxa"/>
            <w:tcBorders>
              <w:top w:val="single" w:sz="4" w:space="0" w:color="8EA9DB"/>
              <w:left w:val="nil"/>
              <w:bottom w:val="single" w:sz="4" w:space="0" w:color="8EA9DB"/>
              <w:right w:val="nil"/>
            </w:tcBorders>
            <w:shd w:val="clear" w:color="auto" w:fill="auto"/>
            <w:noWrap/>
            <w:vAlign w:val="bottom"/>
            <w:hideMark/>
          </w:tcPr>
          <w:p w14:paraId="399B5DEA" w14:textId="77777777" w:rsidR="00B21676" w:rsidRPr="00B21676" w:rsidRDefault="00B21676" w:rsidP="00B21676">
            <w:pPr>
              <w:spacing w:after="0" w:line="240" w:lineRule="auto"/>
              <w:jc w:val="center"/>
              <w:rPr>
                <w:rFonts w:ascii="Arial" w:hAnsi="Arial" w:cs="Arial"/>
                <w:color w:val="000000"/>
                <w:sz w:val="20"/>
                <w:szCs w:val="20"/>
              </w:rPr>
            </w:pPr>
            <w:r w:rsidRPr="00B21676">
              <w:rPr>
                <w:rFonts w:ascii="Arial" w:hAnsi="Arial" w:cs="Arial"/>
                <w:color w:val="000000"/>
                <w:sz w:val="20"/>
                <w:szCs w:val="20"/>
              </w:rPr>
              <w:t>78%</w:t>
            </w:r>
          </w:p>
        </w:tc>
        <w:tc>
          <w:tcPr>
            <w:tcW w:w="1418" w:type="dxa"/>
            <w:tcBorders>
              <w:top w:val="single" w:sz="4" w:space="0" w:color="8EA9DB"/>
              <w:left w:val="nil"/>
              <w:bottom w:val="single" w:sz="4" w:space="0" w:color="8EA9DB"/>
              <w:right w:val="single" w:sz="4" w:space="0" w:color="8EA9DB"/>
            </w:tcBorders>
            <w:shd w:val="clear" w:color="auto" w:fill="auto"/>
            <w:noWrap/>
            <w:vAlign w:val="bottom"/>
            <w:hideMark/>
          </w:tcPr>
          <w:p w14:paraId="186EAD1B" w14:textId="77777777" w:rsidR="00B21676" w:rsidRPr="00B21676" w:rsidRDefault="00B21676" w:rsidP="00B21676">
            <w:pPr>
              <w:spacing w:after="0" w:line="240" w:lineRule="auto"/>
              <w:jc w:val="center"/>
              <w:rPr>
                <w:rFonts w:ascii="Arial" w:hAnsi="Arial" w:cs="Arial"/>
                <w:color w:val="000000"/>
                <w:sz w:val="20"/>
                <w:szCs w:val="20"/>
              </w:rPr>
            </w:pPr>
            <w:r w:rsidRPr="00B21676">
              <w:rPr>
                <w:rFonts w:ascii="Arial" w:hAnsi="Arial" w:cs="Arial"/>
                <w:color w:val="000000"/>
                <w:sz w:val="20"/>
                <w:szCs w:val="20"/>
              </w:rPr>
              <w:t>37</w:t>
            </w:r>
          </w:p>
        </w:tc>
      </w:tr>
      <w:tr w:rsidR="00B21676" w:rsidRPr="00B21676" w14:paraId="2A764B52" w14:textId="77777777" w:rsidTr="00B21676">
        <w:trPr>
          <w:trHeight w:val="255"/>
        </w:trPr>
        <w:tc>
          <w:tcPr>
            <w:tcW w:w="2348" w:type="dxa"/>
            <w:tcBorders>
              <w:top w:val="single" w:sz="4" w:space="0" w:color="8EA9DB"/>
              <w:left w:val="single" w:sz="4" w:space="0" w:color="8EA9DB"/>
              <w:bottom w:val="single" w:sz="4" w:space="0" w:color="8EA9DB"/>
              <w:right w:val="nil"/>
            </w:tcBorders>
            <w:shd w:val="clear" w:color="D9E1F2" w:fill="D9E1F2"/>
            <w:noWrap/>
            <w:vAlign w:val="bottom"/>
            <w:hideMark/>
          </w:tcPr>
          <w:p w14:paraId="66ACBD17" w14:textId="77777777" w:rsidR="00B21676" w:rsidRPr="00B21676" w:rsidRDefault="00B21676" w:rsidP="00B21676">
            <w:pPr>
              <w:spacing w:after="0" w:line="240" w:lineRule="auto"/>
              <w:rPr>
                <w:rFonts w:ascii="Arial" w:hAnsi="Arial" w:cs="Arial"/>
                <w:b/>
                <w:color w:val="000000"/>
                <w:sz w:val="20"/>
                <w:szCs w:val="20"/>
              </w:rPr>
            </w:pPr>
            <w:r w:rsidRPr="00B21676">
              <w:rPr>
                <w:rFonts w:ascii="Arial" w:hAnsi="Arial" w:cs="Arial"/>
                <w:b/>
                <w:color w:val="000000"/>
                <w:sz w:val="20"/>
                <w:szCs w:val="20"/>
              </w:rPr>
              <w:t>Total</w:t>
            </w:r>
          </w:p>
        </w:tc>
        <w:tc>
          <w:tcPr>
            <w:tcW w:w="1191" w:type="dxa"/>
            <w:tcBorders>
              <w:top w:val="single" w:sz="4" w:space="0" w:color="8EA9DB"/>
              <w:left w:val="nil"/>
              <w:bottom w:val="single" w:sz="4" w:space="0" w:color="8EA9DB"/>
              <w:right w:val="nil"/>
            </w:tcBorders>
            <w:shd w:val="clear" w:color="D9E1F2" w:fill="D9E1F2"/>
            <w:noWrap/>
            <w:vAlign w:val="bottom"/>
            <w:hideMark/>
          </w:tcPr>
          <w:p w14:paraId="0BDF1498" w14:textId="77777777" w:rsidR="00B21676" w:rsidRPr="00B21676" w:rsidRDefault="00B21676" w:rsidP="00B21676">
            <w:pPr>
              <w:spacing w:after="0" w:line="240" w:lineRule="auto"/>
              <w:jc w:val="center"/>
              <w:rPr>
                <w:rFonts w:ascii="Arial" w:hAnsi="Arial" w:cs="Arial"/>
                <w:b/>
                <w:color w:val="000000"/>
                <w:sz w:val="20"/>
                <w:szCs w:val="20"/>
              </w:rPr>
            </w:pPr>
            <w:r w:rsidRPr="00B21676">
              <w:rPr>
                <w:rFonts w:ascii="Arial" w:hAnsi="Arial" w:cs="Arial"/>
                <w:b/>
                <w:color w:val="000000"/>
                <w:sz w:val="20"/>
                <w:szCs w:val="20"/>
              </w:rPr>
              <w:t>78%</w:t>
            </w:r>
          </w:p>
        </w:tc>
        <w:tc>
          <w:tcPr>
            <w:tcW w:w="1418" w:type="dxa"/>
            <w:tcBorders>
              <w:top w:val="single" w:sz="4" w:space="0" w:color="8EA9DB"/>
              <w:left w:val="nil"/>
              <w:bottom w:val="single" w:sz="4" w:space="0" w:color="8EA9DB"/>
              <w:right w:val="single" w:sz="4" w:space="0" w:color="8EA9DB"/>
            </w:tcBorders>
            <w:shd w:val="clear" w:color="D9E1F2" w:fill="D9E1F2"/>
            <w:noWrap/>
            <w:vAlign w:val="bottom"/>
            <w:hideMark/>
          </w:tcPr>
          <w:p w14:paraId="0825BAA7" w14:textId="77777777" w:rsidR="00B21676" w:rsidRPr="00B21676" w:rsidRDefault="00B21676" w:rsidP="00B21676">
            <w:pPr>
              <w:spacing w:after="0" w:line="240" w:lineRule="auto"/>
              <w:jc w:val="center"/>
              <w:rPr>
                <w:rFonts w:ascii="Arial" w:hAnsi="Arial" w:cs="Arial"/>
                <w:b/>
                <w:color w:val="000000"/>
                <w:sz w:val="20"/>
                <w:szCs w:val="20"/>
              </w:rPr>
            </w:pPr>
            <w:r w:rsidRPr="00B21676">
              <w:rPr>
                <w:rFonts w:ascii="Arial" w:hAnsi="Arial" w:cs="Arial"/>
                <w:b/>
                <w:color w:val="000000"/>
                <w:sz w:val="20"/>
                <w:szCs w:val="20"/>
              </w:rPr>
              <w:t>45</w:t>
            </w:r>
          </w:p>
        </w:tc>
      </w:tr>
    </w:tbl>
    <w:p w14:paraId="17345A8A" w14:textId="77777777" w:rsidR="00B21676" w:rsidRDefault="00B21676" w:rsidP="00B21676"/>
    <w:p w14:paraId="4E821A20" w14:textId="77777777" w:rsidR="002B79A4" w:rsidRDefault="002B79A4" w:rsidP="002B79A4">
      <w:pPr>
        <w:pStyle w:val="Heading2"/>
      </w:pPr>
      <w:bookmarkStart w:id="69" w:name="_Toc415657707"/>
      <w:r>
        <w:t xml:space="preserve">Retention by </w:t>
      </w:r>
      <w:proofErr w:type="spellStart"/>
      <w:r>
        <w:t>rurality</w:t>
      </w:r>
      <w:bookmarkEnd w:id="69"/>
      <w:proofErr w:type="spellEnd"/>
    </w:p>
    <w:p w14:paraId="70312E17" w14:textId="77777777" w:rsidR="002B79A4" w:rsidRDefault="002B79A4" w:rsidP="002B79A4">
      <w:r>
        <w:t>Urban practices were more likely to retain their NGNs than rural practices. This may be related to the smaller sizes of rural practices.</w:t>
      </w:r>
    </w:p>
    <w:tbl>
      <w:tblPr>
        <w:tblW w:w="4957" w:type="dxa"/>
        <w:tblLook w:val="04A0" w:firstRow="1" w:lastRow="0" w:firstColumn="1" w:lastColumn="0" w:noHBand="0" w:noVBand="1"/>
      </w:tblPr>
      <w:tblGrid>
        <w:gridCol w:w="2348"/>
        <w:gridCol w:w="1191"/>
        <w:gridCol w:w="1418"/>
      </w:tblGrid>
      <w:tr w:rsidR="002B79A4" w:rsidRPr="002B79A4" w14:paraId="1CF7694A" w14:textId="77777777" w:rsidTr="002B79A4">
        <w:trPr>
          <w:trHeight w:val="255"/>
        </w:trPr>
        <w:tc>
          <w:tcPr>
            <w:tcW w:w="2348" w:type="dxa"/>
            <w:tcBorders>
              <w:top w:val="single" w:sz="4" w:space="0" w:color="8EA9DB"/>
              <w:left w:val="single" w:sz="4" w:space="0" w:color="8EA9DB"/>
              <w:bottom w:val="single" w:sz="4" w:space="0" w:color="8EA9DB"/>
              <w:right w:val="nil"/>
            </w:tcBorders>
            <w:shd w:val="clear" w:color="4472C4" w:fill="4472C4"/>
            <w:noWrap/>
            <w:vAlign w:val="bottom"/>
            <w:hideMark/>
          </w:tcPr>
          <w:p w14:paraId="29C21AD9" w14:textId="77777777" w:rsidR="002B79A4" w:rsidRPr="002B79A4" w:rsidRDefault="002B79A4" w:rsidP="002B79A4">
            <w:pPr>
              <w:spacing w:after="0" w:line="240" w:lineRule="auto"/>
              <w:rPr>
                <w:rFonts w:ascii="Arial" w:hAnsi="Arial" w:cs="Arial"/>
                <w:b/>
                <w:bCs/>
                <w:color w:val="FFFFFF"/>
                <w:sz w:val="20"/>
                <w:szCs w:val="20"/>
              </w:rPr>
            </w:pPr>
            <w:r w:rsidRPr="002B79A4">
              <w:rPr>
                <w:rFonts w:ascii="Arial" w:hAnsi="Arial" w:cs="Arial"/>
                <w:b/>
                <w:bCs/>
                <w:color w:val="FFFFFF"/>
                <w:sz w:val="20"/>
                <w:szCs w:val="20"/>
              </w:rPr>
              <w:t>Location</w:t>
            </w:r>
          </w:p>
        </w:tc>
        <w:tc>
          <w:tcPr>
            <w:tcW w:w="1191" w:type="dxa"/>
            <w:tcBorders>
              <w:top w:val="single" w:sz="4" w:space="0" w:color="8EA9DB"/>
              <w:left w:val="nil"/>
              <w:bottom w:val="single" w:sz="4" w:space="0" w:color="8EA9DB"/>
              <w:right w:val="nil"/>
            </w:tcBorders>
            <w:shd w:val="clear" w:color="4472C4" w:fill="4472C4"/>
            <w:noWrap/>
            <w:vAlign w:val="bottom"/>
            <w:hideMark/>
          </w:tcPr>
          <w:p w14:paraId="168CBF4A" w14:textId="77777777" w:rsidR="002B79A4" w:rsidRPr="002B79A4" w:rsidRDefault="002B79A4" w:rsidP="002B79A4">
            <w:pPr>
              <w:spacing w:after="0" w:line="240" w:lineRule="auto"/>
              <w:jc w:val="center"/>
              <w:rPr>
                <w:rFonts w:ascii="Arial" w:hAnsi="Arial" w:cs="Arial"/>
                <w:b/>
                <w:bCs/>
                <w:color w:val="FFFFFF"/>
                <w:sz w:val="20"/>
                <w:szCs w:val="20"/>
              </w:rPr>
            </w:pPr>
            <w:r w:rsidRPr="002B79A4">
              <w:rPr>
                <w:rFonts w:ascii="Arial" w:hAnsi="Arial" w:cs="Arial"/>
                <w:b/>
                <w:bCs/>
                <w:color w:val="FFFFFF"/>
                <w:sz w:val="20"/>
                <w:szCs w:val="20"/>
              </w:rPr>
              <w:t>Retention rate</w:t>
            </w:r>
          </w:p>
        </w:tc>
        <w:tc>
          <w:tcPr>
            <w:tcW w:w="1418" w:type="dxa"/>
            <w:tcBorders>
              <w:top w:val="single" w:sz="4" w:space="0" w:color="8EA9DB"/>
              <w:left w:val="nil"/>
              <w:bottom w:val="single" w:sz="4" w:space="0" w:color="8EA9DB"/>
              <w:right w:val="single" w:sz="4" w:space="0" w:color="8EA9DB"/>
            </w:tcBorders>
            <w:shd w:val="clear" w:color="4472C4" w:fill="4472C4"/>
            <w:noWrap/>
            <w:vAlign w:val="bottom"/>
            <w:hideMark/>
          </w:tcPr>
          <w:p w14:paraId="30934629" w14:textId="77777777" w:rsidR="002B79A4" w:rsidRPr="002B79A4" w:rsidRDefault="002B79A4" w:rsidP="002B79A4">
            <w:pPr>
              <w:spacing w:after="0" w:line="240" w:lineRule="auto"/>
              <w:jc w:val="center"/>
              <w:rPr>
                <w:rFonts w:ascii="Arial" w:hAnsi="Arial" w:cs="Arial"/>
                <w:b/>
                <w:bCs/>
                <w:color w:val="FFFFFF"/>
                <w:sz w:val="20"/>
                <w:szCs w:val="20"/>
              </w:rPr>
            </w:pPr>
            <w:r w:rsidRPr="002B79A4">
              <w:rPr>
                <w:rFonts w:ascii="Arial" w:hAnsi="Arial" w:cs="Arial"/>
                <w:b/>
                <w:bCs/>
                <w:color w:val="FFFFFF"/>
                <w:sz w:val="20"/>
                <w:szCs w:val="20"/>
              </w:rPr>
              <w:t>Number of practices</w:t>
            </w:r>
          </w:p>
        </w:tc>
      </w:tr>
      <w:tr w:rsidR="002B79A4" w:rsidRPr="002B79A4" w14:paraId="37AD0536" w14:textId="77777777" w:rsidTr="002B79A4">
        <w:trPr>
          <w:trHeight w:val="255"/>
        </w:trPr>
        <w:tc>
          <w:tcPr>
            <w:tcW w:w="2348" w:type="dxa"/>
            <w:tcBorders>
              <w:top w:val="single" w:sz="4" w:space="0" w:color="8EA9DB"/>
              <w:left w:val="single" w:sz="4" w:space="0" w:color="8EA9DB"/>
              <w:bottom w:val="single" w:sz="4" w:space="0" w:color="8EA9DB"/>
              <w:right w:val="nil"/>
            </w:tcBorders>
            <w:shd w:val="clear" w:color="D9E1F2" w:fill="D9E1F2"/>
            <w:noWrap/>
            <w:vAlign w:val="bottom"/>
            <w:hideMark/>
          </w:tcPr>
          <w:p w14:paraId="5A8EFFEB" w14:textId="77777777" w:rsidR="002B79A4" w:rsidRPr="002B79A4" w:rsidRDefault="002B79A4" w:rsidP="002B79A4">
            <w:pPr>
              <w:spacing w:after="0" w:line="240" w:lineRule="auto"/>
              <w:rPr>
                <w:rFonts w:ascii="Arial" w:hAnsi="Arial" w:cs="Arial"/>
                <w:color w:val="000000"/>
                <w:sz w:val="20"/>
                <w:szCs w:val="20"/>
              </w:rPr>
            </w:pPr>
            <w:r w:rsidRPr="002B79A4">
              <w:rPr>
                <w:rFonts w:ascii="Arial" w:hAnsi="Arial" w:cs="Arial"/>
                <w:color w:val="000000"/>
                <w:sz w:val="20"/>
                <w:szCs w:val="20"/>
              </w:rPr>
              <w:t>Rural</w:t>
            </w:r>
          </w:p>
        </w:tc>
        <w:tc>
          <w:tcPr>
            <w:tcW w:w="1191" w:type="dxa"/>
            <w:tcBorders>
              <w:top w:val="single" w:sz="4" w:space="0" w:color="8EA9DB"/>
              <w:left w:val="nil"/>
              <w:bottom w:val="single" w:sz="4" w:space="0" w:color="8EA9DB"/>
              <w:right w:val="nil"/>
            </w:tcBorders>
            <w:shd w:val="clear" w:color="D9E1F2" w:fill="D9E1F2"/>
            <w:noWrap/>
            <w:vAlign w:val="bottom"/>
            <w:hideMark/>
          </w:tcPr>
          <w:p w14:paraId="3AFCB183" w14:textId="77777777" w:rsidR="002B79A4" w:rsidRPr="002B79A4" w:rsidRDefault="002B79A4" w:rsidP="002B79A4">
            <w:pPr>
              <w:spacing w:after="0" w:line="240" w:lineRule="auto"/>
              <w:jc w:val="center"/>
              <w:rPr>
                <w:rFonts w:ascii="Arial" w:hAnsi="Arial" w:cs="Arial"/>
                <w:color w:val="000000"/>
                <w:sz w:val="20"/>
                <w:szCs w:val="20"/>
              </w:rPr>
            </w:pPr>
            <w:r w:rsidRPr="002B79A4">
              <w:rPr>
                <w:rFonts w:ascii="Arial" w:hAnsi="Arial" w:cs="Arial"/>
                <w:color w:val="000000"/>
                <w:sz w:val="20"/>
                <w:szCs w:val="20"/>
              </w:rPr>
              <w:t>70%</w:t>
            </w:r>
          </w:p>
        </w:tc>
        <w:tc>
          <w:tcPr>
            <w:tcW w:w="1418" w:type="dxa"/>
            <w:tcBorders>
              <w:top w:val="single" w:sz="4" w:space="0" w:color="8EA9DB"/>
              <w:left w:val="nil"/>
              <w:bottom w:val="single" w:sz="4" w:space="0" w:color="8EA9DB"/>
              <w:right w:val="single" w:sz="4" w:space="0" w:color="8EA9DB"/>
            </w:tcBorders>
            <w:shd w:val="clear" w:color="D9E1F2" w:fill="D9E1F2"/>
            <w:noWrap/>
            <w:vAlign w:val="bottom"/>
            <w:hideMark/>
          </w:tcPr>
          <w:p w14:paraId="0B32D1F3" w14:textId="77777777" w:rsidR="002B79A4" w:rsidRPr="002B79A4" w:rsidRDefault="002B79A4" w:rsidP="002B79A4">
            <w:pPr>
              <w:spacing w:after="0" w:line="240" w:lineRule="auto"/>
              <w:jc w:val="center"/>
              <w:rPr>
                <w:rFonts w:ascii="Arial" w:hAnsi="Arial" w:cs="Arial"/>
                <w:color w:val="000000"/>
                <w:sz w:val="20"/>
                <w:szCs w:val="20"/>
              </w:rPr>
            </w:pPr>
            <w:r w:rsidRPr="002B79A4">
              <w:rPr>
                <w:rFonts w:ascii="Arial" w:hAnsi="Arial" w:cs="Arial"/>
                <w:color w:val="000000"/>
                <w:sz w:val="20"/>
                <w:szCs w:val="20"/>
              </w:rPr>
              <w:t>10</w:t>
            </w:r>
          </w:p>
        </w:tc>
      </w:tr>
      <w:tr w:rsidR="002B79A4" w:rsidRPr="002B79A4" w14:paraId="1A0F7BF6" w14:textId="77777777" w:rsidTr="002B79A4">
        <w:trPr>
          <w:trHeight w:val="255"/>
        </w:trPr>
        <w:tc>
          <w:tcPr>
            <w:tcW w:w="2348" w:type="dxa"/>
            <w:tcBorders>
              <w:top w:val="single" w:sz="4" w:space="0" w:color="8EA9DB"/>
              <w:left w:val="single" w:sz="4" w:space="0" w:color="8EA9DB"/>
              <w:bottom w:val="single" w:sz="4" w:space="0" w:color="8EA9DB"/>
              <w:right w:val="nil"/>
            </w:tcBorders>
            <w:shd w:val="clear" w:color="auto" w:fill="auto"/>
            <w:noWrap/>
            <w:vAlign w:val="bottom"/>
            <w:hideMark/>
          </w:tcPr>
          <w:p w14:paraId="03ADA95C" w14:textId="77777777" w:rsidR="002B79A4" w:rsidRPr="002B79A4" w:rsidRDefault="002B79A4" w:rsidP="002B79A4">
            <w:pPr>
              <w:spacing w:after="0" w:line="240" w:lineRule="auto"/>
              <w:rPr>
                <w:rFonts w:ascii="Arial" w:hAnsi="Arial" w:cs="Arial"/>
                <w:color w:val="000000"/>
                <w:sz w:val="20"/>
                <w:szCs w:val="20"/>
              </w:rPr>
            </w:pPr>
            <w:r w:rsidRPr="002B79A4">
              <w:rPr>
                <w:rFonts w:ascii="Arial" w:hAnsi="Arial" w:cs="Arial"/>
                <w:color w:val="000000"/>
                <w:sz w:val="20"/>
                <w:szCs w:val="20"/>
              </w:rPr>
              <w:t>Urban</w:t>
            </w:r>
          </w:p>
        </w:tc>
        <w:tc>
          <w:tcPr>
            <w:tcW w:w="1191" w:type="dxa"/>
            <w:tcBorders>
              <w:top w:val="single" w:sz="4" w:space="0" w:color="8EA9DB"/>
              <w:left w:val="nil"/>
              <w:bottom w:val="single" w:sz="4" w:space="0" w:color="8EA9DB"/>
              <w:right w:val="nil"/>
            </w:tcBorders>
            <w:shd w:val="clear" w:color="auto" w:fill="auto"/>
            <w:noWrap/>
            <w:vAlign w:val="bottom"/>
            <w:hideMark/>
          </w:tcPr>
          <w:p w14:paraId="3846DF80" w14:textId="77777777" w:rsidR="002B79A4" w:rsidRPr="002B79A4" w:rsidRDefault="002B79A4" w:rsidP="002B79A4">
            <w:pPr>
              <w:spacing w:after="0" w:line="240" w:lineRule="auto"/>
              <w:jc w:val="center"/>
              <w:rPr>
                <w:rFonts w:ascii="Arial" w:hAnsi="Arial" w:cs="Arial"/>
                <w:color w:val="000000"/>
                <w:sz w:val="20"/>
                <w:szCs w:val="20"/>
              </w:rPr>
            </w:pPr>
            <w:r w:rsidRPr="002B79A4">
              <w:rPr>
                <w:rFonts w:ascii="Arial" w:hAnsi="Arial" w:cs="Arial"/>
                <w:color w:val="000000"/>
                <w:sz w:val="20"/>
                <w:szCs w:val="20"/>
              </w:rPr>
              <w:t>80%</w:t>
            </w:r>
          </w:p>
        </w:tc>
        <w:tc>
          <w:tcPr>
            <w:tcW w:w="1418" w:type="dxa"/>
            <w:tcBorders>
              <w:top w:val="single" w:sz="4" w:space="0" w:color="8EA9DB"/>
              <w:left w:val="nil"/>
              <w:bottom w:val="single" w:sz="4" w:space="0" w:color="8EA9DB"/>
              <w:right w:val="single" w:sz="4" w:space="0" w:color="8EA9DB"/>
            </w:tcBorders>
            <w:shd w:val="clear" w:color="auto" w:fill="auto"/>
            <w:noWrap/>
            <w:vAlign w:val="bottom"/>
            <w:hideMark/>
          </w:tcPr>
          <w:p w14:paraId="11F90A5E" w14:textId="77777777" w:rsidR="002B79A4" w:rsidRPr="002B79A4" w:rsidRDefault="002B79A4" w:rsidP="002B79A4">
            <w:pPr>
              <w:spacing w:after="0" w:line="240" w:lineRule="auto"/>
              <w:jc w:val="center"/>
              <w:rPr>
                <w:rFonts w:ascii="Arial" w:hAnsi="Arial" w:cs="Arial"/>
                <w:color w:val="000000"/>
                <w:sz w:val="20"/>
                <w:szCs w:val="20"/>
              </w:rPr>
            </w:pPr>
            <w:r w:rsidRPr="002B79A4">
              <w:rPr>
                <w:rFonts w:ascii="Arial" w:hAnsi="Arial" w:cs="Arial"/>
                <w:color w:val="000000"/>
                <w:sz w:val="20"/>
                <w:szCs w:val="20"/>
              </w:rPr>
              <w:t>35</w:t>
            </w:r>
          </w:p>
        </w:tc>
      </w:tr>
      <w:tr w:rsidR="002B79A4" w:rsidRPr="002B79A4" w14:paraId="042FF2C5" w14:textId="77777777" w:rsidTr="002B79A4">
        <w:trPr>
          <w:trHeight w:val="255"/>
        </w:trPr>
        <w:tc>
          <w:tcPr>
            <w:tcW w:w="2348" w:type="dxa"/>
            <w:tcBorders>
              <w:top w:val="single" w:sz="4" w:space="0" w:color="8EA9DB"/>
              <w:left w:val="single" w:sz="4" w:space="0" w:color="8EA9DB"/>
              <w:bottom w:val="single" w:sz="4" w:space="0" w:color="8EA9DB"/>
              <w:right w:val="nil"/>
            </w:tcBorders>
            <w:shd w:val="clear" w:color="D9E1F2" w:fill="D9E1F2"/>
            <w:noWrap/>
            <w:vAlign w:val="bottom"/>
            <w:hideMark/>
          </w:tcPr>
          <w:p w14:paraId="5F134E9A" w14:textId="77777777" w:rsidR="002B79A4" w:rsidRPr="002B79A4" w:rsidRDefault="002B79A4" w:rsidP="002B79A4">
            <w:pPr>
              <w:spacing w:after="0" w:line="240" w:lineRule="auto"/>
              <w:rPr>
                <w:rFonts w:ascii="Arial" w:hAnsi="Arial" w:cs="Arial"/>
                <w:b/>
                <w:color w:val="000000"/>
                <w:sz w:val="20"/>
                <w:szCs w:val="20"/>
              </w:rPr>
            </w:pPr>
            <w:r w:rsidRPr="002B79A4">
              <w:rPr>
                <w:rFonts w:ascii="Arial" w:hAnsi="Arial" w:cs="Arial"/>
                <w:b/>
                <w:color w:val="000000"/>
                <w:sz w:val="20"/>
                <w:szCs w:val="20"/>
              </w:rPr>
              <w:t>Total</w:t>
            </w:r>
          </w:p>
        </w:tc>
        <w:tc>
          <w:tcPr>
            <w:tcW w:w="1191" w:type="dxa"/>
            <w:tcBorders>
              <w:top w:val="single" w:sz="4" w:space="0" w:color="8EA9DB"/>
              <w:left w:val="nil"/>
              <w:bottom w:val="single" w:sz="4" w:space="0" w:color="8EA9DB"/>
              <w:right w:val="nil"/>
            </w:tcBorders>
            <w:shd w:val="clear" w:color="D9E1F2" w:fill="D9E1F2"/>
            <w:noWrap/>
            <w:vAlign w:val="bottom"/>
            <w:hideMark/>
          </w:tcPr>
          <w:p w14:paraId="02BB59AB" w14:textId="77777777" w:rsidR="002B79A4" w:rsidRPr="002B79A4" w:rsidRDefault="002B79A4" w:rsidP="002B79A4">
            <w:pPr>
              <w:spacing w:after="0" w:line="240" w:lineRule="auto"/>
              <w:jc w:val="center"/>
              <w:rPr>
                <w:rFonts w:ascii="Arial" w:hAnsi="Arial" w:cs="Arial"/>
                <w:b/>
                <w:color w:val="000000"/>
                <w:sz w:val="20"/>
                <w:szCs w:val="20"/>
              </w:rPr>
            </w:pPr>
            <w:r w:rsidRPr="002B79A4">
              <w:rPr>
                <w:rFonts w:ascii="Arial" w:hAnsi="Arial" w:cs="Arial"/>
                <w:b/>
                <w:color w:val="000000"/>
                <w:sz w:val="20"/>
                <w:szCs w:val="20"/>
              </w:rPr>
              <w:t>78%</w:t>
            </w:r>
          </w:p>
        </w:tc>
        <w:tc>
          <w:tcPr>
            <w:tcW w:w="1418" w:type="dxa"/>
            <w:tcBorders>
              <w:top w:val="single" w:sz="4" w:space="0" w:color="8EA9DB"/>
              <w:left w:val="nil"/>
              <w:bottom w:val="single" w:sz="4" w:space="0" w:color="8EA9DB"/>
              <w:right w:val="single" w:sz="4" w:space="0" w:color="8EA9DB"/>
            </w:tcBorders>
            <w:shd w:val="clear" w:color="D9E1F2" w:fill="D9E1F2"/>
            <w:noWrap/>
            <w:vAlign w:val="bottom"/>
            <w:hideMark/>
          </w:tcPr>
          <w:p w14:paraId="686BA1ED" w14:textId="77777777" w:rsidR="002B79A4" w:rsidRPr="002B79A4" w:rsidRDefault="002B79A4" w:rsidP="002B79A4">
            <w:pPr>
              <w:spacing w:after="0" w:line="240" w:lineRule="auto"/>
              <w:jc w:val="center"/>
              <w:rPr>
                <w:rFonts w:ascii="Arial" w:hAnsi="Arial" w:cs="Arial"/>
                <w:b/>
                <w:color w:val="000000"/>
                <w:sz w:val="20"/>
                <w:szCs w:val="20"/>
              </w:rPr>
            </w:pPr>
            <w:r w:rsidRPr="002B79A4">
              <w:rPr>
                <w:rFonts w:ascii="Arial" w:hAnsi="Arial" w:cs="Arial"/>
                <w:b/>
                <w:color w:val="000000"/>
                <w:sz w:val="20"/>
                <w:szCs w:val="20"/>
              </w:rPr>
              <w:t>45</w:t>
            </w:r>
          </w:p>
        </w:tc>
      </w:tr>
    </w:tbl>
    <w:p w14:paraId="3E8128BD" w14:textId="77777777" w:rsidR="009C23A6" w:rsidRPr="002B79A4" w:rsidRDefault="009C23A6" w:rsidP="002B79A4"/>
    <w:sectPr w:rsidR="009C23A6" w:rsidRPr="002B79A4" w:rsidSect="00F9050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881081" w14:textId="77777777" w:rsidR="00E92003" w:rsidRDefault="00E92003">
      <w:pPr>
        <w:spacing w:after="0" w:line="240" w:lineRule="auto"/>
      </w:pPr>
      <w:r>
        <w:separator/>
      </w:r>
    </w:p>
    <w:p w14:paraId="0CEE0E84" w14:textId="77777777" w:rsidR="00E92003" w:rsidRDefault="00E92003"/>
  </w:endnote>
  <w:endnote w:type="continuationSeparator" w:id="0">
    <w:p w14:paraId="2211B322" w14:textId="77777777" w:rsidR="00E92003" w:rsidRDefault="00E92003">
      <w:pPr>
        <w:spacing w:after="0" w:line="240" w:lineRule="auto"/>
      </w:pPr>
      <w:r>
        <w:continuationSeparator/>
      </w:r>
    </w:p>
    <w:p w14:paraId="1C11EFE7" w14:textId="77777777" w:rsidR="00E92003" w:rsidRDefault="00E92003"/>
  </w:endnote>
  <w:endnote w:type="continuationNotice" w:id="1">
    <w:p w14:paraId="1B5E16E8" w14:textId="77777777" w:rsidR="00E92003" w:rsidRDefault="00E9200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65C1EB" w14:textId="77777777" w:rsidR="00B36C1A" w:rsidRPr="00BB3CE4" w:rsidRDefault="00B36C1A" w:rsidP="00BB3CE4">
    <w:pPr>
      <w:pStyle w:val="Footer"/>
      <w:jc w:val="center"/>
      <w:rPr>
        <w:sz w:val="21"/>
        <w:szCs w:val="21"/>
      </w:rPr>
    </w:pPr>
    <w:r w:rsidRPr="006C4F1F">
      <w:rPr>
        <w:sz w:val="21"/>
        <w:szCs w:val="21"/>
      </w:rPr>
      <w:t xml:space="preserve">Page | </w:t>
    </w:r>
    <w:r w:rsidRPr="006C4F1F">
      <w:rPr>
        <w:sz w:val="21"/>
        <w:szCs w:val="21"/>
      </w:rPr>
      <w:fldChar w:fldCharType="begin"/>
    </w:r>
    <w:r w:rsidRPr="006C4F1F">
      <w:rPr>
        <w:sz w:val="21"/>
        <w:szCs w:val="21"/>
      </w:rPr>
      <w:instrText xml:space="preserve"> PAGE   \* MERGEFORMAT </w:instrText>
    </w:r>
    <w:r w:rsidRPr="006C4F1F">
      <w:rPr>
        <w:sz w:val="21"/>
        <w:szCs w:val="21"/>
      </w:rPr>
      <w:fldChar w:fldCharType="separate"/>
    </w:r>
    <w:r w:rsidR="002F571C">
      <w:rPr>
        <w:noProof/>
        <w:sz w:val="21"/>
        <w:szCs w:val="21"/>
      </w:rPr>
      <w:t>6</w:t>
    </w:r>
    <w:r w:rsidRPr="006C4F1F">
      <w:rPr>
        <w:noProof/>
        <w:sz w:val="21"/>
        <w:szCs w:val="2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72BE1D" w14:textId="77777777" w:rsidR="00E92003" w:rsidRDefault="00E92003">
      <w:pPr>
        <w:spacing w:after="0" w:line="240" w:lineRule="auto"/>
      </w:pPr>
      <w:r>
        <w:separator/>
      </w:r>
    </w:p>
    <w:p w14:paraId="21F43275" w14:textId="77777777" w:rsidR="00E92003" w:rsidRDefault="00E92003"/>
  </w:footnote>
  <w:footnote w:type="continuationSeparator" w:id="0">
    <w:p w14:paraId="341902E3" w14:textId="77777777" w:rsidR="00E92003" w:rsidRDefault="00E92003">
      <w:pPr>
        <w:spacing w:after="0" w:line="240" w:lineRule="auto"/>
      </w:pPr>
      <w:r>
        <w:continuationSeparator/>
      </w:r>
    </w:p>
    <w:p w14:paraId="3E909575" w14:textId="77777777" w:rsidR="00E92003" w:rsidRDefault="00E92003"/>
  </w:footnote>
  <w:footnote w:type="continuationNotice" w:id="1">
    <w:p w14:paraId="7F8C0044" w14:textId="77777777" w:rsidR="00E92003" w:rsidRDefault="00E92003">
      <w:pPr>
        <w:spacing w:after="0" w:line="240" w:lineRule="auto"/>
      </w:pPr>
    </w:p>
  </w:footnote>
  <w:footnote w:id="2">
    <w:p w14:paraId="7F9C7651" w14:textId="77777777" w:rsidR="00B36C1A" w:rsidRDefault="00B36C1A">
      <w:pPr>
        <w:pStyle w:val="FootnoteText"/>
      </w:pPr>
      <w:r>
        <w:rPr>
          <w:rStyle w:val="FootnoteReference"/>
        </w:rPr>
        <w:footnoteRef/>
      </w:r>
      <w:r>
        <w:t xml:space="preserve"> Note that some of the VLCA practices are multi-site practices (i.e. more than one physical location). However these practices functionally operate as one practice, sharing staff and resources, so for the purposes of this analysis they have been considered one practice</w:t>
      </w:r>
    </w:p>
  </w:footnote>
  <w:footnote w:id="3">
    <w:p w14:paraId="3073F1E5" w14:textId="77777777" w:rsidR="00B36C1A" w:rsidRDefault="00B36C1A">
      <w:pPr>
        <w:pStyle w:val="FootnoteText"/>
      </w:pPr>
      <w:r>
        <w:rPr>
          <w:rStyle w:val="FootnoteReference"/>
        </w:rPr>
        <w:footnoteRef/>
      </w:r>
      <w:r>
        <w:t xml:space="preserve"> This does not necessarily equate to a full consultation but rather reflects the encounters that the NGN recorded in </w:t>
      </w:r>
      <w:proofErr w:type="spellStart"/>
      <w:r>
        <w:t>MedTech</w:t>
      </w:r>
      <w:proofErr w:type="spellEnd"/>
      <w:r>
        <w:t>.</w:t>
      </w:r>
    </w:p>
  </w:footnote>
  <w:footnote w:id="4">
    <w:p w14:paraId="6B13AA64" w14:textId="64B2BDCB" w:rsidR="00B36C1A" w:rsidRDefault="00B36C1A">
      <w:pPr>
        <w:pStyle w:val="FootnoteText"/>
      </w:pPr>
      <w:r>
        <w:rPr>
          <w:rStyle w:val="FootnoteReference"/>
        </w:rPr>
        <w:footnoteRef/>
      </w:r>
      <w:r>
        <w:t xml:space="preserve"> The ACE system generates an electronic talent pool of applications from new graduates looking for employment that employers can easily access to select suitable candidates to interview.</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9E9847" w14:textId="3F2549B7" w:rsidR="00B36C1A" w:rsidRPr="00010F05" w:rsidRDefault="00B36C1A" w:rsidP="00B0232E">
    <w:pPr>
      <w:pStyle w:val="Header"/>
      <w:jc w:val="cente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D65870E6"/>
    <w:lvl w:ilvl="0">
      <w:start w:val="1"/>
      <w:numFmt w:val="bullet"/>
      <w:pStyle w:val="Heading9"/>
      <w:lvlText w:val="o"/>
      <w:lvlJc w:val="left"/>
      <w:pPr>
        <w:tabs>
          <w:tab w:val="num" w:pos="900"/>
        </w:tabs>
        <w:ind w:left="900" w:hanging="360"/>
      </w:pPr>
      <w:rPr>
        <w:rFonts w:ascii="Courier New" w:hAnsi="Courier New" w:hint="default"/>
      </w:rPr>
    </w:lvl>
  </w:abstractNum>
  <w:abstractNum w:abstractNumId="1">
    <w:nsid w:val="02C871DD"/>
    <w:multiLevelType w:val="hybridMultilevel"/>
    <w:tmpl w:val="F760AC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0A336608"/>
    <w:multiLevelType w:val="hybridMultilevel"/>
    <w:tmpl w:val="2D927F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0D2C738E"/>
    <w:multiLevelType w:val="hybridMultilevel"/>
    <w:tmpl w:val="AFD409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0EE4718E"/>
    <w:multiLevelType w:val="hybridMultilevel"/>
    <w:tmpl w:val="290C19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0F4B5A26"/>
    <w:multiLevelType w:val="hybridMultilevel"/>
    <w:tmpl w:val="66A08C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1121571C"/>
    <w:multiLevelType w:val="hybridMultilevel"/>
    <w:tmpl w:val="1D326F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12794E78"/>
    <w:multiLevelType w:val="hybridMultilevel"/>
    <w:tmpl w:val="3E56FA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133F0776"/>
    <w:multiLevelType w:val="hybridMultilevel"/>
    <w:tmpl w:val="26CEFD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18912A48"/>
    <w:multiLevelType w:val="hybridMultilevel"/>
    <w:tmpl w:val="84AAF98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1CEB079C"/>
    <w:multiLevelType w:val="hybridMultilevel"/>
    <w:tmpl w:val="1FC2B49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22AF58E3"/>
    <w:multiLevelType w:val="hybridMultilevel"/>
    <w:tmpl w:val="CD2E05D8"/>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nsid w:val="22FF44B4"/>
    <w:multiLevelType w:val="hybridMultilevel"/>
    <w:tmpl w:val="A29CCE94"/>
    <w:lvl w:ilvl="0" w:tplc="14090001">
      <w:start w:val="1"/>
      <w:numFmt w:val="bullet"/>
      <w:lvlText w:val=""/>
      <w:lvlJc w:val="left"/>
      <w:pPr>
        <w:ind w:left="720" w:hanging="360"/>
      </w:pPr>
      <w:rPr>
        <w:rFonts w:ascii="Symbol" w:hAnsi="Symbol" w:hint="default"/>
      </w:rPr>
    </w:lvl>
    <w:lvl w:ilvl="1" w:tplc="BBE4A914">
      <w:numFmt w:val="bullet"/>
      <w:lvlText w:val="•"/>
      <w:lvlJc w:val="left"/>
      <w:pPr>
        <w:ind w:left="1800" w:hanging="720"/>
      </w:pPr>
      <w:rPr>
        <w:rFonts w:ascii="Calibri" w:eastAsia="Times New Roman" w:hAnsi="Calibri" w:cs="Times New Roman"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237F7DC1"/>
    <w:multiLevelType w:val="hybridMultilevel"/>
    <w:tmpl w:val="3C3418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255B4B8D"/>
    <w:multiLevelType w:val="hybridMultilevel"/>
    <w:tmpl w:val="6DB065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2F840D80"/>
    <w:multiLevelType w:val="hybridMultilevel"/>
    <w:tmpl w:val="228CDE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3AD95F89"/>
    <w:multiLevelType w:val="hybridMultilevel"/>
    <w:tmpl w:val="CD2E05D8"/>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nsid w:val="3C43253D"/>
    <w:multiLevelType w:val="hybridMultilevel"/>
    <w:tmpl w:val="7D0811F2"/>
    <w:lvl w:ilvl="0" w:tplc="14090001">
      <w:start w:val="1"/>
      <w:numFmt w:val="bullet"/>
      <w:lvlText w:val=""/>
      <w:lvlJc w:val="left"/>
      <w:pPr>
        <w:ind w:left="774" w:hanging="360"/>
      </w:pPr>
      <w:rPr>
        <w:rFonts w:ascii="Symbol" w:hAnsi="Symbol" w:hint="default"/>
      </w:rPr>
    </w:lvl>
    <w:lvl w:ilvl="1" w:tplc="14090003" w:tentative="1">
      <w:start w:val="1"/>
      <w:numFmt w:val="bullet"/>
      <w:lvlText w:val="o"/>
      <w:lvlJc w:val="left"/>
      <w:pPr>
        <w:ind w:left="1494" w:hanging="360"/>
      </w:pPr>
      <w:rPr>
        <w:rFonts w:ascii="Courier New" w:hAnsi="Courier New" w:cs="Courier New" w:hint="default"/>
      </w:rPr>
    </w:lvl>
    <w:lvl w:ilvl="2" w:tplc="14090005" w:tentative="1">
      <w:start w:val="1"/>
      <w:numFmt w:val="bullet"/>
      <w:lvlText w:val=""/>
      <w:lvlJc w:val="left"/>
      <w:pPr>
        <w:ind w:left="2214" w:hanging="360"/>
      </w:pPr>
      <w:rPr>
        <w:rFonts w:ascii="Wingdings" w:hAnsi="Wingdings" w:hint="default"/>
      </w:rPr>
    </w:lvl>
    <w:lvl w:ilvl="3" w:tplc="14090001" w:tentative="1">
      <w:start w:val="1"/>
      <w:numFmt w:val="bullet"/>
      <w:lvlText w:val=""/>
      <w:lvlJc w:val="left"/>
      <w:pPr>
        <w:ind w:left="2934" w:hanging="360"/>
      </w:pPr>
      <w:rPr>
        <w:rFonts w:ascii="Symbol" w:hAnsi="Symbol" w:hint="default"/>
      </w:rPr>
    </w:lvl>
    <w:lvl w:ilvl="4" w:tplc="14090003" w:tentative="1">
      <w:start w:val="1"/>
      <w:numFmt w:val="bullet"/>
      <w:lvlText w:val="o"/>
      <w:lvlJc w:val="left"/>
      <w:pPr>
        <w:ind w:left="3654" w:hanging="360"/>
      </w:pPr>
      <w:rPr>
        <w:rFonts w:ascii="Courier New" w:hAnsi="Courier New" w:cs="Courier New" w:hint="default"/>
      </w:rPr>
    </w:lvl>
    <w:lvl w:ilvl="5" w:tplc="14090005" w:tentative="1">
      <w:start w:val="1"/>
      <w:numFmt w:val="bullet"/>
      <w:lvlText w:val=""/>
      <w:lvlJc w:val="left"/>
      <w:pPr>
        <w:ind w:left="4374" w:hanging="360"/>
      </w:pPr>
      <w:rPr>
        <w:rFonts w:ascii="Wingdings" w:hAnsi="Wingdings" w:hint="default"/>
      </w:rPr>
    </w:lvl>
    <w:lvl w:ilvl="6" w:tplc="14090001" w:tentative="1">
      <w:start w:val="1"/>
      <w:numFmt w:val="bullet"/>
      <w:lvlText w:val=""/>
      <w:lvlJc w:val="left"/>
      <w:pPr>
        <w:ind w:left="5094" w:hanging="360"/>
      </w:pPr>
      <w:rPr>
        <w:rFonts w:ascii="Symbol" w:hAnsi="Symbol" w:hint="default"/>
      </w:rPr>
    </w:lvl>
    <w:lvl w:ilvl="7" w:tplc="14090003" w:tentative="1">
      <w:start w:val="1"/>
      <w:numFmt w:val="bullet"/>
      <w:lvlText w:val="o"/>
      <w:lvlJc w:val="left"/>
      <w:pPr>
        <w:ind w:left="5814" w:hanging="360"/>
      </w:pPr>
      <w:rPr>
        <w:rFonts w:ascii="Courier New" w:hAnsi="Courier New" w:cs="Courier New" w:hint="default"/>
      </w:rPr>
    </w:lvl>
    <w:lvl w:ilvl="8" w:tplc="14090005" w:tentative="1">
      <w:start w:val="1"/>
      <w:numFmt w:val="bullet"/>
      <w:lvlText w:val=""/>
      <w:lvlJc w:val="left"/>
      <w:pPr>
        <w:ind w:left="6534" w:hanging="360"/>
      </w:pPr>
      <w:rPr>
        <w:rFonts w:ascii="Wingdings" w:hAnsi="Wingdings" w:hint="default"/>
      </w:rPr>
    </w:lvl>
  </w:abstractNum>
  <w:abstractNum w:abstractNumId="18">
    <w:nsid w:val="3DD96AD1"/>
    <w:multiLevelType w:val="hybridMultilevel"/>
    <w:tmpl w:val="0318147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3EB43B7C"/>
    <w:multiLevelType w:val="hybridMultilevel"/>
    <w:tmpl w:val="A7FE2446"/>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0">
    <w:nsid w:val="42C70252"/>
    <w:multiLevelType w:val="hybridMultilevel"/>
    <w:tmpl w:val="7680AB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4B117F66"/>
    <w:multiLevelType w:val="hybridMultilevel"/>
    <w:tmpl w:val="76D43E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nsid w:val="4E573640"/>
    <w:multiLevelType w:val="hybridMultilevel"/>
    <w:tmpl w:val="D1D0AC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nsid w:val="55F71BB4"/>
    <w:multiLevelType w:val="hybridMultilevel"/>
    <w:tmpl w:val="11EAAE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nsid w:val="582D71AC"/>
    <w:multiLevelType w:val="hybridMultilevel"/>
    <w:tmpl w:val="10C01B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nsid w:val="586C6C2A"/>
    <w:multiLevelType w:val="hybridMultilevel"/>
    <w:tmpl w:val="BA34D2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nsid w:val="5E14628B"/>
    <w:multiLevelType w:val="hybridMultilevel"/>
    <w:tmpl w:val="808269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nsid w:val="5EC332D0"/>
    <w:multiLevelType w:val="hybridMultilevel"/>
    <w:tmpl w:val="18B8D0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nsid w:val="5FCB3BD5"/>
    <w:multiLevelType w:val="hybridMultilevel"/>
    <w:tmpl w:val="5AE22B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nsid w:val="616A599B"/>
    <w:multiLevelType w:val="hybridMultilevel"/>
    <w:tmpl w:val="A2EE12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nsid w:val="65BA552D"/>
    <w:multiLevelType w:val="hybridMultilevel"/>
    <w:tmpl w:val="CD2E05D8"/>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nsid w:val="676F51F3"/>
    <w:multiLevelType w:val="multilevel"/>
    <w:tmpl w:val="9544BC68"/>
    <w:lvl w:ilvl="0">
      <w:start w:val="1"/>
      <w:numFmt w:val="decimal"/>
      <w:pStyle w:val="Heading1"/>
      <w:lvlText w:val="%1."/>
      <w:lvlJc w:val="left"/>
      <w:pPr>
        <w:tabs>
          <w:tab w:val="num" w:pos="510"/>
        </w:tabs>
        <w:ind w:left="510" w:hanging="510"/>
      </w:pPr>
      <w:rPr>
        <w:rFonts w:ascii="Calibri" w:hAnsi="Calibri" w:cs="Times New Roman" w:hint="default"/>
        <w:b/>
        <w:bCs w:val="0"/>
        <w:i w:val="0"/>
        <w:iCs w:val="0"/>
        <w:caps w:val="0"/>
        <w:smallCaps w:val="0"/>
        <w:strike w:val="0"/>
        <w:dstrike w:val="0"/>
        <w:snapToGrid w:val="0"/>
        <w:vanish w:val="0"/>
        <w:color w:val="006E95"/>
        <w:spacing w:val="0"/>
        <w:w w:val="0"/>
        <w:kern w:val="0"/>
        <w:position w:val="0"/>
        <w:sz w:val="28"/>
        <w:szCs w:val="24"/>
        <w:u w:val="none"/>
        <w:vertAlign w:val="baseline"/>
      </w:rPr>
    </w:lvl>
    <w:lvl w:ilvl="1">
      <w:start w:val="1"/>
      <w:numFmt w:val="decimal"/>
      <w:pStyle w:val="Heading2"/>
      <w:lvlText w:val="%1.%2"/>
      <w:lvlJc w:val="left"/>
      <w:pPr>
        <w:tabs>
          <w:tab w:val="num" w:pos="652"/>
        </w:tabs>
        <w:ind w:left="652" w:hanging="510"/>
      </w:pPr>
      <w:rPr>
        <w:rFonts w:ascii="Calibri" w:hAnsi="Calibri" w:cs="Times New Roman" w:hint="default"/>
        <w:b/>
        <w:i w:val="0"/>
        <w:color w:val="006E95"/>
        <w:sz w:val="22"/>
        <w:szCs w:val="18"/>
      </w:rPr>
    </w:lvl>
    <w:lvl w:ilvl="2">
      <w:start w:val="1"/>
      <w:numFmt w:val="decimal"/>
      <w:pStyle w:val="Heading3"/>
      <w:lvlText w:val="%1.%2.%3"/>
      <w:lvlJc w:val="left"/>
      <w:pPr>
        <w:tabs>
          <w:tab w:val="num" w:pos="510"/>
        </w:tabs>
        <w:ind w:left="510" w:hanging="510"/>
      </w:pPr>
      <w:rPr>
        <w:rFonts w:ascii="Calibri" w:hAnsi="Calibri" w:cs="Times New Roman" w:hint="default"/>
        <w:b w:val="0"/>
        <w:bCs w:val="0"/>
        <w:i w:val="0"/>
        <w:iCs w:val="0"/>
        <w:caps w:val="0"/>
        <w:smallCaps w:val="0"/>
        <w:strike w:val="0"/>
        <w:dstrike w:val="0"/>
        <w:snapToGrid w:val="0"/>
        <w:vanish w:val="0"/>
        <w:color w:val="595959"/>
        <w:spacing w:val="0"/>
        <w:w w:val="0"/>
        <w:kern w:val="0"/>
        <w:position w:val="0"/>
        <w:sz w:val="22"/>
        <w:szCs w:val="18"/>
        <w:u w:val="none"/>
        <w:vertAlign w:val="baseline"/>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2">
    <w:nsid w:val="6C2D44B3"/>
    <w:multiLevelType w:val="hybridMultilevel"/>
    <w:tmpl w:val="8034AB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nsid w:val="6F747BF0"/>
    <w:multiLevelType w:val="hybridMultilevel"/>
    <w:tmpl w:val="F98E50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nsid w:val="6FC22E4F"/>
    <w:multiLevelType w:val="hybridMultilevel"/>
    <w:tmpl w:val="69485A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nsid w:val="70925F00"/>
    <w:multiLevelType w:val="hybridMultilevel"/>
    <w:tmpl w:val="98F806A4"/>
    <w:lvl w:ilvl="0" w:tplc="14090001">
      <w:start w:val="1"/>
      <w:numFmt w:val="bullet"/>
      <w:lvlText w:val=""/>
      <w:lvlJc w:val="left"/>
      <w:pPr>
        <w:ind w:left="788" w:hanging="360"/>
      </w:pPr>
      <w:rPr>
        <w:rFonts w:ascii="Symbol" w:hAnsi="Symbol" w:hint="default"/>
      </w:rPr>
    </w:lvl>
    <w:lvl w:ilvl="1" w:tplc="14090003" w:tentative="1">
      <w:start w:val="1"/>
      <w:numFmt w:val="bullet"/>
      <w:lvlText w:val="o"/>
      <w:lvlJc w:val="left"/>
      <w:pPr>
        <w:ind w:left="1508" w:hanging="360"/>
      </w:pPr>
      <w:rPr>
        <w:rFonts w:ascii="Courier New" w:hAnsi="Courier New" w:cs="Courier New" w:hint="default"/>
      </w:rPr>
    </w:lvl>
    <w:lvl w:ilvl="2" w:tplc="14090005" w:tentative="1">
      <w:start w:val="1"/>
      <w:numFmt w:val="bullet"/>
      <w:lvlText w:val=""/>
      <w:lvlJc w:val="left"/>
      <w:pPr>
        <w:ind w:left="2228" w:hanging="360"/>
      </w:pPr>
      <w:rPr>
        <w:rFonts w:ascii="Wingdings" w:hAnsi="Wingdings" w:hint="default"/>
      </w:rPr>
    </w:lvl>
    <w:lvl w:ilvl="3" w:tplc="14090001" w:tentative="1">
      <w:start w:val="1"/>
      <w:numFmt w:val="bullet"/>
      <w:lvlText w:val=""/>
      <w:lvlJc w:val="left"/>
      <w:pPr>
        <w:ind w:left="2948" w:hanging="360"/>
      </w:pPr>
      <w:rPr>
        <w:rFonts w:ascii="Symbol" w:hAnsi="Symbol" w:hint="default"/>
      </w:rPr>
    </w:lvl>
    <w:lvl w:ilvl="4" w:tplc="14090003" w:tentative="1">
      <w:start w:val="1"/>
      <w:numFmt w:val="bullet"/>
      <w:lvlText w:val="o"/>
      <w:lvlJc w:val="left"/>
      <w:pPr>
        <w:ind w:left="3668" w:hanging="360"/>
      </w:pPr>
      <w:rPr>
        <w:rFonts w:ascii="Courier New" w:hAnsi="Courier New" w:cs="Courier New" w:hint="default"/>
      </w:rPr>
    </w:lvl>
    <w:lvl w:ilvl="5" w:tplc="14090005" w:tentative="1">
      <w:start w:val="1"/>
      <w:numFmt w:val="bullet"/>
      <w:lvlText w:val=""/>
      <w:lvlJc w:val="left"/>
      <w:pPr>
        <w:ind w:left="4388" w:hanging="360"/>
      </w:pPr>
      <w:rPr>
        <w:rFonts w:ascii="Wingdings" w:hAnsi="Wingdings" w:hint="default"/>
      </w:rPr>
    </w:lvl>
    <w:lvl w:ilvl="6" w:tplc="14090001" w:tentative="1">
      <w:start w:val="1"/>
      <w:numFmt w:val="bullet"/>
      <w:lvlText w:val=""/>
      <w:lvlJc w:val="left"/>
      <w:pPr>
        <w:ind w:left="5108" w:hanging="360"/>
      </w:pPr>
      <w:rPr>
        <w:rFonts w:ascii="Symbol" w:hAnsi="Symbol" w:hint="default"/>
      </w:rPr>
    </w:lvl>
    <w:lvl w:ilvl="7" w:tplc="14090003" w:tentative="1">
      <w:start w:val="1"/>
      <w:numFmt w:val="bullet"/>
      <w:lvlText w:val="o"/>
      <w:lvlJc w:val="left"/>
      <w:pPr>
        <w:ind w:left="5828" w:hanging="360"/>
      </w:pPr>
      <w:rPr>
        <w:rFonts w:ascii="Courier New" w:hAnsi="Courier New" w:cs="Courier New" w:hint="default"/>
      </w:rPr>
    </w:lvl>
    <w:lvl w:ilvl="8" w:tplc="14090005" w:tentative="1">
      <w:start w:val="1"/>
      <w:numFmt w:val="bullet"/>
      <w:lvlText w:val=""/>
      <w:lvlJc w:val="left"/>
      <w:pPr>
        <w:ind w:left="6548" w:hanging="360"/>
      </w:pPr>
      <w:rPr>
        <w:rFonts w:ascii="Wingdings" w:hAnsi="Wingdings" w:hint="default"/>
      </w:rPr>
    </w:lvl>
  </w:abstractNum>
  <w:abstractNum w:abstractNumId="36">
    <w:nsid w:val="70ED05B5"/>
    <w:multiLevelType w:val="hybridMultilevel"/>
    <w:tmpl w:val="2F2859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nsid w:val="721310D8"/>
    <w:multiLevelType w:val="hybridMultilevel"/>
    <w:tmpl w:val="E44E48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nsid w:val="73A96DBA"/>
    <w:multiLevelType w:val="hybridMultilevel"/>
    <w:tmpl w:val="9E5A4A9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nsid w:val="76E91474"/>
    <w:multiLevelType w:val="hybridMultilevel"/>
    <w:tmpl w:val="BC34A8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nsid w:val="784073CD"/>
    <w:multiLevelType w:val="hybridMultilevel"/>
    <w:tmpl w:val="AD3EA1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nsid w:val="7E013A90"/>
    <w:multiLevelType w:val="hybridMultilevel"/>
    <w:tmpl w:val="C56EA7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nsid w:val="7F455B25"/>
    <w:multiLevelType w:val="hybridMultilevel"/>
    <w:tmpl w:val="B7FCDB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nsid w:val="7FEF50BC"/>
    <w:multiLevelType w:val="hybridMultilevel"/>
    <w:tmpl w:val="17B26B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31"/>
  </w:num>
  <w:num w:numId="2">
    <w:abstractNumId w:val="0"/>
  </w:num>
  <w:num w:numId="3">
    <w:abstractNumId w:val="8"/>
  </w:num>
  <w:num w:numId="4">
    <w:abstractNumId w:val="43"/>
  </w:num>
  <w:num w:numId="5">
    <w:abstractNumId w:val="5"/>
  </w:num>
  <w:num w:numId="6">
    <w:abstractNumId w:val="32"/>
  </w:num>
  <w:num w:numId="7">
    <w:abstractNumId w:val="9"/>
  </w:num>
  <w:num w:numId="8">
    <w:abstractNumId w:val="29"/>
  </w:num>
  <w:num w:numId="9">
    <w:abstractNumId w:val="40"/>
  </w:num>
  <w:num w:numId="10">
    <w:abstractNumId w:val="19"/>
  </w:num>
  <w:num w:numId="11">
    <w:abstractNumId w:val="37"/>
  </w:num>
  <w:num w:numId="12">
    <w:abstractNumId w:val="12"/>
  </w:num>
  <w:num w:numId="13">
    <w:abstractNumId w:val="24"/>
  </w:num>
  <w:num w:numId="14">
    <w:abstractNumId w:val="23"/>
  </w:num>
  <w:num w:numId="15">
    <w:abstractNumId w:val="13"/>
  </w:num>
  <w:num w:numId="16">
    <w:abstractNumId w:val="36"/>
  </w:num>
  <w:num w:numId="17">
    <w:abstractNumId w:val="39"/>
  </w:num>
  <w:num w:numId="18">
    <w:abstractNumId w:val="15"/>
  </w:num>
  <w:num w:numId="19">
    <w:abstractNumId w:val="42"/>
  </w:num>
  <w:num w:numId="20">
    <w:abstractNumId w:val="22"/>
  </w:num>
  <w:num w:numId="21">
    <w:abstractNumId w:val="17"/>
  </w:num>
  <w:num w:numId="22">
    <w:abstractNumId w:val="34"/>
  </w:num>
  <w:num w:numId="23">
    <w:abstractNumId w:val="1"/>
  </w:num>
  <w:num w:numId="24">
    <w:abstractNumId w:val="25"/>
  </w:num>
  <w:num w:numId="25">
    <w:abstractNumId w:val="27"/>
  </w:num>
  <w:num w:numId="26">
    <w:abstractNumId w:val="38"/>
  </w:num>
  <w:num w:numId="27">
    <w:abstractNumId w:val="35"/>
  </w:num>
  <w:num w:numId="28">
    <w:abstractNumId w:val="21"/>
  </w:num>
  <w:num w:numId="29">
    <w:abstractNumId w:val="20"/>
  </w:num>
  <w:num w:numId="30">
    <w:abstractNumId w:val="3"/>
  </w:num>
  <w:num w:numId="31">
    <w:abstractNumId w:val="26"/>
  </w:num>
  <w:num w:numId="32">
    <w:abstractNumId w:val="4"/>
  </w:num>
  <w:num w:numId="33">
    <w:abstractNumId w:val="10"/>
  </w:num>
  <w:num w:numId="34">
    <w:abstractNumId w:val="18"/>
  </w:num>
  <w:num w:numId="35">
    <w:abstractNumId w:val="30"/>
  </w:num>
  <w:num w:numId="36">
    <w:abstractNumId w:val="16"/>
  </w:num>
  <w:num w:numId="37">
    <w:abstractNumId w:val="28"/>
  </w:num>
  <w:num w:numId="38">
    <w:abstractNumId w:val="14"/>
  </w:num>
  <w:num w:numId="39">
    <w:abstractNumId w:val="2"/>
  </w:num>
  <w:num w:numId="40">
    <w:abstractNumId w:val="6"/>
  </w:num>
  <w:num w:numId="41">
    <w:abstractNumId w:val="7"/>
  </w:num>
  <w:num w:numId="42">
    <w:abstractNumId w:val="33"/>
  </w:num>
  <w:num w:numId="43">
    <w:abstractNumId w:val="11"/>
  </w:num>
  <w:num w:numId="4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inkAnnotations="0"/>
  <w:doNotTrackFormatting/>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1F6B"/>
    <w:rsid w:val="00000469"/>
    <w:rsid w:val="00001D17"/>
    <w:rsid w:val="00004447"/>
    <w:rsid w:val="000062BA"/>
    <w:rsid w:val="00010545"/>
    <w:rsid w:val="00010F05"/>
    <w:rsid w:val="00013111"/>
    <w:rsid w:val="000135DD"/>
    <w:rsid w:val="00014B65"/>
    <w:rsid w:val="00014D0C"/>
    <w:rsid w:val="000157F1"/>
    <w:rsid w:val="000172A3"/>
    <w:rsid w:val="000176F3"/>
    <w:rsid w:val="00021AA3"/>
    <w:rsid w:val="00022091"/>
    <w:rsid w:val="00022401"/>
    <w:rsid w:val="00023A45"/>
    <w:rsid w:val="00025213"/>
    <w:rsid w:val="000263AD"/>
    <w:rsid w:val="000306E2"/>
    <w:rsid w:val="0003259F"/>
    <w:rsid w:val="00034578"/>
    <w:rsid w:val="0004287B"/>
    <w:rsid w:val="00042FA2"/>
    <w:rsid w:val="00045683"/>
    <w:rsid w:val="00046767"/>
    <w:rsid w:val="00050A45"/>
    <w:rsid w:val="000516BC"/>
    <w:rsid w:val="00051ED3"/>
    <w:rsid w:val="000522B0"/>
    <w:rsid w:val="0005358E"/>
    <w:rsid w:val="000552D1"/>
    <w:rsid w:val="000562EA"/>
    <w:rsid w:val="000563CA"/>
    <w:rsid w:val="00057FB0"/>
    <w:rsid w:val="00060698"/>
    <w:rsid w:val="00060BE9"/>
    <w:rsid w:val="000622CA"/>
    <w:rsid w:val="00063252"/>
    <w:rsid w:val="00067403"/>
    <w:rsid w:val="00070640"/>
    <w:rsid w:val="00070FA3"/>
    <w:rsid w:val="00074197"/>
    <w:rsid w:val="00074E20"/>
    <w:rsid w:val="00075767"/>
    <w:rsid w:val="00075C07"/>
    <w:rsid w:val="000806DA"/>
    <w:rsid w:val="000811B4"/>
    <w:rsid w:val="000816E9"/>
    <w:rsid w:val="000821F5"/>
    <w:rsid w:val="00084D39"/>
    <w:rsid w:val="0008516D"/>
    <w:rsid w:val="00087B41"/>
    <w:rsid w:val="00087E5F"/>
    <w:rsid w:val="00091862"/>
    <w:rsid w:val="0009661A"/>
    <w:rsid w:val="000A324E"/>
    <w:rsid w:val="000A32DC"/>
    <w:rsid w:val="000A569D"/>
    <w:rsid w:val="000A7FD2"/>
    <w:rsid w:val="000B05DA"/>
    <w:rsid w:val="000B0689"/>
    <w:rsid w:val="000B139E"/>
    <w:rsid w:val="000B3688"/>
    <w:rsid w:val="000B40FE"/>
    <w:rsid w:val="000B4643"/>
    <w:rsid w:val="000B4C2C"/>
    <w:rsid w:val="000C0AC1"/>
    <w:rsid w:val="000C14F5"/>
    <w:rsid w:val="000C2B5B"/>
    <w:rsid w:val="000C327C"/>
    <w:rsid w:val="000C356D"/>
    <w:rsid w:val="000C3DD8"/>
    <w:rsid w:val="000C42B2"/>
    <w:rsid w:val="000D18D1"/>
    <w:rsid w:val="000D2D6C"/>
    <w:rsid w:val="000D347D"/>
    <w:rsid w:val="000D37C0"/>
    <w:rsid w:val="000D43A7"/>
    <w:rsid w:val="000D5A2A"/>
    <w:rsid w:val="000D780F"/>
    <w:rsid w:val="000E0B10"/>
    <w:rsid w:val="000E2F14"/>
    <w:rsid w:val="000E3667"/>
    <w:rsid w:val="000E40D8"/>
    <w:rsid w:val="000E50AB"/>
    <w:rsid w:val="000E6D3D"/>
    <w:rsid w:val="000F009E"/>
    <w:rsid w:val="000F048A"/>
    <w:rsid w:val="000F0A86"/>
    <w:rsid w:val="000F0D31"/>
    <w:rsid w:val="000F313F"/>
    <w:rsid w:val="000F387B"/>
    <w:rsid w:val="000F44EA"/>
    <w:rsid w:val="000F45FD"/>
    <w:rsid w:val="000F6405"/>
    <w:rsid w:val="000F7208"/>
    <w:rsid w:val="00105190"/>
    <w:rsid w:val="0010639D"/>
    <w:rsid w:val="001069E1"/>
    <w:rsid w:val="001129ED"/>
    <w:rsid w:val="00114213"/>
    <w:rsid w:val="0011596E"/>
    <w:rsid w:val="00116975"/>
    <w:rsid w:val="00116AED"/>
    <w:rsid w:val="00120BC0"/>
    <w:rsid w:val="00120F60"/>
    <w:rsid w:val="00121D25"/>
    <w:rsid w:val="00122782"/>
    <w:rsid w:val="001236A9"/>
    <w:rsid w:val="001248BA"/>
    <w:rsid w:val="00124DC5"/>
    <w:rsid w:val="0013009F"/>
    <w:rsid w:val="00130D9F"/>
    <w:rsid w:val="00130F8F"/>
    <w:rsid w:val="00132217"/>
    <w:rsid w:val="00133232"/>
    <w:rsid w:val="00133380"/>
    <w:rsid w:val="00135BE0"/>
    <w:rsid w:val="00135E5C"/>
    <w:rsid w:val="00135FBB"/>
    <w:rsid w:val="00141AC8"/>
    <w:rsid w:val="0014289D"/>
    <w:rsid w:val="00142AE6"/>
    <w:rsid w:val="00142B9B"/>
    <w:rsid w:val="0014332A"/>
    <w:rsid w:val="001447FD"/>
    <w:rsid w:val="00146C56"/>
    <w:rsid w:val="00146FD1"/>
    <w:rsid w:val="00147276"/>
    <w:rsid w:val="0014780A"/>
    <w:rsid w:val="00150805"/>
    <w:rsid w:val="00151443"/>
    <w:rsid w:val="001534AF"/>
    <w:rsid w:val="00154048"/>
    <w:rsid w:val="001564E9"/>
    <w:rsid w:val="0015707E"/>
    <w:rsid w:val="00157409"/>
    <w:rsid w:val="00160BDD"/>
    <w:rsid w:val="00161998"/>
    <w:rsid w:val="001622A1"/>
    <w:rsid w:val="0016382E"/>
    <w:rsid w:val="001659DB"/>
    <w:rsid w:val="0017033E"/>
    <w:rsid w:val="001766E9"/>
    <w:rsid w:val="00181BB0"/>
    <w:rsid w:val="0018495E"/>
    <w:rsid w:val="00187262"/>
    <w:rsid w:val="00187A3C"/>
    <w:rsid w:val="00187D36"/>
    <w:rsid w:val="001907B8"/>
    <w:rsid w:val="0019161D"/>
    <w:rsid w:val="00192EF8"/>
    <w:rsid w:val="001948F0"/>
    <w:rsid w:val="00194AC2"/>
    <w:rsid w:val="00195DDD"/>
    <w:rsid w:val="00196084"/>
    <w:rsid w:val="001976CD"/>
    <w:rsid w:val="001A0892"/>
    <w:rsid w:val="001A0BB1"/>
    <w:rsid w:val="001A2296"/>
    <w:rsid w:val="001A2450"/>
    <w:rsid w:val="001A5A82"/>
    <w:rsid w:val="001A759A"/>
    <w:rsid w:val="001B0A17"/>
    <w:rsid w:val="001B1B5A"/>
    <w:rsid w:val="001B6324"/>
    <w:rsid w:val="001B72A1"/>
    <w:rsid w:val="001C618D"/>
    <w:rsid w:val="001C7929"/>
    <w:rsid w:val="001C7F92"/>
    <w:rsid w:val="001D17BE"/>
    <w:rsid w:val="001D4684"/>
    <w:rsid w:val="001D54BD"/>
    <w:rsid w:val="001D6F26"/>
    <w:rsid w:val="001E2873"/>
    <w:rsid w:val="001E54BB"/>
    <w:rsid w:val="001E5B77"/>
    <w:rsid w:val="001E5D73"/>
    <w:rsid w:val="001E5DFB"/>
    <w:rsid w:val="001F1C64"/>
    <w:rsid w:val="001F632A"/>
    <w:rsid w:val="001F78F6"/>
    <w:rsid w:val="00207F6B"/>
    <w:rsid w:val="002102A8"/>
    <w:rsid w:val="00210C03"/>
    <w:rsid w:val="002122CE"/>
    <w:rsid w:val="00214AA4"/>
    <w:rsid w:val="00215422"/>
    <w:rsid w:val="00215FC2"/>
    <w:rsid w:val="002161CD"/>
    <w:rsid w:val="0021675B"/>
    <w:rsid w:val="0021738D"/>
    <w:rsid w:val="00220636"/>
    <w:rsid w:val="00221EE9"/>
    <w:rsid w:val="002224E9"/>
    <w:rsid w:val="00222885"/>
    <w:rsid w:val="0022472C"/>
    <w:rsid w:val="00231C36"/>
    <w:rsid w:val="00232704"/>
    <w:rsid w:val="0023296A"/>
    <w:rsid w:val="00234A92"/>
    <w:rsid w:val="00237CFF"/>
    <w:rsid w:val="00240C4B"/>
    <w:rsid w:val="00241074"/>
    <w:rsid w:val="00242018"/>
    <w:rsid w:val="0024257A"/>
    <w:rsid w:val="00244C57"/>
    <w:rsid w:val="0024523A"/>
    <w:rsid w:val="00247AA9"/>
    <w:rsid w:val="0025015C"/>
    <w:rsid w:val="00250816"/>
    <w:rsid w:val="00250A05"/>
    <w:rsid w:val="00251554"/>
    <w:rsid w:val="0025181B"/>
    <w:rsid w:val="002544E8"/>
    <w:rsid w:val="0025684C"/>
    <w:rsid w:val="00256C3C"/>
    <w:rsid w:val="00256DE1"/>
    <w:rsid w:val="00257673"/>
    <w:rsid w:val="00257978"/>
    <w:rsid w:val="0025798D"/>
    <w:rsid w:val="00257D2D"/>
    <w:rsid w:val="00261191"/>
    <w:rsid w:val="00261214"/>
    <w:rsid w:val="00261711"/>
    <w:rsid w:val="0026234F"/>
    <w:rsid w:val="002623F4"/>
    <w:rsid w:val="002642FD"/>
    <w:rsid w:val="00266391"/>
    <w:rsid w:val="00266478"/>
    <w:rsid w:val="002666BE"/>
    <w:rsid w:val="00266A51"/>
    <w:rsid w:val="00271BF4"/>
    <w:rsid w:val="00273FE5"/>
    <w:rsid w:val="002741E3"/>
    <w:rsid w:val="002752EA"/>
    <w:rsid w:val="00276285"/>
    <w:rsid w:val="00277B33"/>
    <w:rsid w:val="002812A3"/>
    <w:rsid w:val="002822C6"/>
    <w:rsid w:val="002852C5"/>
    <w:rsid w:val="002858C3"/>
    <w:rsid w:val="00286A3F"/>
    <w:rsid w:val="00290555"/>
    <w:rsid w:val="002905BA"/>
    <w:rsid w:val="002905E7"/>
    <w:rsid w:val="00293A0C"/>
    <w:rsid w:val="00295B6A"/>
    <w:rsid w:val="00297541"/>
    <w:rsid w:val="002A49CF"/>
    <w:rsid w:val="002A4EE8"/>
    <w:rsid w:val="002A5B36"/>
    <w:rsid w:val="002A736B"/>
    <w:rsid w:val="002B0AA6"/>
    <w:rsid w:val="002B0F71"/>
    <w:rsid w:val="002B1145"/>
    <w:rsid w:val="002B2BBC"/>
    <w:rsid w:val="002B315C"/>
    <w:rsid w:val="002B40F7"/>
    <w:rsid w:val="002B413D"/>
    <w:rsid w:val="002B4A81"/>
    <w:rsid w:val="002B7163"/>
    <w:rsid w:val="002B79A4"/>
    <w:rsid w:val="002B7B48"/>
    <w:rsid w:val="002C10E1"/>
    <w:rsid w:val="002C115C"/>
    <w:rsid w:val="002C2602"/>
    <w:rsid w:val="002C3DF1"/>
    <w:rsid w:val="002C3F02"/>
    <w:rsid w:val="002C6343"/>
    <w:rsid w:val="002C7303"/>
    <w:rsid w:val="002D0159"/>
    <w:rsid w:val="002D1639"/>
    <w:rsid w:val="002D23E2"/>
    <w:rsid w:val="002D3F79"/>
    <w:rsid w:val="002D4537"/>
    <w:rsid w:val="002E00FB"/>
    <w:rsid w:val="002E4934"/>
    <w:rsid w:val="002E4C2E"/>
    <w:rsid w:val="002E5009"/>
    <w:rsid w:val="002E68CE"/>
    <w:rsid w:val="002E6E9C"/>
    <w:rsid w:val="002E71C3"/>
    <w:rsid w:val="002F0C71"/>
    <w:rsid w:val="002F1166"/>
    <w:rsid w:val="002F4DFF"/>
    <w:rsid w:val="002F571C"/>
    <w:rsid w:val="002F59CE"/>
    <w:rsid w:val="002F6FC2"/>
    <w:rsid w:val="002F761D"/>
    <w:rsid w:val="003001FA"/>
    <w:rsid w:val="00301DDD"/>
    <w:rsid w:val="00302C2B"/>
    <w:rsid w:val="00304B1C"/>
    <w:rsid w:val="003058CD"/>
    <w:rsid w:val="00307259"/>
    <w:rsid w:val="00307EAC"/>
    <w:rsid w:val="00311414"/>
    <w:rsid w:val="0031449B"/>
    <w:rsid w:val="00315F8E"/>
    <w:rsid w:val="003165F7"/>
    <w:rsid w:val="00316D55"/>
    <w:rsid w:val="00316D9E"/>
    <w:rsid w:val="00320AD1"/>
    <w:rsid w:val="00322B12"/>
    <w:rsid w:val="003259B2"/>
    <w:rsid w:val="00326634"/>
    <w:rsid w:val="00326CF7"/>
    <w:rsid w:val="00330F8F"/>
    <w:rsid w:val="003313D8"/>
    <w:rsid w:val="003315B9"/>
    <w:rsid w:val="0033216B"/>
    <w:rsid w:val="00332B48"/>
    <w:rsid w:val="00333D6C"/>
    <w:rsid w:val="00335767"/>
    <w:rsid w:val="0033601A"/>
    <w:rsid w:val="00337760"/>
    <w:rsid w:val="00340BA2"/>
    <w:rsid w:val="00341864"/>
    <w:rsid w:val="0034358F"/>
    <w:rsid w:val="003469B1"/>
    <w:rsid w:val="00346E9C"/>
    <w:rsid w:val="003477FD"/>
    <w:rsid w:val="0035003D"/>
    <w:rsid w:val="003509A5"/>
    <w:rsid w:val="003509B1"/>
    <w:rsid w:val="00350AB5"/>
    <w:rsid w:val="00351D78"/>
    <w:rsid w:val="00353425"/>
    <w:rsid w:val="003537ED"/>
    <w:rsid w:val="003561DF"/>
    <w:rsid w:val="0036099B"/>
    <w:rsid w:val="00361255"/>
    <w:rsid w:val="003612C4"/>
    <w:rsid w:val="00362C8A"/>
    <w:rsid w:val="00362FDD"/>
    <w:rsid w:val="0036312C"/>
    <w:rsid w:val="003642B5"/>
    <w:rsid w:val="003645EC"/>
    <w:rsid w:val="00364EAA"/>
    <w:rsid w:val="00365984"/>
    <w:rsid w:val="0036600D"/>
    <w:rsid w:val="003664A5"/>
    <w:rsid w:val="0036688C"/>
    <w:rsid w:val="003744ED"/>
    <w:rsid w:val="00374D19"/>
    <w:rsid w:val="00375F74"/>
    <w:rsid w:val="00377896"/>
    <w:rsid w:val="0038041F"/>
    <w:rsid w:val="00382345"/>
    <w:rsid w:val="00382F22"/>
    <w:rsid w:val="0038633D"/>
    <w:rsid w:val="0038668E"/>
    <w:rsid w:val="0038771E"/>
    <w:rsid w:val="00390C01"/>
    <w:rsid w:val="0039204D"/>
    <w:rsid w:val="00393FD9"/>
    <w:rsid w:val="003943DA"/>
    <w:rsid w:val="003946CD"/>
    <w:rsid w:val="00395286"/>
    <w:rsid w:val="00395D56"/>
    <w:rsid w:val="003A1588"/>
    <w:rsid w:val="003A1663"/>
    <w:rsid w:val="003A3292"/>
    <w:rsid w:val="003A3D13"/>
    <w:rsid w:val="003A4A7D"/>
    <w:rsid w:val="003A4B32"/>
    <w:rsid w:val="003A66B4"/>
    <w:rsid w:val="003A6CFC"/>
    <w:rsid w:val="003A6DE7"/>
    <w:rsid w:val="003B1207"/>
    <w:rsid w:val="003B4CE1"/>
    <w:rsid w:val="003B502F"/>
    <w:rsid w:val="003B655B"/>
    <w:rsid w:val="003C0347"/>
    <w:rsid w:val="003C0EC9"/>
    <w:rsid w:val="003C21B9"/>
    <w:rsid w:val="003C3EF6"/>
    <w:rsid w:val="003C43B9"/>
    <w:rsid w:val="003C6BD4"/>
    <w:rsid w:val="003C7FAF"/>
    <w:rsid w:val="003D13A1"/>
    <w:rsid w:val="003D494A"/>
    <w:rsid w:val="003D4DCD"/>
    <w:rsid w:val="003D7472"/>
    <w:rsid w:val="003E1261"/>
    <w:rsid w:val="003E6313"/>
    <w:rsid w:val="003F27A9"/>
    <w:rsid w:val="003F2EA0"/>
    <w:rsid w:val="003F4D7A"/>
    <w:rsid w:val="003F6BFA"/>
    <w:rsid w:val="003F7CFB"/>
    <w:rsid w:val="00401D99"/>
    <w:rsid w:val="004025A1"/>
    <w:rsid w:val="00402B05"/>
    <w:rsid w:val="004116C9"/>
    <w:rsid w:val="00411721"/>
    <w:rsid w:val="00412479"/>
    <w:rsid w:val="00412E26"/>
    <w:rsid w:val="00415274"/>
    <w:rsid w:val="00421993"/>
    <w:rsid w:val="00421F6B"/>
    <w:rsid w:val="00422EBD"/>
    <w:rsid w:val="0042348D"/>
    <w:rsid w:val="004238F0"/>
    <w:rsid w:val="00423B47"/>
    <w:rsid w:val="00423E0C"/>
    <w:rsid w:val="0042488E"/>
    <w:rsid w:val="00424AF5"/>
    <w:rsid w:val="00424E51"/>
    <w:rsid w:val="00425200"/>
    <w:rsid w:val="00433631"/>
    <w:rsid w:val="00434850"/>
    <w:rsid w:val="004351CA"/>
    <w:rsid w:val="004352FA"/>
    <w:rsid w:val="0043539D"/>
    <w:rsid w:val="00435FC6"/>
    <w:rsid w:val="00436EDB"/>
    <w:rsid w:val="00436F8F"/>
    <w:rsid w:val="00437555"/>
    <w:rsid w:val="00437EF5"/>
    <w:rsid w:val="00441A87"/>
    <w:rsid w:val="00442C64"/>
    <w:rsid w:val="004432CC"/>
    <w:rsid w:val="00451914"/>
    <w:rsid w:val="00453418"/>
    <w:rsid w:val="004551F8"/>
    <w:rsid w:val="00455662"/>
    <w:rsid w:val="004619F1"/>
    <w:rsid w:val="00462BE7"/>
    <w:rsid w:val="0046466B"/>
    <w:rsid w:val="004653C9"/>
    <w:rsid w:val="00465D7D"/>
    <w:rsid w:val="00466916"/>
    <w:rsid w:val="00467E91"/>
    <w:rsid w:val="0047003F"/>
    <w:rsid w:val="00470051"/>
    <w:rsid w:val="00471F99"/>
    <w:rsid w:val="00481E6E"/>
    <w:rsid w:val="00481F41"/>
    <w:rsid w:val="004827C4"/>
    <w:rsid w:val="00482C4D"/>
    <w:rsid w:val="0048332C"/>
    <w:rsid w:val="00487407"/>
    <w:rsid w:val="00487680"/>
    <w:rsid w:val="004903DB"/>
    <w:rsid w:val="00491DC4"/>
    <w:rsid w:val="00494ACC"/>
    <w:rsid w:val="00495CC3"/>
    <w:rsid w:val="004960AB"/>
    <w:rsid w:val="004960B1"/>
    <w:rsid w:val="0049736F"/>
    <w:rsid w:val="004A4AAA"/>
    <w:rsid w:val="004A65B5"/>
    <w:rsid w:val="004A6C0C"/>
    <w:rsid w:val="004A7734"/>
    <w:rsid w:val="004B0C7A"/>
    <w:rsid w:val="004B1164"/>
    <w:rsid w:val="004B5A98"/>
    <w:rsid w:val="004C022D"/>
    <w:rsid w:val="004C1A6C"/>
    <w:rsid w:val="004C3539"/>
    <w:rsid w:val="004C52DF"/>
    <w:rsid w:val="004D0155"/>
    <w:rsid w:val="004D0B71"/>
    <w:rsid w:val="004D45EA"/>
    <w:rsid w:val="004D5B53"/>
    <w:rsid w:val="004E0597"/>
    <w:rsid w:val="004E2745"/>
    <w:rsid w:val="004E2C85"/>
    <w:rsid w:val="004E3BB0"/>
    <w:rsid w:val="004E594E"/>
    <w:rsid w:val="004E7B6D"/>
    <w:rsid w:val="004F071F"/>
    <w:rsid w:val="004F1A8B"/>
    <w:rsid w:val="004F3B32"/>
    <w:rsid w:val="004F5D17"/>
    <w:rsid w:val="004F5E92"/>
    <w:rsid w:val="004F6774"/>
    <w:rsid w:val="004F768F"/>
    <w:rsid w:val="00503826"/>
    <w:rsid w:val="00505495"/>
    <w:rsid w:val="00505B51"/>
    <w:rsid w:val="0050609D"/>
    <w:rsid w:val="0050739D"/>
    <w:rsid w:val="00507418"/>
    <w:rsid w:val="005079D4"/>
    <w:rsid w:val="00510669"/>
    <w:rsid w:val="00512923"/>
    <w:rsid w:val="00513F4E"/>
    <w:rsid w:val="00514AEA"/>
    <w:rsid w:val="0051512C"/>
    <w:rsid w:val="0051783C"/>
    <w:rsid w:val="00517BFF"/>
    <w:rsid w:val="00517E1C"/>
    <w:rsid w:val="00522BF6"/>
    <w:rsid w:val="005246B3"/>
    <w:rsid w:val="0052673C"/>
    <w:rsid w:val="00530966"/>
    <w:rsid w:val="00531DAB"/>
    <w:rsid w:val="005337B6"/>
    <w:rsid w:val="00534E6E"/>
    <w:rsid w:val="00536F3C"/>
    <w:rsid w:val="00537669"/>
    <w:rsid w:val="0054135F"/>
    <w:rsid w:val="00541A8E"/>
    <w:rsid w:val="00542BC1"/>
    <w:rsid w:val="00543EEA"/>
    <w:rsid w:val="00544FAD"/>
    <w:rsid w:val="005472B0"/>
    <w:rsid w:val="005515BD"/>
    <w:rsid w:val="005543F9"/>
    <w:rsid w:val="00555A3F"/>
    <w:rsid w:val="0055730C"/>
    <w:rsid w:val="005577F4"/>
    <w:rsid w:val="0056234B"/>
    <w:rsid w:val="00562C65"/>
    <w:rsid w:val="0056380C"/>
    <w:rsid w:val="00565AF3"/>
    <w:rsid w:val="00565AFC"/>
    <w:rsid w:val="005672D0"/>
    <w:rsid w:val="00571A8C"/>
    <w:rsid w:val="00576665"/>
    <w:rsid w:val="00581FA9"/>
    <w:rsid w:val="00582750"/>
    <w:rsid w:val="005831DF"/>
    <w:rsid w:val="00583F7A"/>
    <w:rsid w:val="005847E8"/>
    <w:rsid w:val="00585D20"/>
    <w:rsid w:val="00585E7E"/>
    <w:rsid w:val="00587D47"/>
    <w:rsid w:val="00592207"/>
    <w:rsid w:val="00592AFE"/>
    <w:rsid w:val="005933FD"/>
    <w:rsid w:val="005936E1"/>
    <w:rsid w:val="0059380D"/>
    <w:rsid w:val="00593A5D"/>
    <w:rsid w:val="0059556C"/>
    <w:rsid w:val="005969E6"/>
    <w:rsid w:val="00596C27"/>
    <w:rsid w:val="00597ACA"/>
    <w:rsid w:val="005A0E1A"/>
    <w:rsid w:val="005A24C3"/>
    <w:rsid w:val="005A318F"/>
    <w:rsid w:val="005A5F6C"/>
    <w:rsid w:val="005A62AD"/>
    <w:rsid w:val="005A65B0"/>
    <w:rsid w:val="005B50C1"/>
    <w:rsid w:val="005C105B"/>
    <w:rsid w:val="005C32F2"/>
    <w:rsid w:val="005C390B"/>
    <w:rsid w:val="005C3CE2"/>
    <w:rsid w:val="005C3E24"/>
    <w:rsid w:val="005C3E8F"/>
    <w:rsid w:val="005C40BF"/>
    <w:rsid w:val="005C4FE9"/>
    <w:rsid w:val="005C5175"/>
    <w:rsid w:val="005C5B85"/>
    <w:rsid w:val="005C72B8"/>
    <w:rsid w:val="005D025F"/>
    <w:rsid w:val="005D30C5"/>
    <w:rsid w:val="005D4F92"/>
    <w:rsid w:val="005D5CEC"/>
    <w:rsid w:val="005E0D8D"/>
    <w:rsid w:val="005E1441"/>
    <w:rsid w:val="005E1D60"/>
    <w:rsid w:val="005E2D51"/>
    <w:rsid w:val="005E3CDB"/>
    <w:rsid w:val="005E47A0"/>
    <w:rsid w:val="005E5AE0"/>
    <w:rsid w:val="005E6526"/>
    <w:rsid w:val="005E72D3"/>
    <w:rsid w:val="005F1FBC"/>
    <w:rsid w:val="005F4BC4"/>
    <w:rsid w:val="005F50F6"/>
    <w:rsid w:val="005F6171"/>
    <w:rsid w:val="0060069F"/>
    <w:rsid w:val="00600A02"/>
    <w:rsid w:val="00600F13"/>
    <w:rsid w:val="0060113C"/>
    <w:rsid w:val="006016E5"/>
    <w:rsid w:val="0060782A"/>
    <w:rsid w:val="00610E15"/>
    <w:rsid w:val="006115D5"/>
    <w:rsid w:val="00611A23"/>
    <w:rsid w:val="0061319C"/>
    <w:rsid w:val="00613F24"/>
    <w:rsid w:val="00615442"/>
    <w:rsid w:val="00615F2A"/>
    <w:rsid w:val="00616768"/>
    <w:rsid w:val="006209F7"/>
    <w:rsid w:val="00626650"/>
    <w:rsid w:val="00627CC7"/>
    <w:rsid w:val="00627DA2"/>
    <w:rsid w:val="006312ED"/>
    <w:rsid w:val="006323A6"/>
    <w:rsid w:val="0063286C"/>
    <w:rsid w:val="00633077"/>
    <w:rsid w:val="006337B0"/>
    <w:rsid w:val="00637BE7"/>
    <w:rsid w:val="00641DE9"/>
    <w:rsid w:val="006426BF"/>
    <w:rsid w:val="00642B11"/>
    <w:rsid w:val="006430A8"/>
    <w:rsid w:val="00643DFB"/>
    <w:rsid w:val="00644163"/>
    <w:rsid w:val="00644620"/>
    <w:rsid w:val="00644CCD"/>
    <w:rsid w:val="00644EA5"/>
    <w:rsid w:val="00651581"/>
    <w:rsid w:val="00654E94"/>
    <w:rsid w:val="0065761F"/>
    <w:rsid w:val="00661A18"/>
    <w:rsid w:val="00663710"/>
    <w:rsid w:val="00663C46"/>
    <w:rsid w:val="00664989"/>
    <w:rsid w:val="00666B58"/>
    <w:rsid w:val="006718B3"/>
    <w:rsid w:val="0067442B"/>
    <w:rsid w:val="00674EB2"/>
    <w:rsid w:val="00680809"/>
    <w:rsid w:val="00681436"/>
    <w:rsid w:val="0068158F"/>
    <w:rsid w:val="0068256B"/>
    <w:rsid w:val="0068508F"/>
    <w:rsid w:val="006858A9"/>
    <w:rsid w:val="00685CEA"/>
    <w:rsid w:val="006864A1"/>
    <w:rsid w:val="00686B3B"/>
    <w:rsid w:val="0068761C"/>
    <w:rsid w:val="0069101E"/>
    <w:rsid w:val="0069386E"/>
    <w:rsid w:val="00694003"/>
    <w:rsid w:val="0069456B"/>
    <w:rsid w:val="00695199"/>
    <w:rsid w:val="00696318"/>
    <w:rsid w:val="006963D0"/>
    <w:rsid w:val="006A11AA"/>
    <w:rsid w:val="006A2C55"/>
    <w:rsid w:val="006A6277"/>
    <w:rsid w:val="006B064E"/>
    <w:rsid w:val="006B0D69"/>
    <w:rsid w:val="006B1383"/>
    <w:rsid w:val="006B35D6"/>
    <w:rsid w:val="006B7BFB"/>
    <w:rsid w:val="006B7D85"/>
    <w:rsid w:val="006C140E"/>
    <w:rsid w:val="006C2C13"/>
    <w:rsid w:val="006C380D"/>
    <w:rsid w:val="006C5F21"/>
    <w:rsid w:val="006C61C9"/>
    <w:rsid w:val="006C7FDA"/>
    <w:rsid w:val="006D11EB"/>
    <w:rsid w:val="006D1C62"/>
    <w:rsid w:val="006D48B4"/>
    <w:rsid w:val="006D59AE"/>
    <w:rsid w:val="006D7BF1"/>
    <w:rsid w:val="006D7E51"/>
    <w:rsid w:val="006E1381"/>
    <w:rsid w:val="006E2861"/>
    <w:rsid w:val="006E2CE3"/>
    <w:rsid w:val="006E45C5"/>
    <w:rsid w:val="006E5087"/>
    <w:rsid w:val="006E60F3"/>
    <w:rsid w:val="006E73FF"/>
    <w:rsid w:val="006F3AF7"/>
    <w:rsid w:val="006F3B10"/>
    <w:rsid w:val="006F4658"/>
    <w:rsid w:val="006F5173"/>
    <w:rsid w:val="006F51E0"/>
    <w:rsid w:val="006F5415"/>
    <w:rsid w:val="006F6552"/>
    <w:rsid w:val="006F6FD2"/>
    <w:rsid w:val="006F7135"/>
    <w:rsid w:val="007017FC"/>
    <w:rsid w:val="007028B7"/>
    <w:rsid w:val="007029CC"/>
    <w:rsid w:val="00704D6A"/>
    <w:rsid w:val="00706801"/>
    <w:rsid w:val="007069FC"/>
    <w:rsid w:val="007075C3"/>
    <w:rsid w:val="007078F6"/>
    <w:rsid w:val="007101BE"/>
    <w:rsid w:val="00711AC8"/>
    <w:rsid w:val="007121D7"/>
    <w:rsid w:val="00712D78"/>
    <w:rsid w:val="0071427E"/>
    <w:rsid w:val="0071482B"/>
    <w:rsid w:val="00716912"/>
    <w:rsid w:val="00716EA3"/>
    <w:rsid w:val="00717B52"/>
    <w:rsid w:val="00720303"/>
    <w:rsid w:val="00721286"/>
    <w:rsid w:val="00722D2A"/>
    <w:rsid w:val="007233E1"/>
    <w:rsid w:val="00723E1C"/>
    <w:rsid w:val="00725FA0"/>
    <w:rsid w:val="00727BE1"/>
    <w:rsid w:val="00734022"/>
    <w:rsid w:val="007344FC"/>
    <w:rsid w:val="007373E7"/>
    <w:rsid w:val="0073799C"/>
    <w:rsid w:val="007402FF"/>
    <w:rsid w:val="007408DB"/>
    <w:rsid w:val="007415E6"/>
    <w:rsid w:val="0074216E"/>
    <w:rsid w:val="00745A45"/>
    <w:rsid w:val="00747C3E"/>
    <w:rsid w:val="00750E58"/>
    <w:rsid w:val="0075279C"/>
    <w:rsid w:val="007539CD"/>
    <w:rsid w:val="00753E54"/>
    <w:rsid w:val="00753FD7"/>
    <w:rsid w:val="00755B8D"/>
    <w:rsid w:val="00755CF3"/>
    <w:rsid w:val="00760F30"/>
    <w:rsid w:val="007612CB"/>
    <w:rsid w:val="007627F2"/>
    <w:rsid w:val="0076285D"/>
    <w:rsid w:val="00762901"/>
    <w:rsid w:val="00765F14"/>
    <w:rsid w:val="007722F7"/>
    <w:rsid w:val="0077300B"/>
    <w:rsid w:val="00773CC5"/>
    <w:rsid w:val="0077428A"/>
    <w:rsid w:val="00774A09"/>
    <w:rsid w:val="007753BB"/>
    <w:rsid w:val="00775CD7"/>
    <w:rsid w:val="00776F27"/>
    <w:rsid w:val="007801DA"/>
    <w:rsid w:val="007822C3"/>
    <w:rsid w:val="007824D2"/>
    <w:rsid w:val="00782A8B"/>
    <w:rsid w:val="0078514C"/>
    <w:rsid w:val="007851DC"/>
    <w:rsid w:val="00785929"/>
    <w:rsid w:val="00785CE9"/>
    <w:rsid w:val="00785D73"/>
    <w:rsid w:val="00786737"/>
    <w:rsid w:val="007875F8"/>
    <w:rsid w:val="00790FBE"/>
    <w:rsid w:val="007911B2"/>
    <w:rsid w:val="007921FD"/>
    <w:rsid w:val="00792BF4"/>
    <w:rsid w:val="00793E03"/>
    <w:rsid w:val="00795C85"/>
    <w:rsid w:val="007970D4"/>
    <w:rsid w:val="00797602"/>
    <w:rsid w:val="007A0989"/>
    <w:rsid w:val="007A15AD"/>
    <w:rsid w:val="007A1EAC"/>
    <w:rsid w:val="007A2D33"/>
    <w:rsid w:val="007A3B47"/>
    <w:rsid w:val="007A6CAE"/>
    <w:rsid w:val="007B1AEB"/>
    <w:rsid w:val="007B4674"/>
    <w:rsid w:val="007B50DC"/>
    <w:rsid w:val="007B585E"/>
    <w:rsid w:val="007B609F"/>
    <w:rsid w:val="007B69A4"/>
    <w:rsid w:val="007B6E57"/>
    <w:rsid w:val="007C059A"/>
    <w:rsid w:val="007C175C"/>
    <w:rsid w:val="007C1F7B"/>
    <w:rsid w:val="007C2505"/>
    <w:rsid w:val="007C5BFC"/>
    <w:rsid w:val="007C73DC"/>
    <w:rsid w:val="007D07C8"/>
    <w:rsid w:val="007D177B"/>
    <w:rsid w:val="007D480D"/>
    <w:rsid w:val="007D5101"/>
    <w:rsid w:val="007D5C58"/>
    <w:rsid w:val="007D7FF2"/>
    <w:rsid w:val="007E018B"/>
    <w:rsid w:val="007E02C1"/>
    <w:rsid w:val="007E02E9"/>
    <w:rsid w:val="007E14CF"/>
    <w:rsid w:val="007E249A"/>
    <w:rsid w:val="007E2C3C"/>
    <w:rsid w:val="007E2C6A"/>
    <w:rsid w:val="007E462E"/>
    <w:rsid w:val="007E5273"/>
    <w:rsid w:val="007E57F3"/>
    <w:rsid w:val="007E691C"/>
    <w:rsid w:val="007E7B7B"/>
    <w:rsid w:val="007F00FD"/>
    <w:rsid w:val="007F01ED"/>
    <w:rsid w:val="007F06ED"/>
    <w:rsid w:val="007F3353"/>
    <w:rsid w:val="007F378F"/>
    <w:rsid w:val="007F5178"/>
    <w:rsid w:val="00800AB8"/>
    <w:rsid w:val="00801DB3"/>
    <w:rsid w:val="008025F3"/>
    <w:rsid w:val="008036DB"/>
    <w:rsid w:val="00803A40"/>
    <w:rsid w:val="008051DB"/>
    <w:rsid w:val="00806460"/>
    <w:rsid w:val="00806FBC"/>
    <w:rsid w:val="00807B14"/>
    <w:rsid w:val="00812EC9"/>
    <w:rsid w:val="008131E5"/>
    <w:rsid w:val="008156AF"/>
    <w:rsid w:val="00817854"/>
    <w:rsid w:val="00817B5C"/>
    <w:rsid w:val="00817B9C"/>
    <w:rsid w:val="00820BAB"/>
    <w:rsid w:val="008217E2"/>
    <w:rsid w:val="00824029"/>
    <w:rsid w:val="00824E46"/>
    <w:rsid w:val="008274B4"/>
    <w:rsid w:val="0083018C"/>
    <w:rsid w:val="00830F97"/>
    <w:rsid w:val="008322D1"/>
    <w:rsid w:val="00832B50"/>
    <w:rsid w:val="00833EAB"/>
    <w:rsid w:val="008360CC"/>
    <w:rsid w:val="00837E6F"/>
    <w:rsid w:val="00843796"/>
    <w:rsid w:val="00843B5E"/>
    <w:rsid w:val="0084404D"/>
    <w:rsid w:val="0084731A"/>
    <w:rsid w:val="008517A8"/>
    <w:rsid w:val="0085186F"/>
    <w:rsid w:val="00851A44"/>
    <w:rsid w:val="00851C9C"/>
    <w:rsid w:val="00852533"/>
    <w:rsid w:val="008525B1"/>
    <w:rsid w:val="008533DB"/>
    <w:rsid w:val="00854288"/>
    <w:rsid w:val="00856914"/>
    <w:rsid w:val="00857E51"/>
    <w:rsid w:val="008630E8"/>
    <w:rsid w:val="00863313"/>
    <w:rsid w:val="00863423"/>
    <w:rsid w:val="008637A0"/>
    <w:rsid w:val="00864250"/>
    <w:rsid w:val="00867735"/>
    <w:rsid w:val="00870F2D"/>
    <w:rsid w:val="00873C35"/>
    <w:rsid w:val="00874ED8"/>
    <w:rsid w:val="00877A15"/>
    <w:rsid w:val="00880998"/>
    <w:rsid w:val="0088147F"/>
    <w:rsid w:val="008835A7"/>
    <w:rsid w:val="008840D4"/>
    <w:rsid w:val="00885B2A"/>
    <w:rsid w:val="008875F8"/>
    <w:rsid w:val="00891313"/>
    <w:rsid w:val="008921B9"/>
    <w:rsid w:val="00893479"/>
    <w:rsid w:val="00893C3B"/>
    <w:rsid w:val="00896D74"/>
    <w:rsid w:val="008975D0"/>
    <w:rsid w:val="008A04D8"/>
    <w:rsid w:val="008A3927"/>
    <w:rsid w:val="008A3EDE"/>
    <w:rsid w:val="008A506B"/>
    <w:rsid w:val="008A526C"/>
    <w:rsid w:val="008B1748"/>
    <w:rsid w:val="008B20A3"/>
    <w:rsid w:val="008B2F0D"/>
    <w:rsid w:val="008B525C"/>
    <w:rsid w:val="008B61AD"/>
    <w:rsid w:val="008B69CD"/>
    <w:rsid w:val="008B732B"/>
    <w:rsid w:val="008B7F3D"/>
    <w:rsid w:val="008C03EC"/>
    <w:rsid w:val="008C3BAC"/>
    <w:rsid w:val="008C4044"/>
    <w:rsid w:val="008C56F9"/>
    <w:rsid w:val="008C58F0"/>
    <w:rsid w:val="008D088C"/>
    <w:rsid w:val="008D3F3E"/>
    <w:rsid w:val="008D4B84"/>
    <w:rsid w:val="008D5549"/>
    <w:rsid w:val="008D5814"/>
    <w:rsid w:val="008D7186"/>
    <w:rsid w:val="008E5DC3"/>
    <w:rsid w:val="008E6060"/>
    <w:rsid w:val="008E6612"/>
    <w:rsid w:val="008E7444"/>
    <w:rsid w:val="008F2991"/>
    <w:rsid w:val="008F6917"/>
    <w:rsid w:val="0090186B"/>
    <w:rsid w:val="00901CCB"/>
    <w:rsid w:val="00903C9C"/>
    <w:rsid w:val="009041C0"/>
    <w:rsid w:val="00906217"/>
    <w:rsid w:val="0090769C"/>
    <w:rsid w:val="00907E6C"/>
    <w:rsid w:val="00910DA6"/>
    <w:rsid w:val="00912905"/>
    <w:rsid w:val="0091754F"/>
    <w:rsid w:val="0092016F"/>
    <w:rsid w:val="00922204"/>
    <w:rsid w:val="009268C6"/>
    <w:rsid w:val="009274C0"/>
    <w:rsid w:val="009315D0"/>
    <w:rsid w:val="00934853"/>
    <w:rsid w:val="00936A28"/>
    <w:rsid w:val="00943460"/>
    <w:rsid w:val="00944706"/>
    <w:rsid w:val="00946A0A"/>
    <w:rsid w:val="00946ADF"/>
    <w:rsid w:val="00950397"/>
    <w:rsid w:val="00950D5A"/>
    <w:rsid w:val="00951E2F"/>
    <w:rsid w:val="00952F5E"/>
    <w:rsid w:val="0095313A"/>
    <w:rsid w:val="009544C2"/>
    <w:rsid w:val="00954666"/>
    <w:rsid w:val="009547A9"/>
    <w:rsid w:val="0095489F"/>
    <w:rsid w:val="00954AF7"/>
    <w:rsid w:val="0095536A"/>
    <w:rsid w:val="00955E5B"/>
    <w:rsid w:val="0096315D"/>
    <w:rsid w:val="00963489"/>
    <w:rsid w:val="00963F3E"/>
    <w:rsid w:val="00964A6E"/>
    <w:rsid w:val="009717DD"/>
    <w:rsid w:val="0097399A"/>
    <w:rsid w:val="00974072"/>
    <w:rsid w:val="00974D5C"/>
    <w:rsid w:val="00975858"/>
    <w:rsid w:val="009833CB"/>
    <w:rsid w:val="009835CB"/>
    <w:rsid w:val="00986793"/>
    <w:rsid w:val="00987F30"/>
    <w:rsid w:val="00990357"/>
    <w:rsid w:val="00995AFA"/>
    <w:rsid w:val="00997C07"/>
    <w:rsid w:val="00997FA3"/>
    <w:rsid w:val="009A1AF2"/>
    <w:rsid w:val="009A30E5"/>
    <w:rsid w:val="009A3BAD"/>
    <w:rsid w:val="009A4560"/>
    <w:rsid w:val="009A4592"/>
    <w:rsid w:val="009A50FC"/>
    <w:rsid w:val="009A556D"/>
    <w:rsid w:val="009B1399"/>
    <w:rsid w:val="009B1B84"/>
    <w:rsid w:val="009B410D"/>
    <w:rsid w:val="009B442F"/>
    <w:rsid w:val="009B44F9"/>
    <w:rsid w:val="009B505C"/>
    <w:rsid w:val="009B5E16"/>
    <w:rsid w:val="009B6C1D"/>
    <w:rsid w:val="009B7653"/>
    <w:rsid w:val="009B78E8"/>
    <w:rsid w:val="009C1F7F"/>
    <w:rsid w:val="009C23A6"/>
    <w:rsid w:val="009C4D72"/>
    <w:rsid w:val="009C640A"/>
    <w:rsid w:val="009D065F"/>
    <w:rsid w:val="009D075A"/>
    <w:rsid w:val="009D1200"/>
    <w:rsid w:val="009D2990"/>
    <w:rsid w:val="009D3EFD"/>
    <w:rsid w:val="009D76BD"/>
    <w:rsid w:val="009E02C3"/>
    <w:rsid w:val="009E165B"/>
    <w:rsid w:val="009E75F6"/>
    <w:rsid w:val="009E7BA8"/>
    <w:rsid w:val="009E7F96"/>
    <w:rsid w:val="009F4C39"/>
    <w:rsid w:val="009F6231"/>
    <w:rsid w:val="00A03664"/>
    <w:rsid w:val="00A04037"/>
    <w:rsid w:val="00A0462E"/>
    <w:rsid w:val="00A05808"/>
    <w:rsid w:val="00A11B7F"/>
    <w:rsid w:val="00A12389"/>
    <w:rsid w:val="00A12843"/>
    <w:rsid w:val="00A12948"/>
    <w:rsid w:val="00A13C5C"/>
    <w:rsid w:val="00A149BF"/>
    <w:rsid w:val="00A16143"/>
    <w:rsid w:val="00A16BBA"/>
    <w:rsid w:val="00A171BC"/>
    <w:rsid w:val="00A17233"/>
    <w:rsid w:val="00A17610"/>
    <w:rsid w:val="00A21DB8"/>
    <w:rsid w:val="00A22E5A"/>
    <w:rsid w:val="00A23216"/>
    <w:rsid w:val="00A23BE6"/>
    <w:rsid w:val="00A23C91"/>
    <w:rsid w:val="00A24B56"/>
    <w:rsid w:val="00A31B22"/>
    <w:rsid w:val="00A31E9E"/>
    <w:rsid w:val="00A3290F"/>
    <w:rsid w:val="00A353D3"/>
    <w:rsid w:val="00A35F35"/>
    <w:rsid w:val="00A410F8"/>
    <w:rsid w:val="00A477AF"/>
    <w:rsid w:val="00A50D28"/>
    <w:rsid w:val="00A54BD1"/>
    <w:rsid w:val="00A56284"/>
    <w:rsid w:val="00A56A01"/>
    <w:rsid w:val="00A57A57"/>
    <w:rsid w:val="00A57A8B"/>
    <w:rsid w:val="00A65304"/>
    <w:rsid w:val="00A65407"/>
    <w:rsid w:val="00A65A41"/>
    <w:rsid w:val="00A67F8C"/>
    <w:rsid w:val="00A72937"/>
    <w:rsid w:val="00A72CBD"/>
    <w:rsid w:val="00A7403C"/>
    <w:rsid w:val="00A743A8"/>
    <w:rsid w:val="00A755E8"/>
    <w:rsid w:val="00A76617"/>
    <w:rsid w:val="00A837EA"/>
    <w:rsid w:val="00A84ABA"/>
    <w:rsid w:val="00A87EE2"/>
    <w:rsid w:val="00A90E50"/>
    <w:rsid w:val="00A920EB"/>
    <w:rsid w:val="00A92789"/>
    <w:rsid w:val="00A93B79"/>
    <w:rsid w:val="00A93FDC"/>
    <w:rsid w:val="00A950A0"/>
    <w:rsid w:val="00A9676D"/>
    <w:rsid w:val="00A97A5E"/>
    <w:rsid w:val="00A97AA6"/>
    <w:rsid w:val="00AA11FF"/>
    <w:rsid w:val="00AA477E"/>
    <w:rsid w:val="00AA4FE5"/>
    <w:rsid w:val="00AA6AEE"/>
    <w:rsid w:val="00AB3228"/>
    <w:rsid w:val="00AB5F17"/>
    <w:rsid w:val="00AB7295"/>
    <w:rsid w:val="00AC1402"/>
    <w:rsid w:val="00AC1D01"/>
    <w:rsid w:val="00AC508E"/>
    <w:rsid w:val="00AD428D"/>
    <w:rsid w:val="00AD5A2A"/>
    <w:rsid w:val="00AE2BDA"/>
    <w:rsid w:val="00AE37F5"/>
    <w:rsid w:val="00AE47E9"/>
    <w:rsid w:val="00AE5B27"/>
    <w:rsid w:val="00AE5ED6"/>
    <w:rsid w:val="00AF04C1"/>
    <w:rsid w:val="00AF0548"/>
    <w:rsid w:val="00AF2C60"/>
    <w:rsid w:val="00AF48D9"/>
    <w:rsid w:val="00AF69C1"/>
    <w:rsid w:val="00B0232E"/>
    <w:rsid w:val="00B06B80"/>
    <w:rsid w:val="00B07BB2"/>
    <w:rsid w:val="00B101F1"/>
    <w:rsid w:val="00B11B96"/>
    <w:rsid w:val="00B12E1B"/>
    <w:rsid w:val="00B152D1"/>
    <w:rsid w:val="00B1794C"/>
    <w:rsid w:val="00B2156D"/>
    <w:rsid w:val="00B21676"/>
    <w:rsid w:val="00B21B92"/>
    <w:rsid w:val="00B22065"/>
    <w:rsid w:val="00B237ED"/>
    <w:rsid w:val="00B238E5"/>
    <w:rsid w:val="00B23D3B"/>
    <w:rsid w:val="00B24557"/>
    <w:rsid w:val="00B24C98"/>
    <w:rsid w:val="00B263E8"/>
    <w:rsid w:val="00B269C0"/>
    <w:rsid w:val="00B2720E"/>
    <w:rsid w:val="00B27CDD"/>
    <w:rsid w:val="00B301DE"/>
    <w:rsid w:val="00B3308A"/>
    <w:rsid w:val="00B33646"/>
    <w:rsid w:val="00B35C77"/>
    <w:rsid w:val="00B36C1A"/>
    <w:rsid w:val="00B379C6"/>
    <w:rsid w:val="00B37A1A"/>
    <w:rsid w:val="00B40508"/>
    <w:rsid w:val="00B41DB9"/>
    <w:rsid w:val="00B42D39"/>
    <w:rsid w:val="00B44110"/>
    <w:rsid w:val="00B45A0E"/>
    <w:rsid w:val="00B47776"/>
    <w:rsid w:val="00B503CC"/>
    <w:rsid w:val="00B51E79"/>
    <w:rsid w:val="00B52237"/>
    <w:rsid w:val="00B524DB"/>
    <w:rsid w:val="00B5337F"/>
    <w:rsid w:val="00B55F76"/>
    <w:rsid w:val="00B61D45"/>
    <w:rsid w:val="00B6416B"/>
    <w:rsid w:val="00B6489D"/>
    <w:rsid w:val="00B65307"/>
    <w:rsid w:val="00B672BE"/>
    <w:rsid w:val="00B71328"/>
    <w:rsid w:val="00B716AF"/>
    <w:rsid w:val="00B718B5"/>
    <w:rsid w:val="00B720F4"/>
    <w:rsid w:val="00B72705"/>
    <w:rsid w:val="00B73C9B"/>
    <w:rsid w:val="00B7603E"/>
    <w:rsid w:val="00B77CFE"/>
    <w:rsid w:val="00B822D8"/>
    <w:rsid w:val="00B82C48"/>
    <w:rsid w:val="00B8554A"/>
    <w:rsid w:val="00B86903"/>
    <w:rsid w:val="00B8784E"/>
    <w:rsid w:val="00B917F3"/>
    <w:rsid w:val="00B94248"/>
    <w:rsid w:val="00B968E7"/>
    <w:rsid w:val="00BA090E"/>
    <w:rsid w:val="00BA0E46"/>
    <w:rsid w:val="00BA65C9"/>
    <w:rsid w:val="00BA74B8"/>
    <w:rsid w:val="00BA7652"/>
    <w:rsid w:val="00BB0A47"/>
    <w:rsid w:val="00BB1101"/>
    <w:rsid w:val="00BB171E"/>
    <w:rsid w:val="00BB1737"/>
    <w:rsid w:val="00BB1955"/>
    <w:rsid w:val="00BB1F89"/>
    <w:rsid w:val="00BB3CE4"/>
    <w:rsid w:val="00BB7EAE"/>
    <w:rsid w:val="00BC15F0"/>
    <w:rsid w:val="00BC61A5"/>
    <w:rsid w:val="00BC73EE"/>
    <w:rsid w:val="00BD0554"/>
    <w:rsid w:val="00BD1720"/>
    <w:rsid w:val="00BD20EC"/>
    <w:rsid w:val="00BD4D34"/>
    <w:rsid w:val="00BD4DCA"/>
    <w:rsid w:val="00BD4E5B"/>
    <w:rsid w:val="00BE09F5"/>
    <w:rsid w:val="00BE0C8E"/>
    <w:rsid w:val="00BE2689"/>
    <w:rsid w:val="00BE33FC"/>
    <w:rsid w:val="00BE50E2"/>
    <w:rsid w:val="00BE7C30"/>
    <w:rsid w:val="00BF0D02"/>
    <w:rsid w:val="00BF561B"/>
    <w:rsid w:val="00BF56D5"/>
    <w:rsid w:val="00BF596E"/>
    <w:rsid w:val="00BF5F88"/>
    <w:rsid w:val="00C013EB"/>
    <w:rsid w:val="00C01E21"/>
    <w:rsid w:val="00C032CB"/>
    <w:rsid w:val="00C03E43"/>
    <w:rsid w:val="00C0416D"/>
    <w:rsid w:val="00C051DC"/>
    <w:rsid w:val="00C05EB1"/>
    <w:rsid w:val="00C0656D"/>
    <w:rsid w:val="00C122A5"/>
    <w:rsid w:val="00C128D2"/>
    <w:rsid w:val="00C12C26"/>
    <w:rsid w:val="00C14BA4"/>
    <w:rsid w:val="00C156F5"/>
    <w:rsid w:val="00C1654C"/>
    <w:rsid w:val="00C203F1"/>
    <w:rsid w:val="00C20992"/>
    <w:rsid w:val="00C25794"/>
    <w:rsid w:val="00C30F1D"/>
    <w:rsid w:val="00C351BB"/>
    <w:rsid w:val="00C376D8"/>
    <w:rsid w:val="00C42299"/>
    <w:rsid w:val="00C435EB"/>
    <w:rsid w:val="00C50658"/>
    <w:rsid w:val="00C507AC"/>
    <w:rsid w:val="00C50FBB"/>
    <w:rsid w:val="00C51828"/>
    <w:rsid w:val="00C51B9C"/>
    <w:rsid w:val="00C525CE"/>
    <w:rsid w:val="00C53413"/>
    <w:rsid w:val="00C53788"/>
    <w:rsid w:val="00C55FD7"/>
    <w:rsid w:val="00C57320"/>
    <w:rsid w:val="00C60050"/>
    <w:rsid w:val="00C60531"/>
    <w:rsid w:val="00C60891"/>
    <w:rsid w:val="00C608D3"/>
    <w:rsid w:val="00C61A04"/>
    <w:rsid w:val="00C62CDA"/>
    <w:rsid w:val="00C6416D"/>
    <w:rsid w:val="00C641E5"/>
    <w:rsid w:val="00C64834"/>
    <w:rsid w:val="00C66F67"/>
    <w:rsid w:val="00C73455"/>
    <w:rsid w:val="00C73BB1"/>
    <w:rsid w:val="00C82613"/>
    <w:rsid w:val="00C826F1"/>
    <w:rsid w:val="00C83170"/>
    <w:rsid w:val="00C8380C"/>
    <w:rsid w:val="00C853D1"/>
    <w:rsid w:val="00C871F3"/>
    <w:rsid w:val="00C90A39"/>
    <w:rsid w:val="00C916C8"/>
    <w:rsid w:val="00C926B5"/>
    <w:rsid w:val="00C9302C"/>
    <w:rsid w:val="00C931A6"/>
    <w:rsid w:val="00C94312"/>
    <w:rsid w:val="00C97483"/>
    <w:rsid w:val="00C978C2"/>
    <w:rsid w:val="00C97DE0"/>
    <w:rsid w:val="00CA0B0D"/>
    <w:rsid w:val="00CA0D50"/>
    <w:rsid w:val="00CA1ACB"/>
    <w:rsid w:val="00CA3660"/>
    <w:rsid w:val="00CA420C"/>
    <w:rsid w:val="00CA4A7E"/>
    <w:rsid w:val="00CA51BE"/>
    <w:rsid w:val="00CA5AB1"/>
    <w:rsid w:val="00CA72CA"/>
    <w:rsid w:val="00CB02CE"/>
    <w:rsid w:val="00CB3479"/>
    <w:rsid w:val="00CB57D1"/>
    <w:rsid w:val="00CB5E74"/>
    <w:rsid w:val="00CB623B"/>
    <w:rsid w:val="00CB6553"/>
    <w:rsid w:val="00CB71D1"/>
    <w:rsid w:val="00CC0D96"/>
    <w:rsid w:val="00CC225A"/>
    <w:rsid w:val="00CC4207"/>
    <w:rsid w:val="00CC4753"/>
    <w:rsid w:val="00CC48AD"/>
    <w:rsid w:val="00CC6FD8"/>
    <w:rsid w:val="00CC770D"/>
    <w:rsid w:val="00CD014C"/>
    <w:rsid w:val="00CD1737"/>
    <w:rsid w:val="00CD33F8"/>
    <w:rsid w:val="00CD3970"/>
    <w:rsid w:val="00CE0E67"/>
    <w:rsid w:val="00CE25C9"/>
    <w:rsid w:val="00CE455D"/>
    <w:rsid w:val="00CE583F"/>
    <w:rsid w:val="00CE5AF3"/>
    <w:rsid w:val="00CE5C54"/>
    <w:rsid w:val="00CE71E8"/>
    <w:rsid w:val="00CF1056"/>
    <w:rsid w:val="00CF11DC"/>
    <w:rsid w:val="00CF26FD"/>
    <w:rsid w:val="00CF6CCC"/>
    <w:rsid w:val="00CF797A"/>
    <w:rsid w:val="00D07A19"/>
    <w:rsid w:val="00D07D02"/>
    <w:rsid w:val="00D11C58"/>
    <w:rsid w:val="00D11F76"/>
    <w:rsid w:val="00D1498A"/>
    <w:rsid w:val="00D204B5"/>
    <w:rsid w:val="00D20D81"/>
    <w:rsid w:val="00D21F1D"/>
    <w:rsid w:val="00D24C91"/>
    <w:rsid w:val="00D24F3A"/>
    <w:rsid w:val="00D260DD"/>
    <w:rsid w:val="00D270AE"/>
    <w:rsid w:val="00D274BD"/>
    <w:rsid w:val="00D27530"/>
    <w:rsid w:val="00D30816"/>
    <w:rsid w:val="00D30FA5"/>
    <w:rsid w:val="00D3101F"/>
    <w:rsid w:val="00D35F1C"/>
    <w:rsid w:val="00D36BEA"/>
    <w:rsid w:val="00D377D0"/>
    <w:rsid w:val="00D42970"/>
    <w:rsid w:val="00D42F73"/>
    <w:rsid w:val="00D43CC4"/>
    <w:rsid w:val="00D44B56"/>
    <w:rsid w:val="00D44C8A"/>
    <w:rsid w:val="00D45029"/>
    <w:rsid w:val="00D46240"/>
    <w:rsid w:val="00D466D2"/>
    <w:rsid w:val="00D5206C"/>
    <w:rsid w:val="00D53655"/>
    <w:rsid w:val="00D5436C"/>
    <w:rsid w:val="00D544E4"/>
    <w:rsid w:val="00D56CB0"/>
    <w:rsid w:val="00D60906"/>
    <w:rsid w:val="00D6349C"/>
    <w:rsid w:val="00D65273"/>
    <w:rsid w:val="00D663BB"/>
    <w:rsid w:val="00D66C1B"/>
    <w:rsid w:val="00D7111C"/>
    <w:rsid w:val="00D76794"/>
    <w:rsid w:val="00D77040"/>
    <w:rsid w:val="00D77CCB"/>
    <w:rsid w:val="00D77DA0"/>
    <w:rsid w:val="00D8139E"/>
    <w:rsid w:val="00D920B4"/>
    <w:rsid w:val="00D94D2A"/>
    <w:rsid w:val="00D9591D"/>
    <w:rsid w:val="00D97E1B"/>
    <w:rsid w:val="00DA3010"/>
    <w:rsid w:val="00DA3792"/>
    <w:rsid w:val="00DA4CF4"/>
    <w:rsid w:val="00DB1AA4"/>
    <w:rsid w:val="00DB37BB"/>
    <w:rsid w:val="00DB5909"/>
    <w:rsid w:val="00DB7AA8"/>
    <w:rsid w:val="00DC3C0A"/>
    <w:rsid w:val="00DC5A40"/>
    <w:rsid w:val="00DC5FED"/>
    <w:rsid w:val="00DC6137"/>
    <w:rsid w:val="00DD20B7"/>
    <w:rsid w:val="00DD30EE"/>
    <w:rsid w:val="00DD3D8B"/>
    <w:rsid w:val="00DD4A50"/>
    <w:rsid w:val="00DD522D"/>
    <w:rsid w:val="00DE0371"/>
    <w:rsid w:val="00DE11CB"/>
    <w:rsid w:val="00DE3053"/>
    <w:rsid w:val="00DE36B9"/>
    <w:rsid w:val="00DE3AEA"/>
    <w:rsid w:val="00DE480E"/>
    <w:rsid w:val="00DE4BEF"/>
    <w:rsid w:val="00DE5F1E"/>
    <w:rsid w:val="00DF5038"/>
    <w:rsid w:val="00DF6684"/>
    <w:rsid w:val="00DF6A44"/>
    <w:rsid w:val="00E030A8"/>
    <w:rsid w:val="00E0582D"/>
    <w:rsid w:val="00E0596A"/>
    <w:rsid w:val="00E05B25"/>
    <w:rsid w:val="00E05C91"/>
    <w:rsid w:val="00E06189"/>
    <w:rsid w:val="00E07D14"/>
    <w:rsid w:val="00E10099"/>
    <w:rsid w:val="00E10E65"/>
    <w:rsid w:val="00E11058"/>
    <w:rsid w:val="00E123DA"/>
    <w:rsid w:val="00E13FB6"/>
    <w:rsid w:val="00E20636"/>
    <w:rsid w:val="00E20FBC"/>
    <w:rsid w:val="00E23AC9"/>
    <w:rsid w:val="00E26B15"/>
    <w:rsid w:val="00E2790A"/>
    <w:rsid w:val="00E31E80"/>
    <w:rsid w:val="00E321E8"/>
    <w:rsid w:val="00E340AF"/>
    <w:rsid w:val="00E34349"/>
    <w:rsid w:val="00E347CE"/>
    <w:rsid w:val="00E34A7E"/>
    <w:rsid w:val="00E4123D"/>
    <w:rsid w:val="00E41CA6"/>
    <w:rsid w:val="00E4229D"/>
    <w:rsid w:val="00E4266C"/>
    <w:rsid w:val="00E43203"/>
    <w:rsid w:val="00E433D4"/>
    <w:rsid w:val="00E434D9"/>
    <w:rsid w:val="00E4587C"/>
    <w:rsid w:val="00E47249"/>
    <w:rsid w:val="00E47905"/>
    <w:rsid w:val="00E50ECD"/>
    <w:rsid w:val="00E54EE1"/>
    <w:rsid w:val="00E5557E"/>
    <w:rsid w:val="00E574F9"/>
    <w:rsid w:val="00E57FC1"/>
    <w:rsid w:val="00E61380"/>
    <w:rsid w:val="00E62B10"/>
    <w:rsid w:val="00E63B23"/>
    <w:rsid w:val="00E64730"/>
    <w:rsid w:val="00E64CD1"/>
    <w:rsid w:val="00E7093B"/>
    <w:rsid w:val="00E73D4C"/>
    <w:rsid w:val="00E754DF"/>
    <w:rsid w:val="00E75510"/>
    <w:rsid w:val="00E75F27"/>
    <w:rsid w:val="00E763F7"/>
    <w:rsid w:val="00E7675B"/>
    <w:rsid w:val="00E801C2"/>
    <w:rsid w:val="00E82D03"/>
    <w:rsid w:val="00E82EE1"/>
    <w:rsid w:val="00E836D4"/>
    <w:rsid w:val="00E84E98"/>
    <w:rsid w:val="00E911A3"/>
    <w:rsid w:val="00E91A42"/>
    <w:rsid w:val="00E91F78"/>
    <w:rsid w:val="00E92003"/>
    <w:rsid w:val="00E92B07"/>
    <w:rsid w:val="00E9566A"/>
    <w:rsid w:val="00EA059C"/>
    <w:rsid w:val="00EA0D84"/>
    <w:rsid w:val="00EA5660"/>
    <w:rsid w:val="00EA5EF1"/>
    <w:rsid w:val="00EB06F5"/>
    <w:rsid w:val="00EB1133"/>
    <w:rsid w:val="00EB2A2A"/>
    <w:rsid w:val="00EB3050"/>
    <w:rsid w:val="00EB412A"/>
    <w:rsid w:val="00EB4370"/>
    <w:rsid w:val="00EB497B"/>
    <w:rsid w:val="00EC08BF"/>
    <w:rsid w:val="00EC1019"/>
    <w:rsid w:val="00EC12BB"/>
    <w:rsid w:val="00EC1595"/>
    <w:rsid w:val="00EC1CE7"/>
    <w:rsid w:val="00EC2C9F"/>
    <w:rsid w:val="00EC5050"/>
    <w:rsid w:val="00EC56FA"/>
    <w:rsid w:val="00EC6861"/>
    <w:rsid w:val="00EC6D4E"/>
    <w:rsid w:val="00ED1040"/>
    <w:rsid w:val="00ED2599"/>
    <w:rsid w:val="00EE069C"/>
    <w:rsid w:val="00EE2F31"/>
    <w:rsid w:val="00EE58DC"/>
    <w:rsid w:val="00EE7AD9"/>
    <w:rsid w:val="00EF05F7"/>
    <w:rsid w:val="00EF0B72"/>
    <w:rsid w:val="00EF1980"/>
    <w:rsid w:val="00EF3B0D"/>
    <w:rsid w:val="00EF44AF"/>
    <w:rsid w:val="00EF7763"/>
    <w:rsid w:val="00EF7E51"/>
    <w:rsid w:val="00EF7E95"/>
    <w:rsid w:val="00F01A8F"/>
    <w:rsid w:val="00F064AC"/>
    <w:rsid w:val="00F075B5"/>
    <w:rsid w:val="00F11067"/>
    <w:rsid w:val="00F11224"/>
    <w:rsid w:val="00F20B47"/>
    <w:rsid w:val="00F21F41"/>
    <w:rsid w:val="00F23723"/>
    <w:rsid w:val="00F24F86"/>
    <w:rsid w:val="00F310BC"/>
    <w:rsid w:val="00F31A85"/>
    <w:rsid w:val="00F32800"/>
    <w:rsid w:val="00F358D8"/>
    <w:rsid w:val="00F35B0C"/>
    <w:rsid w:val="00F4122E"/>
    <w:rsid w:val="00F420F2"/>
    <w:rsid w:val="00F44F9C"/>
    <w:rsid w:val="00F45020"/>
    <w:rsid w:val="00F54037"/>
    <w:rsid w:val="00F548FB"/>
    <w:rsid w:val="00F56710"/>
    <w:rsid w:val="00F567EE"/>
    <w:rsid w:val="00F57220"/>
    <w:rsid w:val="00F60342"/>
    <w:rsid w:val="00F618F9"/>
    <w:rsid w:val="00F62D64"/>
    <w:rsid w:val="00F6498B"/>
    <w:rsid w:val="00F65173"/>
    <w:rsid w:val="00F6594A"/>
    <w:rsid w:val="00F709C6"/>
    <w:rsid w:val="00F73238"/>
    <w:rsid w:val="00F7430D"/>
    <w:rsid w:val="00F75306"/>
    <w:rsid w:val="00F757AC"/>
    <w:rsid w:val="00F7697C"/>
    <w:rsid w:val="00F80C9A"/>
    <w:rsid w:val="00F80F9D"/>
    <w:rsid w:val="00F8298A"/>
    <w:rsid w:val="00F82F80"/>
    <w:rsid w:val="00F858B3"/>
    <w:rsid w:val="00F875BA"/>
    <w:rsid w:val="00F90506"/>
    <w:rsid w:val="00F908E9"/>
    <w:rsid w:val="00F913CB"/>
    <w:rsid w:val="00F92681"/>
    <w:rsid w:val="00F939F0"/>
    <w:rsid w:val="00F965D2"/>
    <w:rsid w:val="00FA18D1"/>
    <w:rsid w:val="00FA1C72"/>
    <w:rsid w:val="00FA3D18"/>
    <w:rsid w:val="00FA7F8E"/>
    <w:rsid w:val="00FB1289"/>
    <w:rsid w:val="00FB1B5A"/>
    <w:rsid w:val="00FB1CDD"/>
    <w:rsid w:val="00FB231E"/>
    <w:rsid w:val="00FB46E5"/>
    <w:rsid w:val="00FB5E97"/>
    <w:rsid w:val="00FB66F4"/>
    <w:rsid w:val="00FC00A2"/>
    <w:rsid w:val="00FC00BF"/>
    <w:rsid w:val="00FC52F3"/>
    <w:rsid w:val="00FD026D"/>
    <w:rsid w:val="00FD1EF9"/>
    <w:rsid w:val="00FD2106"/>
    <w:rsid w:val="00FD326D"/>
    <w:rsid w:val="00FD3C6A"/>
    <w:rsid w:val="00FD5605"/>
    <w:rsid w:val="00FD7D4C"/>
    <w:rsid w:val="00FE3CC0"/>
    <w:rsid w:val="00FE4AC8"/>
    <w:rsid w:val="00FE577F"/>
    <w:rsid w:val="00FE5A59"/>
    <w:rsid w:val="00FE6463"/>
    <w:rsid w:val="00FF04D8"/>
    <w:rsid w:val="00FF11DB"/>
    <w:rsid w:val="00FF1D5F"/>
    <w:rsid w:val="00FF2AFB"/>
    <w:rsid w:val="00FF4F5B"/>
    <w:rsid w:val="00FF56D7"/>
    <w:rsid w:val="00FF5D66"/>
    <w:rsid w:val="00FF60C1"/>
    <w:rsid w:val="00FF72E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3719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3EEA"/>
    <w:pPr>
      <w:spacing w:after="160" w:line="360" w:lineRule="auto"/>
    </w:pPr>
    <w:rPr>
      <w:rFonts w:ascii="Calibri" w:eastAsia="Times New Roman" w:hAnsi="Calibri" w:cs="Times New Roman"/>
      <w:szCs w:val="18"/>
      <w:lang w:eastAsia="en-NZ"/>
    </w:rPr>
  </w:style>
  <w:style w:type="paragraph" w:styleId="Heading1">
    <w:name w:val="heading 1"/>
    <w:basedOn w:val="Normal"/>
    <w:next w:val="Normal"/>
    <w:link w:val="Heading1Char"/>
    <w:uiPriority w:val="9"/>
    <w:qFormat/>
    <w:rsid w:val="00421F6B"/>
    <w:pPr>
      <w:keepNext/>
      <w:numPr>
        <w:numId w:val="1"/>
      </w:numPr>
      <w:spacing w:after="400" w:line="360" w:lineRule="exact"/>
      <w:outlineLvl w:val="0"/>
    </w:pPr>
    <w:rPr>
      <w:rFonts w:cs="Arial"/>
      <w:b/>
      <w:smallCaps/>
      <w:color w:val="006E95"/>
      <w:spacing w:val="20"/>
      <w:kern w:val="28"/>
      <w:sz w:val="32"/>
      <w:szCs w:val="28"/>
    </w:rPr>
  </w:style>
  <w:style w:type="paragraph" w:styleId="Heading2">
    <w:name w:val="heading 2"/>
    <w:basedOn w:val="Normal"/>
    <w:next w:val="Normal"/>
    <w:link w:val="Heading2Char"/>
    <w:uiPriority w:val="9"/>
    <w:qFormat/>
    <w:rsid w:val="00644EA5"/>
    <w:pPr>
      <w:keepNext/>
      <w:numPr>
        <w:ilvl w:val="1"/>
        <w:numId w:val="1"/>
      </w:numPr>
      <w:spacing w:before="360" w:after="180" w:line="300" w:lineRule="exact"/>
      <w:outlineLvl w:val="1"/>
    </w:pPr>
    <w:rPr>
      <w:rFonts w:eastAsia="Calibri" w:cs="Arial"/>
      <w:b/>
      <w:smallCaps/>
      <w:color w:val="006E95"/>
      <w:spacing w:val="20"/>
      <w:sz w:val="26"/>
      <w:szCs w:val="22"/>
    </w:rPr>
  </w:style>
  <w:style w:type="paragraph" w:styleId="Heading3">
    <w:name w:val="heading 3"/>
    <w:basedOn w:val="Normal"/>
    <w:next w:val="Normal"/>
    <w:link w:val="Heading3Char"/>
    <w:qFormat/>
    <w:rsid w:val="00247AA9"/>
    <w:pPr>
      <w:keepNext/>
      <w:numPr>
        <w:ilvl w:val="2"/>
        <w:numId w:val="1"/>
      </w:numPr>
      <w:pBdr>
        <w:top w:val="single" w:sz="4" w:space="0" w:color="D8D9DA"/>
        <w:bottom w:val="single" w:sz="4" w:space="1" w:color="D8D9DA"/>
      </w:pBdr>
      <w:spacing w:before="200" w:after="80" w:line="260" w:lineRule="exact"/>
      <w:outlineLvl w:val="2"/>
    </w:pPr>
    <w:rPr>
      <w:rFonts w:cs="Arial"/>
      <w:color w:val="5F5F5F"/>
      <w:sz w:val="24"/>
      <w:szCs w:val="21"/>
    </w:rPr>
  </w:style>
  <w:style w:type="paragraph" w:styleId="Heading4">
    <w:name w:val="heading 4"/>
    <w:basedOn w:val="Normal"/>
    <w:next w:val="Normal"/>
    <w:link w:val="Heading4Char"/>
    <w:uiPriority w:val="9"/>
    <w:unhideWhenUsed/>
    <w:qFormat/>
    <w:rsid w:val="00592AFE"/>
    <w:pPr>
      <w:keepNext/>
      <w:keepLines/>
      <w:spacing w:before="40" w:after="0"/>
      <w:outlineLvl w:val="3"/>
    </w:pPr>
    <w:rPr>
      <w:rFonts w:asciiTheme="minorHAnsi" w:eastAsiaTheme="majorEastAsia" w:hAnsiTheme="minorHAnsi" w:cstheme="majorBidi"/>
      <w:i/>
      <w:iCs/>
      <w:color w:val="548DD4" w:themeColor="text2" w:themeTint="99"/>
      <w:lang w:eastAsia="en-US"/>
    </w:rPr>
  </w:style>
  <w:style w:type="paragraph" w:styleId="Heading5">
    <w:name w:val="heading 5"/>
    <w:basedOn w:val="Normal"/>
    <w:next w:val="Normal"/>
    <w:link w:val="Heading5Char"/>
    <w:uiPriority w:val="9"/>
    <w:unhideWhenUsed/>
    <w:qFormat/>
    <w:rsid w:val="005577F4"/>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9">
    <w:name w:val="heading 9"/>
    <w:basedOn w:val="Normal"/>
    <w:next w:val="Normal"/>
    <w:link w:val="Heading9Char"/>
    <w:uiPriority w:val="99"/>
    <w:qFormat/>
    <w:rsid w:val="00277B33"/>
    <w:pPr>
      <w:numPr>
        <w:numId w:val="2"/>
      </w:numPr>
      <w:tabs>
        <w:tab w:val="clear" w:pos="900"/>
        <w:tab w:val="num" w:pos="1584"/>
      </w:tabs>
      <w:spacing w:before="240" w:after="60"/>
      <w:ind w:left="1584" w:hanging="1584"/>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1F6B"/>
    <w:rPr>
      <w:rFonts w:ascii="Calibri" w:eastAsia="Times New Roman" w:hAnsi="Calibri" w:cs="Arial"/>
      <w:b/>
      <w:smallCaps/>
      <w:color w:val="006E95"/>
      <w:spacing w:val="20"/>
      <w:kern w:val="28"/>
      <w:sz w:val="32"/>
      <w:szCs w:val="28"/>
      <w:lang w:eastAsia="en-NZ"/>
    </w:rPr>
  </w:style>
  <w:style w:type="character" w:customStyle="1" w:styleId="Heading2Char">
    <w:name w:val="Heading 2 Char"/>
    <w:basedOn w:val="DefaultParagraphFont"/>
    <w:link w:val="Heading2"/>
    <w:rsid w:val="00644EA5"/>
    <w:rPr>
      <w:rFonts w:ascii="Calibri" w:eastAsia="Calibri" w:hAnsi="Calibri" w:cs="Arial"/>
      <w:b/>
      <w:smallCaps/>
      <w:color w:val="006E95"/>
      <w:spacing w:val="20"/>
      <w:sz w:val="26"/>
      <w:lang w:eastAsia="en-NZ"/>
    </w:rPr>
  </w:style>
  <w:style w:type="character" w:customStyle="1" w:styleId="Heading3Char">
    <w:name w:val="Heading 3 Char"/>
    <w:basedOn w:val="DefaultParagraphFont"/>
    <w:link w:val="Heading3"/>
    <w:rsid w:val="00247AA9"/>
    <w:rPr>
      <w:rFonts w:ascii="Calibri" w:eastAsia="Times New Roman" w:hAnsi="Calibri" w:cs="Arial"/>
      <w:color w:val="5F5F5F"/>
      <w:sz w:val="24"/>
      <w:szCs w:val="21"/>
      <w:lang w:eastAsia="en-NZ"/>
    </w:rPr>
  </w:style>
  <w:style w:type="paragraph" w:styleId="ListParagraph">
    <w:name w:val="List Paragraph"/>
    <w:basedOn w:val="Normal"/>
    <w:link w:val="ListParagraphChar"/>
    <w:uiPriority w:val="34"/>
    <w:qFormat/>
    <w:rsid w:val="00421F6B"/>
    <w:pPr>
      <w:contextualSpacing/>
    </w:pPr>
  </w:style>
  <w:style w:type="paragraph" w:styleId="TOCHeading">
    <w:name w:val="TOC Heading"/>
    <w:basedOn w:val="Heading1"/>
    <w:next w:val="Normal"/>
    <w:uiPriority w:val="39"/>
    <w:qFormat/>
    <w:rsid w:val="00421F6B"/>
    <w:pPr>
      <w:keepLines/>
      <w:numPr>
        <w:numId w:val="0"/>
      </w:numPr>
      <w:spacing w:before="480" w:after="0" w:line="276" w:lineRule="auto"/>
      <w:outlineLvl w:val="9"/>
    </w:pPr>
    <w:rPr>
      <w:rFonts w:cs="Calibri"/>
      <w:b w:val="0"/>
      <w:bCs/>
      <w:spacing w:val="0"/>
      <w:kern w:val="0"/>
      <w:lang w:val="en-US" w:eastAsia="en-US"/>
    </w:rPr>
  </w:style>
  <w:style w:type="paragraph" w:styleId="TOC1">
    <w:name w:val="toc 1"/>
    <w:basedOn w:val="Normal"/>
    <w:next w:val="Normal"/>
    <w:autoRedefine/>
    <w:uiPriority w:val="39"/>
    <w:rsid w:val="00421F6B"/>
    <w:pPr>
      <w:spacing w:before="120"/>
    </w:pPr>
    <w:rPr>
      <w:rFonts w:cs="Calibri"/>
      <w:b/>
      <w:bCs/>
      <w:caps/>
      <w:szCs w:val="20"/>
    </w:rPr>
  </w:style>
  <w:style w:type="paragraph" w:styleId="TOC2">
    <w:name w:val="toc 2"/>
    <w:basedOn w:val="Normal"/>
    <w:next w:val="Normal"/>
    <w:autoRedefine/>
    <w:uiPriority w:val="39"/>
    <w:rsid w:val="00421F6B"/>
    <w:pPr>
      <w:spacing w:after="0"/>
      <w:ind w:left="180"/>
    </w:pPr>
    <w:rPr>
      <w:rFonts w:cs="Calibri"/>
      <w:smallCaps/>
      <w:szCs w:val="20"/>
    </w:rPr>
  </w:style>
  <w:style w:type="character" w:styleId="Hyperlink">
    <w:name w:val="Hyperlink"/>
    <w:uiPriority w:val="99"/>
    <w:rsid w:val="00421F6B"/>
    <w:rPr>
      <w:rFonts w:cs="Times New Roman"/>
      <w:color w:val="0000FF"/>
      <w:u w:val="single"/>
    </w:rPr>
  </w:style>
  <w:style w:type="paragraph" w:styleId="Footer">
    <w:name w:val="footer"/>
    <w:basedOn w:val="Normal"/>
    <w:link w:val="FooterChar"/>
    <w:uiPriority w:val="99"/>
    <w:rsid w:val="00421F6B"/>
    <w:pPr>
      <w:tabs>
        <w:tab w:val="center" w:pos="4513"/>
        <w:tab w:val="right" w:pos="9026"/>
      </w:tabs>
    </w:pPr>
  </w:style>
  <w:style w:type="character" w:customStyle="1" w:styleId="FooterChar">
    <w:name w:val="Footer Char"/>
    <w:basedOn w:val="DefaultParagraphFont"/>
    <w:link w:val="Footer"/>
    <w:uiPriority w:val="99"/>
    <w:rsid w:val="00421F6B"/>
    <w:rPr>
      <w:rFonts w:ascii="Calibri" w:eastAsia="Times New Roman" w:hAnsi="Calibri" w:cs="Times New Roman"/>
      <w:szCs w:val="18"/>
      <w:lang w:eastAsia="en-NZ"/>
    </w:rPr>
  </w:style>
  <w:style w:type="character" w:customStyle="1" w:styleId="ListParagraphChar">
    <w:name w:val="List Paragraph Char"/>
    <w:link w:val="ListParagraph"/>
    <w:uiPriority w:val="34"/>
    <w:rsid w:val="00421F6B"/>
    <w:rPr>
      <w:rFonts w:ascii="Calibri" w:eastAsia="Times New Roman" w:hAnsi="Calibri" w:cs="Times New Roman"/>
      <w:szCs w:val="18"/>
      <w:lang w:eastAsia="en-NZ"/>
    </w:rPr>
  </w:style>
  <w:style w:type="character" w:customStyle="1" w:styleId="Heading9Char">
    <w:name w:val="Heading 9 Char"/>
    <w:basedOn w:val="DefaultParagraphFont"/>
    <w:link w:val="Heading9"/>
    <w:uiPriority w:val="99"/>
    <w:rsid w:val="00277B33"/>
    <w:rPr>
      <w:rFonts w:ascii="Arial" w:eastAsia="Times New Roman" w:hAnsi="Arial" w:cs="Arial"/>
      <w:lang w:eastAsia="en-NZ"/>
    </w:rPr>
  </w:style>
  <w:style w:type="paragraph" w:styleId="Caption">
    <w:name w:val="caption"/>
    <w:basedOn w:val="Normal"/>
    <w:next w:val="Normal"/>
    <w:uiPriority w:val="99"/>
    <w:qFormat/>
    <w:rsid w:val="00E06189"/>
    <w:pPr>
      <w:spacing w:after="0"/>
    </w:pPr>
    <w:rPr>
      <w:rFonts w:asciiTheme="minorHAnsi" w:hAnsiTheme="minorHAnsi"/>
      <w:b/>
      <w:bCs/>
    </w:rPr>
  </w:style>
  <w:style w:type="paragraph" w:styleId="Quote">
    <w:name w:val="Quote"/>
    <w:basedOn w:val="Normal"/>
    <w:next w:val="Normal"/>
    <w:link w:val="QuoteChar"/>
    <w:uiPriority w:val="29"/>
    <w:qFormat/>
    <w:rsid w:val="00E06189"/>
    <w:pPr>
      <w:spacing w:after="0"/>
      <w:ind w:left="720"/>
    </w:pPr>
    <w:rPr>
      <w:rFonts w:asciiTheme="minorHAnsi" w:hAnsiTheme="minorHAnsi"/>
      <w:i/>
      <w:iCs/>
      <w:color w:val="000000"/>
      <w:lang w:val="en-US"/>
    </w:rPr>
  </w:style>
  <w:style w:type="character" w:customStyle="1" w:styleId="QuoteChar">
    <w:name w:val="Quote Char"/>
    <w:basedOn w:val="DefaultParagraphFont"/>
    <w:link w:val="Quote"/>
    <w:uiPriority w:val="29"/>
    <w:rsid w:val="00E06189"/>
    <w:rPr>
      <w:rFonts w:eastAsia="Times New Roman" w:cs="Times New Roman"/>
      <w:i/>
      <w:iCs/>
      <w:color w:val="000000"/>
      <w:szCs w:val="18"/>
      <w:lang w:val="en-US" w:eastAsia="en-NZ"/>
    </w:rPr>
  </w:style>
  <w:style w:type="character" w:styleId="Strong">
    <w:name w:val="Strong"/>
    <w:basedOn w:val="DefaultParagraphFont"/>
    <w:qFormat/>
    <w:rsid w:val="00E06189"/>
    <w:rPr>
      <w:b/>
      <w:bCs/>
    </w:rPr>
  </w:style>
  <w:style w:type="paragraph" w:styleId="BalloonText">
    <w:name w:val="Balloon Text"/>
    <w:basedOn w:val="Normal"/>
    <w:link w:val="BalloonTextChar"/>
    <w:uiPriority w:val="99"/>
    <w:semiHidden/>
    <w:unhideWhenUsed/>
    <w:rsid w:val="00E061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6189"/>
    <w:rPr>
      <w:rFonts w:ascii="Tahoma" w:eastAsia="Times New Roman" w:hAnsi="Tahoma" w:cs="Tahoma"/>
      <w:sz w:val="16"/>
      <w:szCs w:val="16"/>
      <w:lang w:eastAsia="en-NZ"/>
    </w:rPr>
  </w:style>
  <w:style w:type="paragraph" w:styleId="NormalWeb">
    <w:name w:val="Normal (Web)"/>
    <w:basedOn w:val="Normal"/>
    <w:uiPriority w:val="99"/>
    <w:semiHidden/>
    <w:unhideWhenUsed/>
    <w:rsid w:val="00CD33F8"/>
    <w:pPr>
      <w:spacing w:before="100" w:beforeAutospacing="1" w:after="100" w:afterAutospacing="1" w:line="240" w:lineRule="auto"/>
    </w:pPr>
    <w:rPr>
      <w:rFonts w:ascii="Times New Roman" w:hAnsi="Times New Roman"/>
      <w:sz w:val="24"/>
      <w:szCs w:val="24"/>
    </w:rPr>
  </w:style>
  <w:style w:type="paragraph" w:styleId="FootnoteText">
    <w:name w:val="footnote text"/>
    <w:basedOn w:val="Normal"/>
    <w:link w:val="FootnoteTextChar"/>
    <w:uiPriority w:val="99"/>
    <w:semiHidden/>
    <w:unhideWhenUsed/>
    <w:rsid w:val="008E5DC3"/>
    <w:pPr>
      <w:spacing w:after="0" w:line="240" w:lineRule="auto"/>
    </w:pPr>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semiHidden/>
    <w:rsid w:val="008E5DC3"/>
    <w:rPr>
      <w:sz w:val="20"/>
      <w:szCs w:val="20"/>
    </w:rPr>
  </w:style>
  <w:style w:type="character" w:styleId="FootnoteReference">
    <w:name w:val="footnote reference"/>
    <w:basedOn w:val="DefaultParagraphFont"/>
    <w:uiPriority w:val="99"/>
    <w:semiHidden/>
    <w:unhideWhenUsed/>
    <w:rsid w:val="008E5DC3"/>
    <w:rPr>
      <w:vertAlign w:val="superscript"/>
    </w:rPr>
  </w:style>
  <w:style w:type="character" w:styleId="CommentReference">
    <w:name w:val="annotation reference"/>
    <w:basedOn w:val="DefaultParagraphFont"/>
    <w:uiPriority w:val="99"/>
    <w:semiHidden/>
    <w:unhideWhenUsed/>
    <w:rsid w:val="008C03EC"/>
    <w:rPr>
      <w:sz w:val="16"/>
      <w:szCs w:val="16"/>
    </w:rPr>
  </w:style>
  <w:style w:type="paragraph" w:styleId="CommentText">
    <w:name w:val="annotation text"/>
    <w:basedOn w:val="Normal"/>
    <w:link w:val="CommentTextChar"/>
    <w:uiPriority w:val="99"/>
    <w:semiHidden/>
    <w:unhideWhenUsed/>
    <w:rsid w:val="008C03EC"/>
    <w:pPr>
      <w:spacing w:line="240" w:lineRule="auto"/>
    </w:pPr>
    <w:rPr>
      <w:sz w:val="20"/>
      <w:szCs w:val="20"/>
    </w:rPr>
  </w:style>
  <w:style w:type="character" w:customStyle="1" w:styleId="CommentTextChar">
    <w:name w:val="Comment Text Char"/>
    <w:basedOn w:val="DefaultParagraphFont"/>
    <w:link w:val="CommentText"/>
    <w:uiPriority w:val="99"/>
    <w:semiHidden/>
    <w:rsid w:val="008C03EC"/>
    <w:rPr>
      <w:rFonts w:ascii="Calibri" w:eastAsia="Times New Roman" w:hAnsi="Calibri" w:cs="Times New Roman"/>
      <w:sz w:val="20"/>
      <w:szCs w:val="20"/>
      <w:lang w:eastAsia="en-NZ"/>
    </w:rPr>
  </w:style>
  <w:style w:type="paragraph" w:styleId="CommentSubject">
    <w:name w:val="annotation subject"/>
    <w:basedOn w:val="CommentText"/>
    <w:next w:val="CommentText"/>
    <w:link w:val="CommentSubjectChar"/>
    <w:uiPriority w:val="99"/>
    <w:semiHidden/>
    <w:unhideWhenUsed/>
    <w:rsid w:val="008C03EC"/>
    <w:rPr>
      <w:b/>
      <w:bCs/>
    </w:rPr>
  </w:style>
  <w:style w:type="character" w:customStyle="1" w:styleId="CommentSubjectChar">
    <w:name w:val="Comment Subject Char"/>
    <w:basedOn w:val="CommentTextChar"/>
    <w:link w:val="CommentSubject"/>
    <w:uiPriority w:val="99"/>
    <w:semiHidden/>
    <w:rsid w:val="008C03EC"/>
    <w:rPr>
      <w:rFonts w:ascii="Calibri" w:eastAsia="Times New Roman" w:hAnsi="Calibri" w:cs="Times New Roman"/>
      <w:b/>
      <w:bCs/>
      <w:sz w:val="20"/>
      <w:szCs w:val="20"/>
      <w:lang w:eastAsia="en-NZ"/>
    </w:rPr>
  </w:style>
  <w:style w:type="paragraph" w:styleId="Revision">
    <w:name w:val="Revision"/>
    <w:hidden/>
    <w:uiPriority w:val="99"/>
    <w:semiHidden/>
    <w:rsid w:val="00257978"/>
    <w:pPr>
      <w:spacing w:after="0" w:line="240" w:lineRule="auto"/>
    </w:pPr>
    <w:rPr>
      <w:rFonts w:ascii="Calibri" w:eastAsia="Times New Roman" w:hAnsi="Calibri" w:cs="Times New Roman"/>
      <w:szCs w:val="18"/>
      <w:lang w:eastAsia="en-NZ"/>
    </w:rPr>
  </w:style>
  <w:style w:type="paragraph" w:styleId="Header">
    <w:name w:val="header"/>
    <w:basedOn w:val="Normal"/>
    <w:link w:val="HeaderChar"/>
    <w:uiPriority w:val="99"/>
    <w:unhideWhenUsed/>
    <w:rsid w:val="009E7F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7F96"/>
    <w:rPr>
      <w:rFonts w:ascii="Calibri" w:eastAsia="Times New Roman" w:hAnsi="Calibri" w:cs="Times New Roman"/>
      <w:szCs w:val="18"/>
      <w:lang w:eastAsia="en-NZ"/>
    </w:rPr>
  </w:style>
  <w:style w:type="paragraph" w:styleId="TableofFigures">
    <w:name w:val="table of figures"/>
    <w:basedOn w:val="Normal"/>
    <w:next w:val="Normal"/>
    <w:uiPriority w:val="99"/>
    <w:unhideWhenUsed/>
    <w:rsid w:val="00A54BD1"/>
    <w:pPr>
      <w:spacing w:after="0"/>
      <w:ind w:left="440" w:hanging="440"/>
    </w:pPr>
    <w:rPr>
      <w:rFonts w:asciiTheme="minorHAnsi" w:hAnsiTheme="minorHAnsi"/>
      <w:smallCaps/>
      <w:sz w:val="20"/>
      <w:szCs w:val="20"/>
    </w:rPr>
  </w:style>
  <w:style w:type="table" w:customStyle="1" w:styleId="GridTable3-Accent51">
    <w:name w:val="Grid Table 3 - Accent 51"/>
    <w:basedOn w:val="TableNormal"/>
    <w:uiPriority w:val="48"/>
    <w:rsid w:val="008E7444"/>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GridTable5Dark-Accent51">
    <w:name w:val="Grid Table 5 Dark - Accent 51"/>
    <w:basedOn w:val="TableNormal"/>
    <w:uiPriority w:val="50"/>
    <w:rsid w:val="00F9050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Title">
    <w:name w:val="Title"/>
    <w:basedOn w:val="Normal"/>
    <w:next w:val="Normal"/>
    <w:link w:val="TitleChar"/>
    <w:uiPriority w:val="10"/>
    <w:qFormat/>
    <w:rsid w:val="003B502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502F"/>
    <w:rPr>
      <w:rFonts w:asciiTheme="majorHAnsi" w:eastAsiaTheme="majorEastAsia" w:hAnsiTheme="majorHAnsi" w:cstheme="majorBidi"/>
      <w:spacing w:val="-10"/>
      <w:kern w:val="28"/>
      <w:sz w:val="56"/>
      <w:szCs w:val="56"/>
      <w:lang w:eastAsia="en-NZ"/>
    </w:rPr>
  </w:style>
  <w:style w:type="table" w:styleId="LightShading-Accent5">
    <w:name w:val="Light Shading Accent 5"/>
    <w:basedOn w:val="TableNormal"/>
    <w:uiPriority w:val="60"/>
    <w:rsid w:val="007539CD"/>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Grid-Accent1">
    <w:name w:val="Light Grid Accent 1"/>
    <w:basedOn w:val="TableNormal"/>
    <w:uiPriority w:val="62"/>
    <w:rsid w:val="007539C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OC3">
    <w:name w:val="toc 3"/>
    <w:basedOn w:val="Normal"/>
    <w:next w:val="Normal"/>
    <w:autoRedefine/>
    <w:uiPriority w:val="39"/>
    <w:unhideWhenUsed/>
    <w:rsid w:val="00D30816"/>
    <w:pPr>
      <w:spacing w:after="100"/>
      <w:ind w:left="440"/>
    </w:pPr>
  </w:style>
  <w:style w:type="table" w:customStyle="1" w:styleId="GridTable4-Accent41">
    <w:name w:val="Grid Table 4 - Accent 41"/>
    <w:basedOn w:val="TableNormal"/>
    <w:uiPriority w:val="49"/>
    <w:rsid w:val="00E434D9"/>
    <w:pPr>
      <w:spacing w:after="0" w:line="240" w:lineRule="auto"/>
    </w:pPr>
    <w:rPr>
      <w:rFonts w:eastAsia="Times New Roman"/>
    </w:rPr>
    <w:tblPr>
      <w:tblStyleRowBandSize w:val="1"/>
      <w:tblStyleColBandSize w:val="1"/>
      <w:tblBorders>
        <w:top w:val="single" w:sz="4" w:space="0" w:color="8CCED7"/>
        <w:left w:val="single" w:sz="4" w:space="0" w:color="8CCED7"/>
        <w:bottom w:val="single" w:sz="4" w:space="0" w:color="8CCED7"/>
        <w:right w:val="single" w:sz="4" w:space="0" w:color="8CCED7"/>
        <w:insideH w:val="single" w:sz="4" w:space="0" w:color="8CCED7"/>
        <w:insideV w:val="single" w:sz="4" w:space="0" w:color="8CCED7"/>
      </w:tblBorders>
    </w:tblPr>
    <w:tblStylePr w:type="firstRow">
      <w:rPr>
        <w:b/>
        <w:bCs/>
        <w:color w:val="FFFFFF"/>
      </w:rPr>
      <w:tblPr/>
      <w:tcPr>
        <w:tcBorders>
          <w:top w:val="single" w:sz="4" w:space="0" w:color="41AEBD"/>
          <w:left w:val="single" w:sz="4" w:space="0" w:color="41AEBD"/>
          <w:bottom w:val="single" w:sz="4" w:space="0" w:color="41AEBD"/>
          <w:right w:val="single" w:sz="4" w:space="0" w:color="41AEBD"/>
          <w:insideH w:val="nil"/>
          <w:insideV w:val="nil"/>
        </w:tcBorders>
        <w:shd w:val="clear" w:color="auto" w:fill="41AEBD"/>
      </w:tcPr>
    </w:tblStylePr>
    <w:tblStylePr w:type="lastRow">
      <w:rPr>
        <w:b/>
        <w:bCs/>
      </w:rPr>
      <w:tblPr/>
      <w:tcPr>
        <w:tcBorders>
          <w:top w:val="double" w:sz="4" w:space="0" w:color="41AEBD"/>
        </w:tcBorders>
      </w:tcPr>
    </w:tblStylePr>
    <w:tblStylePr w:type="firstCol">
      <w:rPr>
        <w:b/>
        <w:bCs/>
      </w:rPr>
    </w:tblStylePr>
    <w:tblStylePr w:type="lastCol">
      <w:rPr>
        <w:b/>
        <w:bCs/>
      </w:rPr>
    </w:tblStylePr>
    <w:tblStylePr w:type="band1Vert">
      <w:tblPr/>
      <w:tcPr>
        <w:shd w:val="clear" w:color="auto" w:fill="D8EEF2"/>
      </w:tcPr>
    </w:tblStylePr>
    <w:tblStylePr w:type="band1Horz">
      <w:tblPr/>
      <w:tcPr>
        <w:shd w:val="clear" w:color="auto" w:fill="D8EEF2"/>
      </w:tcPr>
    </w:tblStylePr>
  </w:style>
  <w:style w:type="table" w:customStyle="1" w:styleId="GridTable4Accent41">
    <w:name w:val="Grid Table 4 Accent 41"/>
    <w:basedOn w:val="TableNormal"/>
    <w:uiPriority w:val="49"/>
    <w:rsid w:val="00E434D9"/>
    <w:pPr>
      <w:spacing w:after="0" w:line="240" w:lineRule="auto"/>
    </w:pPr>
    <w:rPr>
      <w:rFonts w:eastAsia="Times New Roman"/>
    </w:rPr>
    <w:tblPr>
      <w:tblStyleRowBandSize w:val="1"/>
      <w:tblStyleColBandSize w:val="1"/>
      <w:tblBorders>
        <w:top w:val="single" w:sz="4" w:space="0" w:color="8CCED7"/>
        <w:left w:val="single" w:sz="4" w:space="0" w:color="8CCED7"/>
        <w:bottom w:val="single" w:sz="4" w:space="0" w:color="8CCED7"/>
        <w:right w:val="single" w:sz="4" w:space="0" w:color="8CCED7"/>
        <w:insideH w:val="single" w:sz="4" w:space="0" w:color="8CCED7"/>
        <w:insideV w:val="single" w:sz="4" w:space="0" w:color="8CCED7"/>
      </w:tblBorders>
    </w:tblPr>
    <w:tblStylePr w:type="firstRow">
      <w:rPr>
        <w:b/>
        <w:bCs/>
        <w:color w:val="FFFFFF"/>
      </w:rPr>
      <w:tblPr/>
      <w:tcPr>
        <w:tcBorders>
          <w:top w:val="single" w:sz="4" w:space="0" w:color="41AEBD"/>
          <w:left w:val="single" w:sz="4" w:space="0" w:color="41AEBD"/>
          <w:bottom w:val="single" w:sz="4" w:space="0" w:color="41AEBD"/>
          <w:right w:val="single" w:sz="4" w:space="0" w:color="41AEBD"/>
          <w:insideH w:val="nil"/>
          <w:insideV w:val="nil"/>
        </w:tcBorders>
        <w:shd w:val="clear" w:color="auto" w:fill="41AEBD"/>
      </w:tcPr>
    </w:tblStylePr>
    <w:tblStylePr w:type="lastRow">
      <w:rPr>
        <w:b/>
        <w:bCs/>
      </w:rPr>
      <w:tblPr/>
      <w:tcPr>
        <w:tcBorders>
          <w:top w:val="double" w:sz="4" w:space="0" w:color="41AEBD"/>
        </w:tcBorders>
      </w:tcPr>
    </w:tblStylePr>
    <w:tblStylePr w:type="firstCol">
      <w:rPr>
        <w:b/>
        <w:bCs/>
      </w:rPr>
    </w:tblStylePr>
    <w:tblStylePr w:type="lastCol">
      <w:rPr>
        <w:b/>
        <w:bCs/>
      </w:rPr>
    </w:tblStylePr>
    <w:tblStylePr w:type="band1Vert">
      <w:tblPr/>
      <w:tcPr>
        <w:shd w:val="clear" w:color="auto" w:fill="D8EEF2"/>
      </w:tcPr>
    </w:tblStylePr>
    <w:tblStylePr w:type="band1Horz">
      <w:tblPr/>
      <w:tcPr>
        <w:shd w:val="clear" w:color="auto" w:fill="D8EEF2"/>
      </w:tcPr>
    </w:tblStylePr>
  </w:style>
  <w:style w:type="table" w:customStyle="1" w:styleId="GridTable4Accent42">
    <w:name w:val="Grid Table 4 Accent 42"/>
    <w:basedOn w:val="TableNormal"/>
    <w:uiPriority w:val="49"/>
    <w:rsid w:val="000E3667"/>
    <w:pPr>
      <w:spacing w:after="0" w:line="240" w:lineRule="auto"/>
    </w:pPr>
    <w:rPr>
      <w:rFonts w:eastAsia="Times New Roman"/>
    </w:rPr>
    <w:tblPr>
      <w:tblStyleRowBandSize w:val="1"/>
      <w:tblStyleColBandSize w:val="1"/>
      <w:tblBorders>
        <w:top w:val="single" w:sz="4" w:space="0" w:color="8CCED7"/>
        <w:left w:val="single" w:sz="4" w:space="0" w:color="8CCED7"/>
        <w:bottom w:val="single" w:sz="4" w:space="0" w:color="8CCED7"/>
        <w:right w:val="single" w:sz="4" w:space="0" w:color="8CCED7"/>
        <w:insideH w:val="single" w:sz="4" w:space="0" w:color="8CCED7"/>
        <w:insideV w:val="single" w:sz="4" w:space="0" w:color="8CCED7"/>
      </w:tblBorders>
    </w:tblPr>
    <w:tblStylePr w:type="firstRow">
      <w:rPr>
        <w:b/>
        <w:bCs/>
        <w:color w:val="FFFFFF"/>
      </w:rPr>
      <w:tblPr/>
      <w:tcPr>
        <w:tcBorders>
          <w:top w:val="single" w:sz="4" w:space="0" w:color="41AEBD"/>
          <w:left w:val="single" w:sz="4" w:space="0" w:color="41AEBD"/>
          <w:bottom w:val="single" w:sz="4" w:space="0" w:color="41AEBD"/>
          <w:right w:val="single" w:sz="4" w:space="0" w:color="41AEBD"/>
          <w:insideH w:val="nil"/>
          <w:insideV w:val="nil"/>
        </w:tcBorders>
        <w:shd w:val="clear" w:color="auto" w:fill="41AEBD"/>
      </w:tcPr>
    </w:tblStylePr>
    <w:tblStylePr w:type="lastRow">
      <w:rPr>
        <w:b/>
        <w:bCs/>
      </w:rPr>
      <w:tblPr/>
      <w:tcPr>
        <w:tcBorders>
          <w:top w:val="double" w:sz="4" w:space="0" w:color="41AEBD"/>
        </w:tcBorders>
      </w:tcPr>
    </w:tblStylePr>
    <w:tblStylePr w:type="firstCol">
      <w:rPr>
        <w:b/>
        <w:bCs/>
      </w:rPr>
    </w:tblStylePr>
    <w:tblStylePr w:type="lastCol">
      <w:rPr>
        <w:b/>
        <w:bCs/>
      </w:rPr>
    </w:tblStylePr>
    <w:tblStylePr w:type="band1Vert">
      <w:tblPr/>
      <w:tcPr>
        <w:shd w:val="clear" w:color="auto" w:fill="D8EEF2"/>
      </w:tcPr>
    </w:tblStylePr>
    <w:tblStylePr w:type="band1Horz">
      <w:tblPr/>
      <w:tcPr>
        <w:shd w:val="clear" w:color="auto" w:fill="D8EEF2"/>
      </w:tcPr>
    </w:tblStylePr>
  </w:style>
  <w:style w:type="table" w:styleId="LightGrid-Accent5">
    <w:name w:val="Light Grid Accent 5"/>
    <w:basedOn w:val="TableNormal"/>
    <w:uiPriority w:val="62"/>
    <w:rsid w:val="00D663BB"/>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Accent51">
    <w:name w:val="Light Grid - Accent 51"/>
    <w:basedOn w:val="TableNormal"/>
    <w:next w:val="LightGrid-Accent5"/>
    <w:uiPriority w:val="62"/>
    <w:rsid w:val="0092220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GridTable4-Accent42">
    <w:name w:val="Grid Table 4 - Accent 42"/>
    <w:basedOn w:val="TableNormal"/>
    <w:uiPriority w:val="49"/>
    <w:rsid w:val="0056380C"/>
    <w:pPr>
      <w:spacing w:after="0" w:line="240" w:lineRule="auto"/>
    </w:pPr>
    <w:rPr>
      <w:rFonts w:eastAsia="Times New Roman"/>
    </w:rPr>
    <w:tblPr>
      <w:tblStyleRowBandSize w:val="1"/>
      <w:tblStyleColBandSize w:val="1"/>
      <w:tblBorders>
        <w:top w:val="single" w:sz="4" w:space="0" w:color="8CCED7"/>
        <w:left w:val="single" w:sz="4" w:space="0" w:color="8CCED7"/>
        <w:bottom w:val="single" w:sz="4" w:space="0" w:color="8CCED7"/>
        <w:right w:val="single" w:sz="4" w:space="0" w:color="8CCED7"/>
        <w:insideH w:val="single" w:sz="4" w:space="0" w:color="8CCED7"/>
        <w:insideV w:val="single" w:sz="4" w:space="0" w:color="8CCED7"/>
      </w:tblBorders>
    </w:tblPr>
    <w:tblStylePr w:type="firstRow">
      <w:rPr>
        <w:b/>
        <w:bCs/>
        <w:color w:val="FFFFFF"/>
      </w:rPr>
      <w:tblPr/>
      <w:tcPr>
        <w:tcBorders>
          <w:top w:val="single" w:sz="4" w:space="0" w:color="41AEBD"/>
          <w:left w:val="single" w:sz="4" w:space="0" w:color="41AEBD"/>
          <w:bottom w:val="single" w:sz="4" w:space="0" w:color="41AEBD"/>
          <w:right w:val="single" w:sz="4" w:space="0" w:color="41AEBD"/>
          <w:insideH w:val="nil"/>
          <w:insideV w:val="nil"/>
        </w:tcBorders>
        <w:shd w:val="clear" w:color="auto" w:fill="41AEBD"/>
      </w:tcPr>
    </w:tblStylePr>
    <w:tblStylePr w:type="lastRow">
      <w:rPr>
        <w:b/>
        <w:bCs/>
      </w:rPr>
      <w:tblPr/>
      <w:tcPr>
        <w:tcBorders>
          <w:top w:val="double" w:sz="4" w:space="0" w:color="41AEBD"/>
        </w:tcBorders>
      </w:tcPr>
    </w:tblStylePr>
    <w:tblStylePr w:type="firstCol">
      <w:rPr>
        <w:b/>
        <w:bCs/>
      </w:rPr>
    </w:tblStylePr>
    <w:tblStylePr w:type="lastCol">
      <w:rPr>
        <w:b/>
        <w:bCs/>
      </w:rPr>
    </w:tblStylePr>
    <w:tblStylePr w:type="band1Vert">
      <w:tblPr/>
      <w:tcPr>
        <w:shd w:val="clear" w:color="auto" w:fill="D8EEF2"/>
      </w:tcPr>
    </w:tblStylePr>
    <w:tblStylePr w:type="band1Horz">
      <w:tblPr/>
      <w:tcPr>
        <w:shd w:val="clear" w:color="auto" w:fill="D8EEF2"/>
      </w:tcPr>
    </w:tblStylePr>
  </w:style>
  <w:style w:type="table" w:customStyle="1" w:styleId="GridTable4-Accent411">
    <w:name w:val="Grid Table 4 - Accent 411"/>
    <w:basedOn w:val="TableNormal"/>
    <w:uiPriority w:val="49"/>
    <w:rsid w:val="00B47776"/>
    <w:pPr>
      <w:spacing w:after="0" w:line="240" w:lineRule="auto"/>
    </w:pPr>
    <w:rPr>
      <w:rFonts w:eastAsia="Times New Roman"/>
    </w:rPr>
    <w:tblPr>
      <w:tblStyleRowBandSize w:val="1"/>
      <w:tblStyleColBandSize w:val="1"/>
      <w:tblBorders>
        <w:top w:val="single" w:sz="4" w:space="0" w:color="8CCED7"/>
        <w:left w:val="single" w:sz="4" w:space="0" w:color="8CCED7"/>
        <w:bottom w:val="single" w:sz="4" w:space="0" w:color="8CCED7"/>
        <w:right w:val="single" w:sz="4" w:space="0" w:color="8CCED7"/>
        <w:insideH w:val="single" w:sz="4" w:space="0" w:color="8CCED7"/>
        <w:insideV w:val="single" w:sz="4" w:space="0" w:color="8CCED7"/>
      </w:tblBorders>
    </w:tblPr>
    <w:tblStylePr w:type="firstRow">
      <w:rPr>
        <w:b/>
        <w:bCs/>
        <w:color w:val="FFFFFF"/>
      </w:rPr>
      <w:tblPr/>
      <w:tcPr>
        <w:tcBorders>
          <w:top w:val="single" w:sz="4" w:space="0" w:color="41AEBD"/>
          <w:left w:val="single" w:sz="4" w:space="0" w:color="41AEBD"/>
          <w:bottom w:val="single" w:sz="4" w:space="0" w:color="41AEBD"/>
          <w:right w:val="single" w:sz="4" w:space="0" w:color="41AEBD"/>
          <w:insideH w:val="nil"/>
          <w:insideV w:val="nil"/>
        </w:tcBorders>
        <w:shd w:val="clear" w:color="auto" w:fill="41AEBD"/>
      </w:tcPr>
    </w:tblStylePr>
    <w:tblStylePr w:type="lastRow">
      <w:rPr>
        <w:b/>
        <w:bCs/>
      </w:rPr>
      <w:tblPr/>
      <w:tcPr>
        <w:tcBorders>
          <w:top w:val="double" w:sz="4" w:space="0" w:color="41AEBD"/>
        </w:tcBorders>
      </w:tcPr>
    </w:tblStylePr>
    <w:tblStylePr w:type="firstCol">
      <w:rPr>
        <w:b/>
        <w:bCs/>
      </w:rPr>
    </w:tblStylePr>
    <w:tblStylePr w:type="lastCol">
      <w:rPr>
        <w:b/>
        <w:bCs/>
      </w:rPr>
    </w:tblStylePr>
    <w:tblStylePr w:type="band1Vert">
      <w:tblPr/>
      <w:tcPr>
        <w:shd w:val="clear" w:color="auto" w:fill="D8EEF2"/>
      </w:tcPr>
    </w:tblStylePr>
    <w:tblStylePr w:type="band1Horz">
      <w:tblPr/>
      <w:tcPr>
        <w:shd w:val="clear" w:color="auto" w:fill="D8EEF2"/>
      </w:tcPr>
    </w:tblStylePr>
  </w:style>
  <w:style w:type="character" w:customStyle="1" w:styleId="apple-tab-span">
    <w:name w:val="apple-tab-span"/>
    <w:basedOn w:val="DefaultParagraphFont"/>
    <w:rsid w:val="00596C27"/>
  </w:style>
  <w:style w:type="table" w:customStyle="1" w:styleId="GridTable4-Accent43">
    <w:name w:val="Grid Table 4 - Accent 43"/>
    <w:basedOn w:val="TableNormal"/>
    <w:next w:val="GridTable4-Accent44"/>
    <w:uiPriority w:val="49"/>
    <w:rsid w:val="004238F0"/>
    <w:pPr>
      <w:spacing w:after="0" w:line="240" w:lineRule="auto"/>
    </w:pPr>
    <w:rPr>
      <w:rFonts w:eastAsia="Times New Roman"/>
    </w:rPr>
    <w:tblPr>
      <w:tblStyleRowBandSize w:val="1"/>
      <w:tblStyleColBandSize w:val="1"/>
      <w:tblBorders>
        <w:top w:val="single" w:sz="4" w:space="0" w:color="8CCED7"/>
        <w:left w:val="single" w:sz="4" w:space="0" w:color="8CCED7"/>
        <w:bottom w:val="single" w:sz="4" w:space="0" w:color="8CCED7"/>
        <w:right w:val="single" w:sz="4" w:space="0" w:color="8CCED7"/>
        <w:insideH w:val="single" w:sz="4" w:space="0" w:color="8CCED7"/>
        <w:insideV w:val="single" w:sz="4" w:space="0" w:color="8CCED7"/>
      </w:tblBorders>
    </w:tblPr>
    <w:tblStylePr w:type="firstRow">
      <w:rPr>
        <w:b/>
        <w:bCs/>
        <w:color w:val="FFFFFF"/>
      </w:rPr>
      <w:tblPr/>
      <w:tcPr>
        <w:tcBorders>
          <w:top w:val="single" w:sz="4" w:space="0" w:color="41AEBD"/>
          <w:left w:val="single" w:sz="4" w:space="0" w:color="41AEBD"/>
          <w:bottom w:val="single" w:sz="4" w:space="0" w:color="41AEBD"/>
          <w:right w:val="single" w:sz="4" w:space="0" w:color="41AEBD"/>
          <w:insideH w:val="nil"/>
          <w:insideV w:val="nil"/>
        </w:tcBorders>
        <w:shd w:val="clear" w:color="auto" w:fill="41AEBD"/>
      </w:tcPr>
    </w:tblStylePr>
    <w:tblStylePr w:type="lastRow">
      <w:rPr>
        <w:b/>
        <w:bCs/>
      </w:rPr>
      <w:tblPr/>
      <w:tcPr>
        <w:tcBorders>
          <w:top w:val="double" w:sz="4" w:space="0" w:color="41AEBD"/>
        </w:tcBorders>
      </w:tcPr>
    </w:tblStylePr>
    <w:tblStylePr w:type="firstCol">
      <w:rPr>
        <w:b/>
        <w:bCs/>
      </w:rPr>
    </w:tblStylePr>
    <w:tblStylePr w:type="lastCol">
      <w:rPr>
        <w:b/>
        <w:bCs/>
      </w:rPr>
    </w:tblStylePr>
    <w:tblStylePr w:type="band1Vert">
      <w:tblPr/>
      <w:tcPr>
        <w:shd w:val="clear" w:color="auto" w:fill="D8EEF2"/>
      </w:tcPr>
    </w:tblStylePr>
    <w:tblStylePr w:type="band1Horz">
      <w:tblPr/>
      <w:tcPr>
        <w:shd w:val="clear" w:color="auto" w:fill="D8EEF2"/>
      </w:tcPr>
    </w:tblStylePr>
  </w:style>
  <w:style w:type="table" w:customStyle="1" w:styleId="GridTable4-Accent44">
    <w:name w:val="Grid Table 4 - Accent 44"/>
    <w:basedOn w:val="TableNormal"/>
    <w:uiPriority w:val="49"/>
    <w:rsid w:val="004238F0"/>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11">
    <w:name w:val="Grid Table 4 - Accent 11"/>
    <w:basedOn w:val="TableNormal"/>
    <w:uiPriority w:val="49"/>
    <w:rsid w:val="00BB3CE4"/>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51">
    <w:name w:val="Grid Table 4 - Accent 51"/>
    <w:basedOn w:val="TableNormal"/>
    <w:uiPriority w:val="49"/>
    <w:rsid w:val="00877A15"/>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Style1">
    <w:name w:val="Style1"/>
    <w:basedOn w:val="Normal"/>
    <w:link w:val="Style1Char"/>
    <w:qFormat/>
    <w:rsid w:val="00247AA9"/>
    <w:pPr>
      <w:pBdr>
        <w:top w:val="single" w:sz="4" w:space="1" w:color="D8D9DA"/>
        <w:bottom w:val="single" w:sz="4" w:space="1" w:color="D8D9DA"/>
      </w:pBdr>
      <w:spacing w:line="240" w:lineRule="auto"/>
    </w:pPr>
    <w:rPr>
      <w:bCs/>
      <w:color w:val="5F5F5F"/>
      <w:sz w:val="24"/>
    </w:rPr>
  </w:style>
  <w:style w:type="paragraph" w:customStyle="1" w:styleId="Style2">
    <w:name w:val="Style2"/>
    <w:basedOn w:val="Normal"/>
    <w:link w:val="Style2Char"/>
    <w:qFormat/>
    <w:rsid w:val="00247AA9"/>
    <w:rPr>
      <w:b/>
      <w:smallCaps/>
      <w:color w:val="006E95"/>
      <w:sz w:val="26"/>
    </w:rPr>
  </w:style>
  <w:style w:type="character" w:customStyle="1" w:styleId="Style1Char">
    <w:name w:val="Style1 Char"/>
    <w:basedOn w:val="DefaultParagraphFont"/>
    <w:link w:val="Style1"/>
    <w:rsid w:val="00247AA9"/>
    <w:rPr>
      <w:rFonts w:ascii="Calibri" w:eastAsia="Times New Roman" w:hAnsi="Calibri" w:cs="Times New Roman"/>
      <w:bCs/>
      <w:color w:val="5F5F5F"/>
      <w:sz w:val="24"/>
      <w:szCs w:val="18"/>
      <w:lang w:eastAsia="en-NZ"/>
    </w:rPr>
  </w:style>
  <w:style w:type="character" w:customStyle="1" w:styleId="Style2Char">
    <w:name w:val="Style2 Char"/>
    <w:basedOn w:val="DefaultParagraphFont"/>
    <w:link w:val="Style2"/>
    <w:rsid w:val="00247AA9"/>
    <w:rPr>
      <w:rFonts w:ascii="Calibri" w:eastAsia="Times New Roman" w:hAnsi="Calibri" w:cs="Times New Roman"/>
      <w:b/>
      <w:smallCaps/>
      <w:color w:val="006E95"/>
      <w:sz w:val="26"/>
      <w:szCs w:val="18"/>
      <w:lang w:eastAsia="en-NZ"/>
    </w:rPr>
  </w:style>
  <w:style w:type="table" w:styleId="TableGrid">
    <w:name w:val="Table Grid"/>
    <w:basedOn w:val="TableNormal"/>
    <w:uiPriority w:val="59"/>
    <w:rsid w:val="00424E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42488E"/>
    <w:pPr>
      <w:spacing w:after="0" w:line="240" w:lineRule="auto"/>
    </w:pPr>
    <w:rPr>
      <w:rFonts w:eastAsiaTheme="minorHAnsi" w:cstheme="minorBidi"/>
      <w:szCs w:val="21"/>
      <w:lang w:eastAsia="en-US"/>
    </w:rPr>
  </w:style>
  <w:style w:type="character" w:customStyle="1" w:styleId="PlainTextChar">
    <w:name w:val="Plain Text Char"/>
    <w:basedOn w:val="DefaultParagraphFont"/>
    <w:link w:val="PlainText"/>
    <w:uiPriority w:val="99"/>
    <w:semiHidden/>
    <w:rsid w:val="0042488E"/>
    <w:rPr>
      <w:rFonts w:ascii="Calibri" w:hAnsi="Calibri"/>
      <w:szCs w:val="21"/>
    </w:rPr>
  </w:style>
  <w:style w:type="character" w:customStyle="1" w:styleId="Heading4Char">
    <w:name w:val="Heading 4 Char"/>
    <w:basedOn w:val="DefaultParagraphFont"/>
    <w:link w:val="Heading4"/>
    <w:uiPriority w:val="9"/>
    <w:rsid w:val="00592AFE"/>
    <w:rPr>
      <w:rFonts w:eastAsiaTheme="majorEastAsia" w:cstheme="majorBidi"/>
      <w:i/>
      <w:iCs/>
      <w:color w:val="548DD4" w:themeColor="text2" w:themeTint="99"/>
      <w:szCs w:val="18"/>
    </w:rPr>
  </w:style>
  <w:style w:type="character" w:customStyle="1" w:styleId="Heading5Char">
    <w:name w:val="Heading 5 Char"/>
    <w:basedOn w:val="DefaultParagraphFont"/>
    <w:link w:val="Heading5"/>
    <w:uiPriority w:val="9"/>
    <w:rsid w:val="005577F4"/>
    <w:rPr>
      <w:rFonts w:asciiTheme="majorHAnsi" w:eastAsiaTheme="majorEastAsia" w:hAnsiTheme="majorHAnsi" w:cstheme="majorBidi"/>
      <w:color w:val="365F91" w:themeColor="accent1" w:themeShade="BF"/>
      <w:szCs w:val="18"/>
      <w:lang w:eastAsia="en-NZ"/>
    </w:rPr>
  </w:style>
  <w:style w:type="paragraph" w:customStyle="1" w:styleId="dummyheading">
    <w:name w:val="dummy heading"/>
    <w:basedOn w:val="Heading2"/>
    <w:link w:val="dummyheadingChar"/>
    <w:qFormat/>
    <w:rsid w:val="00EB3050"/>
    <w:pPr>
      <w:numPr>
        <w:ilvl w:val="0"/>
        <w:numId w:val="0"/>
      </w:numPr>
      <w:ind w:left="652" w:hanging="652"/>
    </w:pPr>
  </w:style>
  <w:style w:type="character" w:customStyle="1" w:styleId="dummyheadingChar">
    <w:name w:val="dummy heading Char"/>
    <w:basedOn w:val="Heading2Char"/>
    <w:link w:val="dummyheading"/>
    <w:rsid w:val="00EB3050"/>
    <w:rPr>
      <w:rFonts w:ascii="Calibri" w:eastAsia="Calibri" w:hAnsi="Calibri" w:cs="Arial"/>
      <w:b/>
      <w:smallCaps/>
      <w:color w:val="006E95"/>
      <w:spacing w:val="20"/>
      <w:sz w:val="26"/>
      <w:lang w:eastAsia="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3EEA"/>
    <w:pPr>
      <w:spacing w:after="160" w:line="360" w:lineRule="auto"/>
    </w:pPr>
    <w:rPr>
      <w:rFonts w:ascii="Calibri" w:eastAsia="Times New Roman" w:hAnsi="Calibri" w:cs="Times New Roman"/>
      <w:szCs w:val="18"/>
      <w:lang w:eastAsia="en-NZ"/>
    </w:rPr>
  </w:style>
  <w:style w:type="paragraph" w:styleId="Heading1">
    <w:name w:val="heading 1"/>
    <w:basedOn w:val="Normal"/>
    <w:next w:val="Normal"/>
    <w:link w:val="Heading1Char"/>
    <w:uiPriority w:val="9"/>
    <w:qFormat/>
    <w:rsid w:val="00421F6B"/>
    <w:pPr>
      <w:keepNext/>
      <w:numPr>
        <w:numId w:val="1"/>
      </w:numPr>
      <w:spacing w:after="400" w:line="360" w:lineRule="exact"/>
      <w:outlineLvl w:val="0"/>
    </w:pPr>
    <w:rPr>
      <w:rFonts w:cs="Arial"/>
      <w:b/>
      <w:smallCaps/>
      <w:color w:val="006E95"/>
      <w:spacing w:val="20"/>
      <w:kern w:val="28"/>
      <w:sz w:val="32"/>
      <w:szCs w:val="28"/>
    </w:rPr>
  </w:style>
  <w:style w:type="paragraph" w:styleId="Heading2">
    <w:name w:val="heading 2"/>
    <w:basedOn w:val="Normal"/>
    <w:next w:val="Normal"/>
    <w:link w:val="Heading2Char"/>
    <w:uiPriority w:val="9"/>
    <w:qFormat/>
    <w:rsid w:val="00644EA5"/>
    <w:pPr>
      <w:keepNext/>
      <w:numPr>
        <w:ilvl w:val="1"/>
        <w:numId w:val="1"/>
      </w:numPr>
      <w:spacing w:before="360" w:after="180" w:line="300" w:lineRule="exact"/>
      <w:outlineLvl w:val="1"/>
    </w:pPr>
    <w:rPr>
      <w:rFonts w:eastAsia="Calibri" w:cs="Arial"/>
      <w:b/>
      <w:smallCaps/>
      <w:color w:val="006E95"/>
      <w:spacing w:val="20"/>
      <w:sz w:val="26"/>
      <w:szCs w:val="22"/>
    </w:rPr>
  </w:style>
  <w:style w:type="paragraph" w:styleId="Heading3">
    <w:name w:val="heading 3"/>
    <w:basedOn w:val="Normal"/>
    <w:next w:val="Normal"/>
    <w:link w:val="Heading3Char"/>
    <w:qFormat/>
    <w:rsid w:val="00247AA9"/>
    <w:pPr>
      <w:keepNext/>
      <w:numPr>
        <w:ilvl w:val="2"/>
        <w:numId w:val="1"/>
      </w:numPr>
      <w:pBdr>
        <w:top w:val="single" w:sz="4" w:space="0" w:color="D8D9DA"/>
        <w:bottom w:val="single" w:sz="4" w:space="1" w:color="D8D9DA"/>
      </w:pBdr>
      <w:spacing w:before="200" w:after="80" w:line="260" w:lineRule="exact"/>
      <w:outlineLvl w:val="2"/>
    </w:pPr>
    <w:rPr>
      <w:rFonts w:cs="Arial"/>
      <w:color w:val="5F5F5F"/>
      <w:sz w:val="24"/>
      <w:szCs w:val="21"/>
    </w:rPr>
  </w:style>
  <w:style w:type="paragraph" w:styleId="Heading4">
    <w:name w:val="heading 4"/>
    <w:basedOn w:val="Normal"/>
    <w:next w:val="Normal"/>
    <w:link w:val="Heading4Char"/>
    <w:uiPriority w:val="9"/>
    <w:unhideWhenUsed/>
    <w:qFormat/>
    <w:rsid w:val="00592AFE"/>
    <w:pPr>
      <w:keepNext/>
      <w:keepLines/>
      <w:spacing w:before="40" w:after="0"/>
      <w:outlineLvl w:val="3"/>
    </w:pPr>
    <w:rPr>
      <w:rFonts w:asciiTheme="minorHAnsi" w:eastAsiaTheme="majorEastAsia" w:hAnsiTheme="minorHAnsi" w:cstheme="majorBidi"/>
      <w:i/>
      <w:iCs/>
      <w:color w:val="548DD4" w:themeColor="text2" w:themeTint="99"/>
      <w:lang w:eastAsia="en-US"/>
    </w:rPr>
  </w:style>
  <w:style w:type="paragraph" w:styleId="Heading5">
    <w:name w:val="heading 5"/>
    <w:basedOn w:val="Normal"/>
    <w:next w:val="Normal"/>
    <w:link w:val="Heading5Char"/>
    <w:uiPriority w:val="9"/>
    <w:unhideWhenUsed/>
    <w:qFormat/>
    <w:rsid w:val="005577F4"/>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9">
    <w:name w:val="heading 9"/>
    <w:basedOn w:val="Normal"/>
    <w:next w:val="Normal"/>
    <w:link w:val="Heading9Char"/>
    <w:uiPriority w:val="99"/>
    <w:qFormat/>
    <w:rsid w:val="00277B33"/>
    <w:pPr>
      <w:numPr>
        <w:numId w:val="2"/>
      </w:numPr>
      <w:tabs>
        <w:tab w:val="clear" w:pos="900"/>
        <w:tab w:val="num" w:pos="1584"/>
      </w:tabs>
      <w:spacing w:before="240" w:after="60"/>
      <w:ind w:left="1584" w:hanging="1584"/>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1F6B"/>
    <w:rPr>
      <w:rFonts w:ascii="Calibri" w:eastAsia="Times New Roman" w:hAnsi="Calibri" w:cs="Arial"/>
      <w:b/>
      <w:smallCaps/>
      <w:color w:val="006E95"/>
      <w:spacing w:val="20"/>
      <w:kern w:val="28"/>
      <w:sz w:val="32"/>
      <w:szCs w:val="28"/>
      <w:lang w:eastAsia="en-NZ"/>
    </w:rPr>
  </w:style>
  <w:style w:type="character" w:customStyle="1" w:styleId="Heading2Char">
    <w:name w:val="Heading 2 Char"/>
    <w:basedOn w:val="DefaultParagraphFont"/>
    <w:link w:val="Heading2"/>
    <w:rsid w:val="00644EA5"/>
    <w:rPr>
      <w:rFonts w:ascii="Calibri" w:eastAsia="Calibri" w:hAnsi="Calibri" w:cs="Arial"/>
      <w:b/>
      <w:smallCaps/>
      <w:color w:val="006E95"/>
      <w:spacing w:val="20"/>
      <w:sz w:val="26"/>
      <w:lang w:eastAsia="en-NZ"/>
    </w:rPr>
  </w:style>
  <w:style w:type="character" w:customStyle="1" w:styleId="Heading3Char">
    <w:name w:val="Heading 3 Char"/>
    <w:basedOn w:val="DefaultParagraphFont"/>
    <w:link w:val="Heading3"/>
    <w:rsid w:val="00247AA9"/>
    <w:rPr>
      <w:rFonts w:ascii="Calibri" w:eastAsia="Times New Roman" w:hAnsi="Calibri" w:cs="Arial"/>
      <w:color w:val="5F5F5F"/>
      <w:sz w:val="24"/>
      <w:szCs w:val="21"/>
      <w:lang w:eastAsia="en-NZ"/>
    </w:rPr>
  </w:style>
  <w:style w:type="paragraph" w:styleId="ListParagraph">
    <w:name w:val="List Paragraph"/>
    <w:basedOn w:val="Normal"/>
    <w:link w:val="ListParagraphChar"/>
    <w:uiPriority w:val="34"/>
    <w:qFormat/>
    <w:rsid w:val="00421F6B"/>
    <w:pPr>
      <w:contextualSpacing/>
    </w:pPr>
  </w:style>
  <w:style w:type="paragraph" w:styleId="TOCHeading">
    <w:name w:val="TOC Heading"/>
    <w:basedOn w:val="Heading1"/>
    <w:next w:val="Normal"/>
    <w:uiPriority w:val="39"/>
    <w:qFormat/>
    <w:rsid w:val="00421F6B"/>
    <w:pPr>
      <w:keepLines/>
      <w:numPr>
        <w:numId w:val="0"/>
      </w:numPr>
      <w:spacing w:before="480" w:after="0" w:line="276" w:lineRule="auto"/>
      <w:outlineLvl w:val="9"/>
    </w:pPr>
    <w:rPr>
      <w:rFonts w:cs="Calibri"/>
      <w:b w:val="0"/>
      <w:bCs/>
      <w:spacing w:val="0"/>
      <w:kern w:val="0"/>
      <w:lang w:val="en-US" w:eastAsia="en-US"/>
    </w:rPr>
  </w:style>
  <w:style w:type="paragraph" w:styleId="TOC1">
    <w:name w:val="toc 1"/>
    <w:basedOn w:val="Normal"/>
    <w:next w:val="Normal"/>
    <w:autoRedefine/>
    <w:uiPriority w:val="39"/>
    <w:rsid w:val="00421F6B"/>
    <w:pPr>
      <w:spacing w:before="120"/>
    </w:pPr>
    <w:rPr>
      <w:rFonts w:cs="Calibri"/>
      <w:b/>
      <w:bCs/>
      <w:caps/>
      <w:szCs w:val="20"/>
    </w:rPr>
  </w:style>
  <w:style w:type="paragraph" w:styleId="TOC2">
    <w:name w:val="toc 2"/>
    <w:basedOn w:val="Normal"/>
    <w:next w:val="Normal"/>
    <w:autoRedefine/>
    <w:uiPriority w:val="39"/>
    <w:rsid w:val="00421F6B"/>
    <w:pPr>
      <w:spacing w:after="0"/>
      <w:ind w:left="180"/>
    </w:pPr>
    <w:rPr>
      <w:rFonts w:cs="Calibri"/>
      <w:smallCaps/>
      <w:szCs w:val="20"/>
    </w:rPr>
  </w:style>
  <w:style w:type="character" w:styleId="Hyperlink">
    <w:name w:val="Hyperlink"/>
    <w:uiPriority w:val="99"/>
    <w:rsid w:val="00421F6B"/>
    <w:rPr>
      <w:rFonts w:cs="Times New Roman"/>
      <w:color w:val="0000FF"/>
      <w:u w:val="single"/>
    </w:rPr>
  </w:style>
  <w:style w:type="paragraph" w:styleId="Footer">
    <w:name w:val="footer"/>
    <w:basedOn w:val="Normal"/>
    <w:link w:val="FooterChar"/>
    <w:uiPriority w:val="99"/>
    <w:rsid w:val="00421F6B"/>
    <w:pPr>
      <w:tabs>
        <w:tab w:val="center" w:pos="4513"/>
        <w:tab w:val="right" w:pos="9026"/>
      </w:tabs>
    </w:pPr>
  </w:style>
  <w:style w:type="character" w:customStyle="1" w:styleId="FooterChar">
    <w:name w:val="Footer Char"/>
    <w:basedOn w:val="DefaultParagraphFont"/>
    <w:link w:val="Footer"/>
    <w:uiPriority w:val="99"/>
    <w:rsid w:val="00421F6B"/>
    <w:rPr>
      <w:rFonts w:ascii="Calibri" w:eastAsia="Times New Roman" w:hAnsi="Calibri" w:cs="Times New Roman"/>
      <w:szCs w:val="18"/>
      <w:lang w:eastAsia="en-NZ"/>
    </w:rPr>
  </w:style>
  <w:style w:type="character" w:customStyle="1" w:styleId="ListParagraphChar">
    <w:name w:val="List Paragraph Char"/>
    <w:link w:val="ListParagraph"/>
    <w:uiPriority w:val="34"/>
    <w:rsid w:val="00421F6B"/>
    <w:rPr>
      <w:rFonts w:ascii="Calibri" w:eastAsia="Times New Roman" w:hAnsi="Calibri" w:cs="Times New Roman"/>
      <w:szCs w:val="18"/>
      <w:lang w:eastAsia="en-NZ"/>
    </w:rPr>
  </w:style>
  <w:style w:type="character" w:customStyle="1" w:styleId="Heading9Char">
    <w:name w:val="Heading 9 Char"/>
    <w:basedOn w:val="DefaultParagraphFont"/>
    <w:link w:val="Heading9"/>
    <w:uiPriority w:val="99"/>
    <w:rsid w:val="00277B33"/>
    <w:rPr>
      <w:rFonts w:ascii="Arial" w:eastAsia="Times New Roman" w:hAnsi="Arial" w:cs="Arial"/>
      <w:lang w:eastAsia="en-NZ"/>
    </w:rPr>
  </w:style>
  <w:style w:type="paragraph" w:styleId="Caption">
    <w:name w:val="caption"/>
    <w:basedOn w:val="Normal"/>
    <w:next w:val="Normal"/>
    <w:uiPriority w:val="99"/>
    <w:qFormat/>
    <w:rsid w:val="00E06189"/>
    <w:pPr>
      <w:spacing w:after="0"/>
    </w:pPr>
    <w:rPr>
      <w:rFonts w:asciiTheme="minorHAnsi" w:hAnsiTheme="minorHAnsi"/>
      <w:b/>
      <w:bCs/>
    </w:rPr>
  </w:style>
  <w:style w:type="paragraph" w:styleId="Quote">
    <w:name w:val="Quote"/>
    <w:basedOn w:val="Normal"/>
    <w:next w:val="Normal"/>
    <w:link w:val="QuoteChar"/>
    <w:uiPriority w:val="29"/>
    <w:qFormat/>
    <w:rsid w:val="00E06189"/>
    <w:pPr>
      <w:spacing w:after="0"/>
      <w:ind w:left="720"/>
    </w:pPr>
    <w:rPr>
      <w:rFonts w:asciiTheme="minorHAnsi" w:hAnsiTheme="minorHAnsi"/>
      <w:i/>
      <w:iCs/>
      <w:color w:val="000000"/>
      <w:lang w:val="en-US"/>
    </w:rPr>
  </w:style>
  <w:style w:type="character" w:customStyle="1" w:styleId="QuoteChar">
    <w:name w:val="Quote Char"/>
    <w:basedOn w:val="DefaultParagraphFont"/>
    <w:link w:val="Quote"/>
    <w:uiPriority w:val="29"/>
    <w:rsid w:val="00E06189"/>
    <w:rPr>
      <w:rFonts w:eastAsia="Times New Roman" w:cs="Times New Roman"/>
      <w:i/>
      <w:iCs/>
      <w:color w:val="000000"/>
      <w:szCs w:val="18"/>
      <w:lang w:val="en-US" w:eastAsia="en-NZ"/>
    </w:rPr>
  </w:style>
  <w:style w:type="character" w:styleId="Strong">
    <w:name w:val="Strong"/>
    <w:basedOn w:val="DefaultParagraphFont"/>
    <w:qFormat/>
    <w:rsid w:val="00E06189"/>
    <w:rPr>
      <w:b/>
      <w:bCs/>
    </w:rPr>
  </w:style>
  <w:style w:type="paragraph" w:styleId="BalloonText">
    <w:name w:val="Balloon Text"/>
    <w:basedOn w:val="Normal"/>
    <w:link w:val="BalloonTextChar"/>
    <w:uiPriority w:val="99"/>
    <w:semiHidden/>
    <w:unhideWhenUsed/>
    <w:rsid w:val="00E061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6189"/>
    <w:rPr>
      <w:rFonts w:ascii="Tahoma" w:eastAsia="Times New Roman" w:hAnsi="Tahoma" w:cs="Tahoma"/>
      <w:sz w:val="16"/>
      <w:szCs w:val="16"/>
      <w:lang w:eastAsia="en-NZ"/>
    </w:rPr>
  </w:style>
  <w:style w:type="paragraph" w:styleId="NormalWeb">
    <w:name w:val="Normal (Web)"/>
    <w:basedOn w:val="Normal"/>
    <w:uiPriority w:val="99"/>
    <w:semiHidden/>
    <w:unhideWhenUsed/>
    <w:rsid w:val="00CD33F8"/>
    <w:pPr>
      <w:spacing w:before="100" w:beforeAutospacing="1" w:after="100" w:afterAutospacing="1" w:line="240" w:lineRule="auto"/>
    </w:pPr>
    <w:rPr>
      <w:rFonts w:ascii="Times New Roman" w:hAnsi="Times New Roman"/>
      <w:sz w:val="24"/>
      <w:szCs w:val="24"/>
    </w:rPr>
  </w:style>
  <w:style w:type="paragraph" w:styleId="FootnoteText">
    <w:name w:val="footnote text"/>
    <w:basedOn w:val="Normal"/>
    <w:link w:val="FootnoteTextChar"/>
    <w:uiPriority w:val="99"/>
    <w:semiHidden/>
    <w:unhideWhenUsed/>
    <w:rsid w:val="008E5DC3"/>
    <w:pPr>
      <w:spacing w:after="0" w:line="240" w:lineRule="auto"/>
    </w:pPr>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semiHidden/>
    <w:rsid w:val="008E5DC3"/>
    <w:rPr>
      <w:sz w:val="20"/>
      <w:szCs w:val="20"/>
    </w:rPr>
  </w:style>
  <w:style w:type="character" w:styleId="FootnoteReference">
    <w:name w:val="footnote reference"/>
    <w:basedOn w:val="DefaultParagraphFont"/>
    <w:uiPriority w:val="99"/>
    <w:semiHidden/>
    <w:unhideWhenUsed/>
    <w:rsid w:val="008E5DC3"/>
    <w:rPr>
      <w:vertAlign w:val="superscript"/>
    </w:rPr>
  </w:style>
  <w:style w:type="character" w:styleId="CommentReference">
    <w:name w:val="annotation reference"/>
    <w:basedOn w:val="DefaultParagraphFont"/>
    <w:uiPriority w:val="99"/>
    <w:semiHidden/>
    <w:unhideWhenUsed/>
    <w:rsid w:val="008C03EC"/>
    <w:rPr>
      <w:sz w:val="16"/>
      <w:szCs w:val="16"/>
    </w:rPr>
  </w:style>
  <w:style w:type="paragraph" w:styleId="CommentText">
    <w:name w:val="annotation text"/>
    <w:basedOn w:val="Normal"/>
    <w:link w:val="CommentTextChar"/>
    <w:uiPriority w:val="99"/>
    <w:semiHidden/>
    <w:unhideWhenUsed/>
    <w:rsid w:val="008C03EC"/>
    <w:pPr>
      <w:spacing w:line="240" w:lineRule="auto"/>
    </w:pPr>
    <w:rPr>
      <w:sz w:val="20"/>
      <w:szCs w:val="20"/>
    </w:rPr>
  </w:style>
  <w:style w:type="character" w:customStyle="1" w:styleId="CommentTextChar">
    <w:name w:val="Comment Text Char"/>
    <w:basedOn w:val="DefaultParagraphFont"/>
    <w:link w:val="CommentText"/>
    <w:uiPriority w:val="99"/>
    <w:semiHidden/>
    <w:rsid w:val="008C03EC"/>
    <w:rPr>
      <w:rFonts w:ascii="Calibri" w:eastAsia="Times New Roman" w:hAnsi="Calibri" w:cs="Times New Roman"/>
      <w:sz w:val="20"/>
      <w:szCs w:val="20"/>
      <w:lang w:eastAsia="en-NZ"/>
    </w:rPr>
  </w:style>
  <w:style w:type="paragraph" w:styleId="CommentSubject">
    <w:name w:val="annotation subject"/>
    <w:basedOn w:val="CommentText"/>
    <w:next w:val="CommentText"/>
    <w:link w:val="CommentSubjectChar"/>
    <w:uiPriority w:val="99"/>
    <w:semiHidden/>
    <w:unhideWhenUsed/>
    <w:rsid w:val="008C03EC"/>
    <w:rPr>
      <w:b/>
      <w:bCs/>
    </w:rPr>
  </w:style>
  <w:style w:type="character" w:customStyle="1" w:styleId="CommentSubjectChar">
    <w:name w:val="Comment Subject Char"/>
    <w:basedOn w:val="CommentTextChar"/>
    <w:link w:val="CommentSubject"/>
    <w:uiPriority w:val="99"/>
    <w:semiHidden/>
    <w:rsid w:val="008C03EC"/>
    <w:rPr>
      <w:rFonts w:ascii="Calibri" w:eastAsia="Times New Roman" w:hAnsi="Calibri" w:cs="Times New Roman"/>
      <w:b/>
      <w:bCs/>
      <w:sz w:val="20"/>
      <w:szCs w:val="20"/>
      <w:lang w:eastAsia="en-NZ"/>
    </w:rPr>
  </w:style>
  <w:style w:type="paragraph" w:styleId="Revision">
    <w:name w:val="Revision"/>
    <w:hidden/>
    <w:uiPriority w:val="99"/>
    <w:semiHidden/>
    <w:rsid w:val="00257978"/>
    <w:pPr>
      <w:spacing w:after="0" w:line="240" w:lineRule="auto"/>
    </w:pPr>
    <w:rPr>
      <w:rFonts w:ascii="Calibri" w:eastAsia="Times New Roman" w:hAnsi="Calibri" w:cs="Times New Roman"/>
      <w:szCs w:val="18"/>
      <w:lang w:eastAsia="en-NZ"/>
    </w:rPr>
  </w:style>
  <w:style w:type="paragraph" w:styleId="Header">
    <w:name w:val="header"/>
    <w:basedOn w:val="Normal"/>
    <w:link w:val="HeaderChar"/>
    <w:uiPriority w:val="99"/>
    <w:unhideWhenUsed/>
    <w:rsid w:val="009E7F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7F96"/>
    <w:rPr>
      <w:rFonts w:ascii="Calibri" w:eastAsia="Times New Roman" w:hAnsi="Calibri" w:cs="Times New Roman"/>
      <w:szCs w:val="18"/>
      <w:lang w:eastAsia="en-NZ"/>
    </w:rPr>
  </w:style>
  <w:style w:type="paragraph" w:styleId="TableofFigures">
    <w:name w:val="table of figures"/>
    <w:basedOn w:val="Normal"/>
    <w:next w:val="Normal"/>
    <w:uiPriority w:val="99"/>
    <w:unhideWhenUsed/>
    <w:rsid w:val="00A54BD1"/>
    <w:pPr>
      <w:spacing w:after="0"/>
      <w:ind w:left="440" w:hanging="440"/>
    </w:pPr>
    <w:rPr>
      <w:rFonts w:asciiTheme="minorHAnsi" w:hAnsiTheme="minorHAnsi"/>
      <w:smallCaps/>
      <w:sz w:val="20"/>
      <w:szCs w:val="20"/>
    </w:rPr>
  </w:style>
  <w:style w:type="table" w:customStyle="1" w:styleId="GridTable3-Accent51">
    <w:name w:val="Grid Table 3 - Accent 51"/>
    <w:basedOn w:val="TableNormal"/>
    <w:uiPriority w:val="48"/>
    <w:rsid w:val="008E7444"/>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GridTable5Dark-Accent51">
    <w:name w:val="Grid Table 5 Dark - Accent 51"/>
    <w:basedOn w:val="TableNormal"/>
    <w:uiPriority w:val="50"/>
    <w:rsid w:val="00F9050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Title">
    <w:name w:val="Title"/>
    <w:basedOn w:val="Normal"/>
    <w:next w:val="Normal"/>
    <w:link w:val="TitleChar"/>
    <w:uiPriority w:val="10"/>
    <w:qFormat/>
    <w:rsid w:val="003B502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502F"/>
    <w:rPr>
      <w:rFonts w:asciiTheme="majorHAnsi" w:eastAsiaTheme="majorEastAsia" w:hAnsiTheme="majorHAnsi" w:cstheme="majorBidi"/>
      <w:spacing w:val="-10"/>
      <w:kern w:val="28"/>
      <w:sz w:val="56"/>
      <w:szCs w:val="56"/>
      <w:lang w:eastAsia="en-NZ"/>
    </w:rPr>
  </w:style>
  <w:style w:type="table" w:styleId="LightShading-Accent5">
    <w:name w:val="Light Shading Accent 5"/>
    <w:basedOn w:val="TableNormal"/>
    <w:uiPriority w:val="60"/>
    <w:rsid w:val="007539CD"/>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Grid-Accent1">
    <w:name w:val="Light Grid Accent 1"/>
    <w:basedOn w:val="TableNormal"/>
    <w:uiPriority w:val="62"/>
    <w:rsid w:val="007539C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OC3">
    <w:name w:val="toc 3"/>
    <w:basedOn w:val="Normal"/>
    <w:next w:val="Normal"/>
    <w:autoRedefine/>
    <w:uiPriority w:val="39"/>
    <w:unhideWhenUsed/>
    <w:rsid w:val="00D30816"/>
    <w:pPr>
      <w:spacing w:after="100"/>
      <w:ind w:left="440"/>
    </w:pPr>
  </w:style>
  <w:style w:type="table" w:customStyle="1" w:styleId="GridTable4-Accent41">
    <w:name w:val="Grid Table 4 - Accent 41"/>
    <w:basedOn w:val="TableNormal"/>
    <w:uiPriority w:val="49"/>
    <w:rsid w:val="00E434D9"/>
    <w:pPr>
      <w:spacing w:after="0" w:line="240" w:lineRule="auto"/>
    </w:pPr>
    <w:rPr>
      <w:rFonts w:eastAsia="Times New Roman"/>
    </w:rPr>
    <w:tblPr>
      <w:tblStyleRowBandSize w:val="1"/>
      <w:tblStyleColBandSize w:val="1"/>
      <w:tblBorders>
        <w:top w:val="single" w:sz="4" w:space="0" w:color="8CCED7"/>
        <w:left w:val="single" w:sz="4" w:space="0" w:color="8CCED7"/>
        <w:bottom w:val="single" w:sz="4" w:space="0" w:color="8CCED7"/>
        <w:right w:val="single" w:sz="4" w:space="0" w:color="8CCED7"/>
        <w:insideH w:val="single" w:sz="4" w:space="0" w:color="8CCED7"/>
        <w:insideV w:val="single" w:sz="4" w:space="0" w:color="8CCED7"/>
      </w:tblBorders>
    </w:tblPr>
    <w:tblStylePr w:type="firstRow">
      <w:rPr>
        <w:b/>
        <w:bCs/>
        <w:color w:val="FFFFFF"/>
      </w:rPr>
      <w:tblPr/>
      <w:tcPr>
        <w:tcBorders>
          <w:top w:val="single" w:sz="4" w:space="0" w:color="41AEBD"/>
          <w:left w:val="single" w:sz="4" w:space="0" w:color="41AEBD"/>
          <w:bottom w:val="single" w:sz="4" w:space="0" w:color="41AEBD"/>
          <w:right w:val="single" w:sz="4" w:space="0" w:color="41AEBD"/>
          <w:insideH w:val="nil"/>
          <w:insideV w:val="nil"/>
        </w:tcBorders>
        <w:shd w:val="clear" w:color="auto" w:fill="41AEBD"/>
      </w:tcPr>
    </w:tblStylePr>
    <w:tblStylePr w:type="lastRow">
      <w:rPr>
        <w:b/>
        <w:bCs/>
      </w:rPr>
      <w:tblPr/>
      <w:tcPr>
        <w:tcBorders>
          <w:top w:val="double" w:sz="4" w:space="0" w:color="41AEBD"/>
        </w:tcBorders>
      </w:tcPr>
    </w:tblStylePr>
    <w:tblStylePr w:type="firstCol">
      <w:rPr>
        <w:b/>
        <w:bCs/>
      </w:rPr>
    </w:tblStylePr>
    <w:tblStylePr w:type="lastCol">
      <w:rPr>
        <w:b/>
        <w:bCs/>
      </w:rPr>
    </w:tblStylePr>
    <w:tblStylePr w:type="band1Vert">
      <w:tblPr/>
      <w:tcPr>
        <w:shd w:val="clear" w:color="auto" w:fill="D8EEF2"/>
      </w:tcPr>
    </w:tblStylePr>
    <w:tblStylePr w:type="band1Horz">
      <w:tblPr/>
      <w:tcPr>
        <w:shd w:val="clear" w:color="auto" w:fill="D8EEF2"/>
      </w:tcPr>
    </w:tblStylePr>
  </w:style>
  <w:style w:type="table" w:customStyle="1" w:styleId="GridTable4Accent41">
    <w:name w:val="Grid Table 4 Accent 41"/>
    <w:basedOn w:val="TableNormal"/>
    <w:uiPriority w:val="49"/>
    <w:rsid w:val="00E434D9"/>
    <w:pPr>
      <w:spacing w:after="0" w:line="240" w:lineRule="auto"/>
    </w:pPr>
    <w:rPr>
      <w:rFonts w:eastAsia="Times New Roman"/>
    </w:rPr>
    <w:tblPr>
      <w:tblStyleRowBandSize w:val="1"/>
      <w:tblStyleColBandSize w:val="1"/>
      <w:tblBorders>
        <w:top w:val="single" w:sz="4" w:space="0" w:color="8CCED7"/>
        <w:left w:val="single" w:sz="4" w:space="0" w:color="8CCED7"/>
        <w:bottom w:val="single" w:sz="4" w:space="0" w:color="8CCED7"/>
        <w:right w:val="single" w:sz="4" w:space="0" w:color="8CCED7"/>
        <w:insideH w:val="single" w:sz="4" w:space="0" w:color="8CCED7"/>
        <w:insideV w:val="single" w:sz="4" w:space="0" w:color="8CCED7"/>
      </w:tblBorders>
    </w:tblPr>
    <w:tblStylePr w:type="firstRow">
      <w:rPr>
        <w:b/>
        <w:bCs/>
        <w:color w:val="FFFFFF"/>
      </w:rPr>
      <w:tblPr/>
      <w:tcPr>
        <w:tcBorders>
          <w:top w:val="single" w:sz="4" w:space="0" w:color="41AEBD"/>
          <w:left w:val="single" w:sz="4" w:space="0" w:color="41AEBD"/>
          <w:bottom w:val="single" w:sz="4" w:space="0" w:color="41AEBD"/>
          <w:right w:val="single" w:sz="4" w:space="0" w:color="41AEBD"/>
          <w:insideH w:val="nil"/>
          <w:insideV w:val="nil"/>
        </w:tcBorders>
        <w:shd w:val="clear" w:color="auto" w:fill="41AEBD"/>
      </w:tcPr>
    </w:tblStylePr>
    <w:tblStylePr w:type="lastRow">
      <w:rPr>
        <w:b/>
        <w:bCs/>
      </w:rPr>
      <w:tblPr/>
      <w:tcPr>
        <w:tcBorders>
          <w:top w:val="double" w:sz="4" w:space="0" w:color="41AEBD"/>
        </w:tcBorders>
      </w:tcPr>
    </w:tblStylePr>
    <w:tblStylePr w:type="firstCol">
      <w:rPr>
        <w:b/>
        <w:bCs/>
      </w:rPr>
    </w:tblStylePr>
    <w:tblStylePr w:type="lastCol">
      <w:rPr>
        <w:b/>
        <w:bCs/>
      </w:rPr>
    </w:tblStylePr>
    <w:tblStylePr w:type="band1Vert">
      <w:tblPr/>
      <w:tcPr>
        <w:shd w:val="clear" w:color="auto" w:fill="D8EEF2"/>
      </w:tcPr>
    </w:tblStylePr>
    <w:tblStylePr w:type="band1Horz">
      <w:tblPr/>
      <w:tcPr>
        <w:shd w:val="clear" w:color="auto" w:fill="D8EEF2"/>
      </w:tcPr>
    </w:tblStylePr>
  </w:style>
  <w:style w:type="table" w:customStyle="1" w:styleId="GridTable4Accent42">
    <w:name w:val="Grid Table 4 Accent 42"/>
    <w:basedOn w:val="TableNormal"/>
    <w:uiPriority w:val="49"/>
    <w:rsid w:val="000E3667"/>
    <w:pPr>
      <w:spacing w:after="0" w:line="240" w:lineRule="auto"/>
    </w:pPr>
    <w:rPr>
      <w:rFonts w:eastAsia="Times New Roman"/>
    </w:rPr>
    <w:tblPr>
      <w:tblStyleRowBandSize w:val="1"/>
      <w:tblStyleColBandSize w:val="1"/>
      <w:tblBorders>
        <w:top w:val="single" w:sz="4" w:space="0" w:color="8CCED7"/>
        <w:left w:val="single" w:sz="4" w:space="0" w:color="8CCED7"/>
        <w:bottom w:val="single" w:sz="4" w:space="0" w:color="8CCED7"/>
        <w:right w:val="single" w:sz="4" w:space="0" w:color="8CCED7"/>
        <w:insideH w:val="single" w:sz="4" w:space="0" w:color="8CCED7"/>
        <w:insideV w:val="single" w:sz="4" w:space="0" w:color="8CCED7"/>
      </w:tblBorders>
    </w:tblPr>
    <w:tblStylePr w:type="firstRow">
      <w:rPr>
        <w:b/>
        <w:bCs/>
        <w:color w:val="FFFFFF"/>
      </w:rPr>
      <w:tblPr/>
      <w:tcPr>
        <w:tcBorders>
          <w:top w:val="single" w:sz="4" w:space="0" w:color="41AEBD"/>
          <w:left w:val="single" w:sz="4" w:space="0" w:color="41AEBD"/>
          <w:bottom w:val="single" w:sz="4" w:space="0" w:color="41AEBD"/>
          <w:right w:val="single" w:sz="4" w:space="0" w:color="41AEBD"/>
          <w:insideH w:val="nil"/>
          <w:insideV w:val="nil"/>
        </w:tcBorders>
        <w:shd w:val="clear" w:color="auto" w:fill="41AEBD"/>
      </w:tcPr>
    </w:tblStylePr>
    <w:tblStylePr w:type="lastRow">
      <w:rPr>
        <w:b/>
        <w:bCs/>
      </w:rPr>
      <w:tblPr/>
      <w:tcPr>
        <w:tcBorders>
          <w:top w:val="double" w:sz="4" w:space="0" w:color="41AEBD"/>
        </w:tcBorders>
      </w:tcPr>
    </w:tblStylePr>
    <w:tblStylePr w:type="firstCol">
      <w:rPr>
        <w:b/>
        <w:bCs/>
      </w:rPr>
    </w:tblStylePr>
    <w:tblStylePr w:type="lastCol">
      <w:rPr>
        <w:b/>
        <w:bCs/>
      </w:rPr>
    </w:tblStylePr>
    <w:tblStylePr w:type="band1Vert">
      <w:tblPr/>
      <w:tcPr>
        <w:shd w:val="clear" w:color="auto" w:fill="D8EEF2"/>
      </w:tcPr>
    </w:tblStylePr>
    <w:tblStylePr w:type="band1Horz">
      <w:tblPr/>
      <w:tcPr>
        <w:shd w:val="clear" w:color="auto" w:fill="D8EEF2"/>
      </w:tcPr>
    </w:tblStylePr>
  </w:style>
  <w:style w:type="table" w:styleId="LightGrid-Accent5">
    <w:name w:val="Light Grid Accent 5"/>
    <w:basedOn w:val="TableNormal"/>
    <w:uiPriority w:val="62"/>
    <w:rsid w:val="00D663BB"/>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Accent51">
    <w:name w:val="Light Grid - Accent 51"/>
    <w:basedOn w:val="TableNormal"/>
    <w:next w:val="LightGrid-Accent5"/>
    <w:uiPriority w:val="62"/>
    <w:rsid w:val="0092220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GridTable4-Accent42">
    <w:name w:val="Grid Table 4 - Accent 42"/>
    <w:basedOn w:val="TableNormal"/>
    <w:uiPriority w:val="49"/>
    <w:rsid w:val="0056380C"/>
    <w:pPr>
      <w:spacing w:after="0" w:line="240" w:lineRule="auto"/>
    </w:pPr>
    <w:rPr>
      <w:rFonts w:eastAsia="Times New Roman"/>
    </w:rPr>
    <w:tblPr>
      <w:tblStyleRowBandSize w:val="1"/>
      <w:tblStyleColBandSize w:val="1"/>
      <w:tblBorders>
        <w:top w:val="single" w:sz="4" w:space="0" w:color="8CCED7"/>
        <w:left w:val="single" w:sz="4" w:space="0" w:color="8CCED7"/>
        <w:bottom w:val="single" w:sz="4" w:space="0" w:color="8CCED7"/>
        <w:right w:val="single" w:sz="4" w:space="0" w:color="8CCED7"/>
        <w:insideH w:val="single" w:sz="4" w:space="0" w:color="8CCED7"/>
        <w:insideV w:val="single" w:sz="4" w:space="0" w:color="8CCED7"/>
      </w:tblBorders>
    </w:tblPr>
    <w:tblStylePr w:type="firstRow">
      <w:rPr>
        <w:b/>
        <w:bCs/>
        <w:color w:val="FFFFFF"/>
      </w:rPr>
      <w:tblPr/>
      <w:tcPr>
        <w:tcBorders>
          <w:top w:val="single" w:sz="4" w:space="0" w:color="41AEBD"/>
          <w:left w:val="single" w:sz="4" w:space="0" w:color="41AEBD"/>
          <w:bottom w:val="single" w:sz="4" w:space="0" w:color="41AEBD"/>
          <w:right w:val="single" w:sz="4" w:space="0" w:color="41AEBD"/>
          <w:insideH w:val="nil"/>
          <w:insideV w:val="nil"/>
        </w:tcBorders>
        <w:shd w:val="clear" w:color="auto" w:fill="41AEBD"/>
      </w:tcPr>
    </w:tblStylePr>
    <w:tblStylePr w:type="lastRow">
      <w:rPr>
        <w:b/>
        <w:bCs/>
      </w:rPr>
      <w:tblPr/>
      <w:tcPr>
        <w:tcBorders>
          <w:top w:val="double" w:sz="4" w:space="0" w:color="41AEBD"/>
        </w:tcBorders>
      </w:tcPr>
    </w:tblStylePr>
    <w:tblStylePr w:type="firstCol">
      <w:rPr>
        <w:b/>
        <w:bCs/>
      </w:rPr>
    </w:tblStylePr>
    <w:tblStylePr w:type="lastCol">
      <w:rPr>
        <w:b/>
        <w:bCs/>
      </w:rPr>
    </w:tblStylePr>
    <w:tblStylePr w:type="band1Vert">
      <w:tblPr/>
      <w:tcPr>
        <w:shd w:val="clear" w:color="auto" w:fill="D8EEF2"/>
      </w:tcPr>
    </w:tblStylePr>
    <w:tblStylePr w:type="band1Horz">
      <w:tblPr/>
      <w:tcPr>
        <w:shd w:val="clear" w:color="auto" w:fill="D8EEF2"/>
      </w:tcPr>
    </w:tblStylePr>
  </w:style>
  <w:style w:type="table" w:customStyle="1" w:styleId="GridTable4-Accent411">
    <w:name w:val="Grid Table 4 - Accent 411"/>
    <w:basedOn w:val="TableNormal"/>
    <w:uiPriority w:val="49"/>
    <w:rsid w:val="00B47776"/>
    <w:pPr>
      <w:spacing w:after="0" w:line="240" w:lineRule="auto"/>
    </w:pPr>
    <w:rPr>
      <w:rFonts w:eastAsia="Times New Roman"/>
    </w:rPr>
    <w:tblPr>
      <w:tblStyleRowBandSize w:val="1"/>
      <w:tblStyleColBandSize w:val="1"/>
      <w:tblBorders>
        <w:top w:val="single" w:sz="4" w:space="0" w:color="8CCED7"/>
        <w:left w:val="single" w:sz="4" w:space="0" w:color="8CCED7"/>
        <w:bottom w:val="single" w:sz="4" w:space="0" w:color="8CCED7"/>
        <w:right w:val="single" w:sz="4" w:space="0" w:color="8CCED7"/>
        <w:insideH w:val="single" w:sz="4" w:space="0" w:color="8CCED7"/>
        <w:insideV w:val="single" w:sz="4" w:space="0" w:color="8CCED7"/>
      </w:tblBorders>
    </w:tblPr>
    <w:tblStylePr w:type="firstRow">
      <w:rPr>
        <w:b/>
        <w:bCs/>
        <w:color w:val="FFFFFF"/>
      </w:rPr>
      <w:tblPr/>
      <w:tcPr>
        <w:tcBorders>
          <w:top w:val="single" w:sz="4" w:space="0" w:color="41AEBD"/>
          <w:left w:val="single" w:sz="4" w:space="0" w:color="41AEBD"/>
          <w:bottom w:val="single" w:sz="4" w:space="0" w:color="41AEBD"/>
          <w:right w:val="single" w:sz="4" w:space="0" w:color="41AEBD"/>
          <w:insideH w:val="nil"/>
          <w:insideV w:val="nil"/>
        </w:tcBorders>
        <w:shd w:val="clear" w:color="auto" w:fill="41AEBD"/>
      </w:tcPr>
    </w:tblStylePr>
    <w:tblStylePr w:type="lastRow">
      <w:rPr>
        <w:b/>
        <w:bCs/>
      </w:rPr>
      <w:tblPr/>
      <w:tcPr>
        <w:tcBorders>
          <w:top w:val="double" w:sz="4" w:space="0" w:color="41AEBD"/>
        </w:tcBorders>
      </w:tcPr>
    </w:tblStylePr>
    <w:tblStylePr w:type="firstCol">
      <w:rPr>
        <w:b/>
        <w:bCs/>
      </w:rPr>
    </w:tblStylePr>
    <w:tblStylePr w:type="lastCol">
      <w:rPr>
        <w:b/>
        <w:bCs/>
      </w:rPr>
    </w:tblStylePr>
    <w:tblStylePr w:type="band1Vert">
      <w:tblPr/>
      <w:tcPr>
        <w:shd w:val="clear" w:color="auto" w:fill="D8EEF2"/>
      </w:tcPr>
    </w:tblStylePr>
    <w:tblStylePr w:type="band1Horz">
      <w:tblPr/>
      <w:tcPr>
        <w:shd w:val="clear" w:color="auto" w:fill="D8EEF2"/>
      </w:tcPr>
    </w:tblStylePr>
  </w:style>
  <w:style w:type="character" w:customStyle="1" w:styleId="apple-tab-span">
    <w:name w:val="apple-tab-span"/>
    <w:basedOn w:val="DefaultParagraphFont"/>
    <w:rsid w:val="00596C27"/>
  </w:style>
  <w:style w:type="table" w:customStyle="1" w:styleId="GridTable4-Accent43">
    <w:name w:val="Grid Table 4 - Accent 43"/>
    <w:basedOn w:val="TableNormal"/>
    <w:next w:val="GridTable4-Accent44"/>
    <w:uiPriority w:val="49"/>
    <w:rsid w:val="004238F0"/>
    <w:pPr>
      <w:spacing w:after="0" w:line="240" w:lineRule="auto"/>
    </w:pPr>
    <w:rPr>
      <w:rFonts w:eastAsia="Times New Roman"/>
    </w:rPr>
    <w:tblPr>
      <w:tblStyleRowBandSize w:val="1"/>
      <w:tblStyleColBandSize w:val="1"/>
      <w:tblBorders>
        <w:top w:val="single" w:sz="4" w:space="0" w:color="8CCED7"/>
        <w:left w:val="single" w:sz="4" w:space="0" w:color="8CCED7"/>
        <w:bottom w:val="single" w:sz="4" w:space="0" w:color="8CCED7"/>
        <w:right w:val="single" w:sz="4" w:space="0" w:color="8CCED7"/>
        <w:insideH w:val="single" w:sz="4" w:space="0" w:color="8CCED7"/>
        <w:insideV w:val="single" w:sz="4" w:space="0" w:color="8CCED7"/>
      </w:tblBorders>
    </w:tblPr>
    <w:tblStylePr w:type="firstRow">
      <w:rPr>
        <w:b/>
        <w:bCs/>
        <w:color w:val="FFFFFF"/>
      </w:rPr>
      <w:tblPr/>
      <w:tcPr>
        <w:tcBorders>
          <w:top w:val="single" w:sz="4" w:space="0" w:color="41AEBD"/>
          <w:left w:val="single" w:sz="4" w:space="0" w:color="41AEBD"/>
          <w:bottom w:val="single" w:sz="4" w:space="0" w:color="41AEBD"/>
          <w:right w:val="single" w:sz="4" w:space="0" w:color="41AEBD"/>
          <w:insideH w:val="nil"/>
          <w:insideV w:val="nil"/>
        </w:tcBorders>
        <w:shd w:val="clear" w:color="auto" w:fill="41AEBD"/>
      </w:tcPr>
    </w:tblStylePr>
    <w:tblStylePr w:type="lastRow">
      <w:rPr>
        <w:b/>
        <w:bCs/>
      </w:rPr>
      <w:tblPr/>
      <w:tcPr>
        <w:tcBorders>
          <w:top w:val="double" w:sz="4" w:space="0" w:color="41AEBD"/>
        </w:tcBorders>
      </w:tcPr>
    </w:tblStylePr>
    <w:tblStylePr w:type="firstCol">
      <w:rPr>
        <w:b/>
        <w:bCs/>
      </w:rPr>
    </w:tblStylePr>
    <w:tblStylePr w:type="lastCol">
      <w:rPr>
        <w:b/>
        <w:bCs/>
      </w:rPr>
    </w:tblStylePr>
    <w:tblStylePr w:type="band1Vert">
      <w:tblPr/>
      <w:tcPr>
        <w:shd w:val="clear" w:color="auto" w:fill="D8EEF2"/>
      </w:tcPr>
    </w:tblStylePr>
    <w:tblStylePr w:type="band1Horz">
      <w:tblPr/>
      <w:tcPr>
        <w:shd w:val="clear" w:color="auto" w:fill="D8EEF2"/>
      </w:tcPr>
    </w:tblStylePr>
  </w:style>
  <w:style w:type="table" w:customStyle="1" w:styleId="GridTable4-Accent44">
    <w:name w:val="Grid Table 4 - Accent 44"/>
    <w:basedOn w:val="TableNormal"/>
    <w:uiPriority w:val="49"/>
    <w:rsid w:val="004238F0"/>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11">
    <w:name w:val="Grid Table 4 - Accent 11"/>
    <w:basedOn w:val="TableNormal"/>
    <w:uiPriority w:val="49"/>
    <w:rsid w:val="00BB3CE4"/>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51">
    <w:name w:val="Grid Table 4 - Accent 51"/>
    <w:basedOn w:val="TableNormal"/>
    <w:uiPriority w:val="49"/>
    <w:rsid w:val="00877A15"/>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Style1">
    <w:name w:val="Style1"/>
    <w:basedOn w:val="Normal"/>
    <w:link w:val="Style1Char"/>
    <w:qFormat/>
    <w:rsid w:val="00247AA9"/>
    <w:pPr>
      <w:pBdr>
        <w:top w:val="single" w:sz="4" w:space="1" w:color="D8D9DA"/>
        <w:bottom w:val="single" w:sz="4" w:space="1" w:color="D8D9DA"/>
      </w:pBdr>
      <w:spacing w:line="240" w:lineRule="auto"/>
    </w:pPr>
    <w:rPr>
      <w:bCs/>
      <w:color w:val="5F5F5F"/>
      <w:sz w:val="24"/>
    </w:rPr>
  </w:style>
  <w:style w:type="paragraph" w:customStyle="1" w:styleId="Style2">
    <w:name w:val="Style2"/>
    <w:basedOn w:val="Normal"/>
    <w:link w:val="Style2Char"/>
    <w:qFormat/>
    <w:rsid w:val="00247AA9"/>
    <w:rPr>
      <w:b/>
      <w:smallCaps/>
      <w:color w:val="006E95"/>
      <w:sz w:val="26"/>
    </w:rPr>
  </w:style>
  <w:style w:type="character" w:customStyle="1" w:styleId="Style1Char">
    <w:name w:val="Style1 Char"/>
    <w:basedOn w:val="DefaultParagraphFont"/>
    <w:link w:val="Style1"/>
    <w:rsid w:val="00247AA9"/>
    <w:rPr>
      <w:rFonts w:ascii="Calibri" w:eastAsia="Times New Roman" w:hAnsi="Calibri" w:cs="Times New Roman"/>
      <w:bCs/>
      <w:color w:val="5F5F5F"/>
      <w:sz w:val="24"/>
      <w:szCs w:val="18"/>
      <w:lang w:eastAsia="en-NZ"/>
    </w:rPr>
  </w:style>
  <w:style w:type="character" w:customStyle="1" w:styleId="Style2Char">
    <w:name w:val="Style2 Char"/>
    <w:basedOn w:val="DefaultParagraphFont"/>
    <w:link w:val="Style2"/>
    <w:rsid w:val="00247AA9"/>
    <w:rPr>
      <w:rFonts w:ascii="Calibri" w:eastAsia="Times New Roman" w:hAnsi="Calibri" w:cs="Times New Roman"/>
      <w:b/>
      <w:smallCaps/>
      <w:color w:val="006E95"/>
      <w:sz w:val="26"/>
      <w:szCs w:val="18"/>
      <w:lang w:eastAsia="en-NZ"/>
    </w:rPr>
  </w:style>
  <w:style w:type="table" w:styleId="TableGrid">
    <w:name w:val="Table Grid"/>
    <w:basedOn w:val="TableNormal"/>
    <w:uiPriority w:val="59"/>
    <w:rsid w:val="00424E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42488E"/>
    <w:pPr>
      <w:spacing w:after="0" w:line="240" w:lineRule="auto"/>
    </w:pPr>
    <w:rPr>
      <w:rFonts w:eastAsiaTheme="minorHAnsi" w:cstheme="minorBidi"/>
      <w:szCs w:val="21"/>
      <w:lang w:eastAsia="en-US"/>
    </w:rPr>
  </w:style>
  <w:style w:type="character" w:customStyle="1" w:styleId="PlainTextChar">
    <w:name w:val="Plain Text Char"/>
    <w:basedOn w:val="DefaultParagraphFont"/>
    <w:link w:val="PlainText"/>
    <w:uiPriority w:val="99"/>
    <w:semiHidden/>
    <w:rsid w:val="0042488E"/>
    <w:rPr>
      <w:rFonts w:ascii="Calibri" w:hAnsi="Calibri"/>
      <w:szCs w:val="21"/>
    </w:rPr>
  </w:style>
  <w:style w:type="character" w:customStyle="1" w:styleId="Heading4Char">
    <w:name w:val="Heading 4 Char"/>
    <w:basedOn w:val="DefaultParagraphFont"/>
    <w:link w:val="Heading4"/>
    <w:uiPriority w:val="9"/>
    <w:rsid w:val="00592AFE"/>
    <w:rPr>
      <w:rFonts w:eastAsiaTheme="majorEastAsia" w:cstheme="majorBidi"/>
      <w:i/>
      <w:iCs/>
      <w:color w:val="548DD4" w:themeColor="text2" w:themeTint="99"/>
      <w:szCs w:val="18"/>
    </w:rPr>
  </w:style>
  <w:style w:type="character" w:customStyle="1" w:styleId="Heading5Char">
    <w:name w:val="Heading 5 Char"/>
    <w:basedOn w:val="DefaultParagraphFont"/>
    <w:link w:val="Heading5"/>
    <w:uiPriority w:val="9"/>
    <w:rsid w:val="005577F4"/>
    <w:rPr>
      <w:rFonts w:asciiTheme="majorHAnsi" w:eastAsiaTheme="majorEastAsia" w:hAnsiTheme="majorHAnsi" w:cstheme="majorBidi"/>
      <w:color w:val="365F91" w:themeColor="accent1" w:themeShade="BF"/>
      <w:szCs w:val="18"/>
      <w:lang w:eastAsia="en-NZ"/>
    </w:rPr>
  </w:style>
  <w:style w:type="paragraph" w:customStyle="1" w:styleId="dummyheading">
    <w:name w:val="dummy heading"/>
    <w:basedOn w:val="Heading2"/>
    <w:link w:val="dummyheadingChar"/>
    <w:qFormat/>
    <w:rsid w:val="00EB3050"/>
    <w:pPr>
      <w:numPr>
        <w:ilvl w:val="0"/>
        <w:numId w:val="0"/>
      </w:numPr>
      <w:ind w:left="652" w:hanging="652"/>
    </w:pPr>
  </w:style>
  <w:style w:type="character" w:customStyle="1" w:styleId="dummyheadingChar">
    <w:name w:val="dummy heading Char"/>
    <w:basedOn w:val="Heading2Char"/>
    <w:link w:val="dummyheading"/>
    <w:rsid w:val="00EB3050"/>
    <w:rPr>
      <w:rFonts w:ascii="Calibri" w:eastAsia="Calibri" w:hAnsi="Calibri" w:cs="Arial"/>
      <w:b/>
      <w:smallCaps/>
      <w:color w:val="006E95"/>
      <w:spacing w:val="20"/>
      <w:sz w:val="26"/>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71877">
      <w:bodyDiv w:val="1"/>
      <w:marLeft w:val="0"/>
      <w:marRight w:val="0"/>
      <w:marTop w:val="0"/>
      <w:marBottom w:val="0"/>
      <w:divBdr>
        <w:top w:val="none" w:sz="0" w:space="0" w:color="auto"/>
        <w:left w:val="none" w:sz="0" w:space="0" w:color="auto"/>
        <w:bottom w:val="none" w:sz="0" w:space="0" w:color="auto"/>
        <w:right w:val="none" w:sz="0" w:space="0" w:color="auto"/>
      </w:divBdr>
      <w:divsChild>
        <w:div w:id="550845547">
          <w:marLeft w:val="706"/>
          <w:marRight w:val="0"/>
          <w:marTop w:val="58"/>
          <w:marBottom w:val="0"/>
          <w:divBdr>
            <w:top w:val="none" w:sz="0" w:space="0" w:color="auto"/>
            <w:left w:val="none" w:sz="0" w:space="0" w:color="auto"/>
            <w:bottom w:val="none" w:sz="0" w:space="0" w:color="auto"/>
            <w:right w:val="none" w:sz="0" w:space="0" w:color="auto"/>
          </w:divBdr>
        </w:div>
        <w:div w:id="62920655">
          <w:marLeft w:val="706"/>
          <w:marRight w:val="0"/>
          <w:marTop w:val="58"/>
          <w:marBottom w:val="0"/>
          <w:divBdr>
            <w:top w:val="none" w:sz="0" w:space="0" w:color="auto"/>
            <w:left w:val="none" w:sz="0" w:space="0" w:color="auto"/>
            <w:bottom w:val="none" w:sz="0" w:space="0" w:color="auto"/>
            <w:right w:val="none" w:sz="0" w:space="0" w:color="auto"/>
          </w:divBdr>
        </w:div>
        <w:div w:id="245266187">
          <w:marLeft w:val="706"/>
          <w:marRight w:val="0"/>
          <w:marTop w:val="58"/>
          <w:marBottom w:val="0"/>
          <w:divBdr>
            <w:top w:val="none" w:sz="0" w:space="0" w:color="auto"/>
            <w:left w:val="none" w:sz="0" w:space="0" w:color="auto"/>
            <w:bottom w:val="none" w:sz="0" w:space="0" w:color="auto"/>
            <w:right w:val="none" w:sz="0" w:space="0" w:color="auto"/>
          </w:divBdr>
        </w:div>
      </w:divsChild>
    </w:div>
    <w:div w:id="59988296">
      <w:bodyDiv w:val="1"/>
      <w:marLeft w:val="0"/>
      <w:marRight w:val="0"/>
      <w:marTop w:val="0"/>
      <w:marBottom w:val="0"/>
      <w:divBdr>
        <w:top w:val="none" w:sz="0" w:space="0" w:color="auto"/>
        <w:left w:val="none" w:sz="0" w:space="0" w:color="auto"/>
        <w:bottom w:val="none" w:sz="0" w:space="0" w:color="auto"/>
        <w:right w:val="none" w:sz="0" w:space="0" w:color="auto"/>
      </w:divBdr>
    </w:div>
    <w:div w:id="80445283">
      <w:bodyDiv w:val="1"/>
      <w:marLeft w:val="0"/>
      <w:marRight w:val="0"/>
      <w:marTop w:val="0"/>
      <w:marBottom w:val="0"/>
      <w:divBdr>
        <w:top w:val="none" w:sz="0" w:space="0" w:color="auto"/>
        <w:left w:val="none" w:sz="0" w:space="0" w:color="auto"/>
        <w:bottom w:val="none" w:sz="0" w:space="0" w:color="auto"/>
        <w:right w:val="none" w:sz="0" w:space="0" w:color="auto"/>
      </w:divBdr>
    </w:div>
    <w:div w:id="169877450">
      <w:bodyDiv w:val="1"/>
      <w:marLeft w:val="0"/>
      <w:marRight w:val="0"/>
      <w:marTop w:val="0"/>
      <w:marBottom w:val="0"/>
      <w:divBdr>
        <w:top w:val="none" w:sz="0" w:space="0" w:color="auto"/>
        <w:left w:val="none" w:sz="0" w:space="0" w:color="auto"/>
        <w:bottom w:val="none" w:sz="0" w:space="0" w:color="auto"/>
        <w:right w:val="none" w:sz="0" w:space="0" w:color="auto"/>
      </w:divBdr>
      <w:divsChild>
        <w:div w:id="219631816">
          <w:marLeft w:val="706"/>
          <w:marRight w:val="0"/>
          <w:marTop w:val="58"/>
          <w:marBottom w:val="0"/>
          <w:divBdr>
            <w:top w:val="none" w:sz="0" w:space="0" w:color="auto"/>
            <w:left w:val="none" w:sz="0" w:space="0" w:color="auto"/>
            <w:bottom w:val="none" w:sz="0" w:space="0" w:color="auto"/>
            <w:right w:val="none" w:sz="0" w:space="0" w:color="auto"/>
          </w:divBdr>
        </w:div>
        <w:div w:id="516507071">
          <w:marLeft w:val="706"/>
          <w:marRight w:val="0"/>
          <w:marTop w:val="58"/>
          <w:marBottom w:val="0"/>
          <w:divBdr>
            <w:top w:val="none" w:sz="0" w:space="0" w:color="auto"/>
            <w:left w:val="none" w:sz="0" w:space="0" w:color="auto"/>
            <w:bottom w:val="none" w:sz="0" w:space="0" w:color="auto"/>
            <w:right w:val="none" w:sz="0" w:space="0" w:color="auto"/>
          </w:divBdr>
        </w:div>
        <w:div w:id="808790309">
          <w:marLeft w:val="706"/>
          <w:marRight w:val="0"/>
          <w:marTop w:val="58"/>
          <w:marBottom w:val="0"/>
          <w:divBdr>
            <w:top w:val="none" w:sz="0" w:space="0" w:color="auto"/>
            <w:left w:val="none" w:sz="0" w:space="0" w:color="auto"/>
            <w:bottom w:val="none" w:sz="0" w:space="0" w:color="auto"/>
            <w:right w:val="none" w:sz="0" w:space="0" w:color="auto"/>
          </w:divBdr>
        </w:div>
        <w:div w:id="244384918">
          <w:marLeft w:val="706"/>
          <w:marRight w:val="0"/>
          <w:marTop w:val="58"/>
          <w:marBottom w:val="0"/>
          <w:divBdr>
            <w:top w:val="none" w:sz="0" w:space="0" w:color="auto"/>
            <w:left w:val="none" w:sz="0" w:space="0" w:color="auto"/>
            <w:bottom w:val="none" w:sz="0" w:space="0" w:color="auto"/>
            <w:right w:val="none" w:sz="0" w:space="0" w:color="auto"/>
          </w:divBdr>
        </w:div>
      </w:divsChild>
    </w:div>
    <w:div w:id="203948082">
      <w:bodyDiv w:val="1"/>
      <w:marLeft w:val="0"/>
      <w:marRight w:val="0"/>
      <w:marTop w:val="0"/>
      <w:marBottom w:val="0"/>
      <w:divBdr>
        <w:top w:val="none" w:sz="0" w:space="0" w:color="auto"/>
        <w:left w:val="none" w:sz="0" w:space="0" w:color="auto"/>
        <w:bottom w:val="none" w:sz="0" w:space="0" w:color="auto"/>
        <w:right w:val="none" w:sz="0" w:space="0" w:color="auto"/>
      </w:divBdr>
      <w:divsChild>
        <w:div w:id="1370377820">
          <w:marLeft w:val="706"/>
          <w:marRight w:val="0"/>
          <w:marTop w:val="58"/>
          <w:marBottom w:val="0"/>
          <w:divBdr>
            <w:top w:val="none" w:sz="0" w:space="0" w:color="auto"/>
            <w:left w:val="none" w:sz="0" w:space="0" w:color="auto"/>
            <w:bottom w:val="none" w:sz="0" w:space="0" w:color="auto"/>
            <w:right w:val="none" w:sz="0" w:space="0" w:color="auto"/>
          </w:divBdr>
        </w:div>
        <w:div w:id="624458812">
          <w:marLeft w:val="706"/>
          <w:marRight w:val="0"/>
          <w:marTop w:val="58"/>
          <w:marBottom w:val="0"/>
          <w:divBdr>
            <w:top w:val="none" w:sz="0" w:space="0" w:color="auto"/>
            <w:left w:val="none" w:sz="0" w:space="0" w:color="auto"/>
            <w:bottom w:val="none" w:sz="0" w:space="0" w:color="auto"/>
            <w:right w:val="none" w:sz="0" w:space="0" w:color="auto"/>
          </w:divBdr>
        </w:div>
        <w:div w:id="1855923603">
          <w:marLeft w:val="706"/>
          <w:marRight w:val="0"/>
          <w:marTop w:val="58"/>
          <w:marBottom w:val="0"/>
          <w:divBdr>
            <w:top w:val="none" w:sz="0" w:space="0" w:color="auto"/>
            <w:left w:val="none" w:sz="0" w:space="0" w:color="auto"/>
            <w:bottom w:val="none" w:sz="0" w:space="0" w:color="auto"/>
            <w:right w:val="none" w:sz="0" w:space="0" w:color="auto"/>
          </w:divBdr>
        </w:div>
        <w:div w:id="1043096987">
          <w:marLeft w:val="706"/>
          <w:marRight w:val="0"/>
          <w:marTop w:val="58"/>
          <w:marBottom w:val="0"/>
          <w:divBdr>
            <w:top w:val="none" w:sz="0" w:space="0" w:color="auto"/>
            <w:left w:val="none" w:sz="0" w:space="0" w:color="auto"/>
            <w:bottom w:val="none" w:sz="0" w:space="0" w:color="auto"/>
            <w:right w:val="none" w:sz="0" w:space="0" w:color="auto"/>
          </w:divBdr>
        </w:div>
        <w:div w:id="1778526628">
          <w:marLeft w:val="706"/>
          <w:marRight w:val="0"/>
          <w:marTop w:val="58"/>
          <w:marBottom w:val="0"/>
          <w:divBdr>
            <w:top w:val="none" w:sz="0" w:space="0" w:color="auto"/>
            <w:left w:val="none" w:sz="0" w:space="0" w:color="auto"/>
            <w:bottom w:val="none" w:sz="0" w:space="0" w:color="auto"/>
            <w:right w:val="none" w:sz="0" w:space="0" w:color="auto"/>
          </w:divBdr>
        </w:div>
      </w:divsChild>
    </w:div>
    <w:div w:id="210776640">
      <w:bodyDiv w:val="1"/>
      <w:marLeft w:val="0"/>
      <w:marRight w:val="0"/>
      <w:marTop w:val="0"/>
      <w:marBottom w:val="0"/>
      <w:divBdr>
        <w:top w:val="none" w:sz="0" w:space="0" w:color="auto"/>
        <w:left w:val="none" w:sz="0" w:space="0" w:color="auto"/>
        <w:bottom w:val="none" w:sz="0" w:space="0" w:color="auto"/>
        <w:right w:val="none" w:sz="0" w:space="0" w:color="auto"/>
      </w:divBdr>
    </w:div>
    <w:div w:id="220480549">
      <w:bodyDiv w:val="1"/>
      <w:marLeft w:val="0"/>
      <w:marRight w:val="0"/>
      <w:marTop w:val="0"/>
      <w:marBottom w:val="0"/>
      <w:divBdr>
        <w:top w:val="none" w:sz="0" w:space="0" w:color="auto"/>
        <w:left w:val="none" w:sz="0" w:space="0" w:color="auto"/>
        <w:bottom w:val="none" w:sz="0" w:space="0" w:color="auto"/>
        <w:right w:val="none" w:sz="0" w:space="0" w:color="auto"/>
      </w:divBdr>
      <w:divsChild>
        <w:div w:id="1551845905">
          <w:marLeft w:val="706"/>
          <w:marRight w:val="0"/>
          <w:marTop w:val="58"/>
          <w:marBottom w:val="0"/>
          <w:divBdr>
            <w:top w:val="none" w:sz="0" w:space="0" w:color="auto"/>
            <w:left w:val="none" w:sz="0" w:space="0" w:color="auto"/>
            <w:bottom w:val="none" w:sz="0" w:space="0" w:color="auto"/>
            <w:right w:val="none" w:sz="0" w:space="0" w:color="auto"/>
          </w:divBdr>
        </w:div>
        <w:div w:id="1791779511">
          <w:marLeft w:val="1138"/>
          <w:marRight w:val="0"/>
          <w:marTop w:val="58"/>
          <w:marBottom w:val="0"/>
          <w:divBdr>
            <w:top w:val="none" w:sz="0" w:space="0" w:color="auto"/>
            <w:left w:val="none" w:sz="0" w:space="0" w:color="auto"/>
            <w:bottom w:val="none" w:sz="0" w:space="0" w:color="auto"/>
            <w:right w:val="none" w:sz="0" w:space="0" w:color="auto"/>
          </w:divBdr>
        </w:div>
        <w:div w:id="1379015535">
          <w:marLeft w:val="1138"/>
          <w:marRight w:val="0"/>
          <w:marTop w:val="58"/>
          <w:marBottom w:val="0"/>
          <w:divBdr>
            <w:top w:val="none" w:sz="0" w:space="0" w:color="auto"/>
            <w:left w:val="none" w:sz="0" w:space="0" w:color="auto"/>
            <w:bottom w:val="none" w:sz="0" w:space="0" w:color="auto"/>
            <w:right w:val="none" w:sz="0" w:space="0" w:color="auto"/>
          </w:divBdr>
        </w:div>
        <w:div w:id="1307317441">
          <w:marLeft w:val="706"/>
          <w:marRight w:val="0"/>
          <w:marTop w:val="58"/>
          <w:marBottom w:val="0"/>
          <w:divBdr>
            <w:top w:val="none" w:sz="0" w:space="0" w:color="auto"/>
            <w:left w:val="none" w:sz="0" w:space="0" w:color="auto"/>
            <w:bottom w:val="none" w:sz="0" w:space="0" w:color="auto"/>
            <w:right w:val="none" w:sz="0" w:space="0" w:color="auto"/>
          </w:divBdr>
        </w:div>
        <w:div w:id="762649245">
          <w:marLeft w:val="1138"/>
          <w:marRight w:val="0"/>
          <w:marTop w:val="58"/>
          <w:marBottom w:val="0"/>
          <w:divBdr>
            <w:top w:val="none" w:sz="0" w:space="0" w:color="auto"/>
            <w:left w:val="none" w:sz="0" w:space="0" w:color="auto"/>
            <w:bottom w:val="none" w:sz="0" w:space="0" w:color="auto"/>
            <w:right w:val="none" w:sz="0" w:space="0" w:color="auto"/>
          </w:divBdr>
        </w:div>
        <w:div w:id="26219496">
          <w:marLeft w:val="706"/>
          <w:marRight w:val="0"/>
          <w:marTop w:val="58"/>
          <w:marBottom w:val="0"/>
          <w:divBdr>
            <w:top w:val="none" w:sz="0" w:space="0" w:color="auto"/>
            <w:left w:val="none" w:sz="0" w:space="0" w:color="auto"/>
            <w:bottom w:val="none" w:sz="0" w:space="0" w:color="auto"/>
            <w:right w:val="none" w:sz="0" w:space="0" w:color="auto"/>
          </w:divBdr>
        </w:div>
        <w:div w:id="1948005364">
          <w:marLeft w:val="1138"/>
          <w:marRight w:val="0"/>
          <w:marTop w:val="58"/>
          <w:marBottom w:val="0"/>
          <w:divBdr>
            <w:top w:val="none" w:sz="0" w:space="0" w:color="auto"/>
            <w:left w:val="none" w:sz="0" w:space="0" w:color="auto"/>
            <w:bottom w:val="none" w:sz="0" w:space="0" w:color="auto"/>
            <w:right w:val="none" w:sz="0" w:space="0" w:color="auto"/>
          </w:divBdr>
        </w:div>
        <w:div w:id="1222594540">
          <w:marLeft w:val="1138"/>
          <w:marRight w:val="0"/>
          <w:marTop w:val="58"/>
          <w:marBottom w:val="0"/>
          <w:divBdr>
            <w:top w:val="none" w:sz="0" w:space="0" w:color="auto"/>
            <w:left w:val="none" w:sz="0" w:space="0" w:color="auto"/>
            <w:bottom w:val="none" w:sz="0" w:space="0" w:color="auto"/>
            <w:right w:val="none" w:sz="0" w:space="0" w:color="auto"/>
          </w:divBdr>
        </w:div>
        <w:div w:id="1307122631">
          <w:marLeft w:val="706"/>
          <w:marRight w:val="0"/>
          <w:marTop w:val="58"/>
          <w:marBottom w:val="0"/>
          <w:divBdr>
            <w:top w:val="none" w:sz="0" w:space="0" w:color="auto"/>
            <w:left w:val="none" w:sz="0" w:space="0" w:color="auto"/>
            <w:bottom w:val="none" w:sz="0" w:space="0" w:color="auto"/>
            <w:right w:val="none" w:sz="0" w:space="0" w:color="auto"/>
          </w:divBdr>
        </w:div>
        <w:div w:id="1011180956">
          <w:marLeft w:val="1138"/>
          <w:marRight w:val="0"/>
          <w:marTop w:val="58"/>
          <w:marBottom w:val="0"/>
          <w:divBdr>
            <w:top w:val="none" w:sz="0" w:space="0" w:color="auto"/>
            <w:left w:val="none" w:sz="0" w:space="0" w:color="auto"/>
            <w:bottom w:val="none" w:sz="0" w:space="0" w:color="auto"/>
            <w:right w:val="none" w:sz="0" w:space="0" w:color="auto"/>
          </w:divBdr>
        </w:div>
        <w:div w:id="1571304025">
          <w:marLeft w:val="1138"/>
          <w:marRight w:val="0"/>
          <w:marTop w:val="58"/>
          <w:marBottom w:val="0"/>
          <w:divBdr>
            <w:top w:val="none" w:sz="0" w:space="0" w:color="auto"/>
            <w:left w:val="none" w:sz="0" w:space="0" w:color="auto"/>
            <w:bottom w:val="none" w:sz="0" w:space="0" w:color="auto"/>
            <w:right w:val="none" w:sz="0" w:space="0" w:color="auto"/>
          </w:divBdr>
        </w:div>
        <w:div w:id="93522474">
          <w:marLeft w:val="706"/>
          <w:marRight w:val="0"/>
          <w:marTop w:val="58"/>
          <w:marBottom w:val="0"/>
          <w:divBdr>
            <w:top w:val="none" w:sz="0" w:space="0" w:color="auto"/>
            <w:left w:val="none" w:sz="0" w:space="0" w:color="auto"/>
            <w:bottom w:val="none" w:sz="0" w:space="0" w:color="auto"/>
            <w:right w:val="none" w:sz="0" w:space="0" w:color="auto"/>
          </w:divBdr>
        </w:div>
        <w:div w:id="1670447922">
          <w:marLeft w:val="1138"/>
          <w:marRight w:val="0"/>
          <w:marTop w:val="58"/>
          <w:marBottom w:val="0"/>
          <w:divBdr>
            <w:top w:val="none" w:sz="0" w:space="0" w:color="auto"/>
            <w:left w:val="none" w:sz="0" w:space="0" w:color="auto"/>
            <w:bottom w:val="none" w:sz="0" w:space="0" w:color="auto"/>
            <w:right w:val="none" w:sz="0" w:space="0" w:color="auto"/>
          </w:divBdr>
        </w:div>
      </w:divsChild>
    </w:div>
    <w:div w:id="314333475">
      <w:bodyDiv w:val="1"/>
      <w:marLeft w:val="0"/>
      <w:marRight w:val="0"/>
      <w:marTop w:val="0"/>
      <w:marBottom w:val="0"/>
      <w:divBdr>
        <w:top w:val="none" w:sz="0" w:space="0" w:color="auto"/>
        <w:left w:val="none" w:sz="0" w:space="0" w:color="auto"/>
        <w:bottom w:val="none" w:sz="0" w:space="0" w:color="auto"/>
        <w:right w:val="none" w:sz="0" w:space="0" w:color="auto"/>
      </w:divBdr>
    </w:div>
    <w:div w:id="324238822">
      <w:bodyDiv w:val="1"/>
      <w:marLeft w:val="0"/>
      <w:marRight w:val="0"/>
      <w:marTop w:val="0"/>
      <w:marBottom w:val="0"/>
      <w:divBdr>
        <w:top w:val="none" w:sz="0" w:space="0" w:color="auto"/>
        <w:left w:val="none" w:sz="0" w:space="0" w:color="auto"/>
        <w:bottom w:val="none" w:sz="0" w:space="0" w:color="auto"/>
        <w:right w:val="none" w:sz="0" w:space="0" w:color="auto"/>
      </w:divBdr>
    </w:div>
    <w:div w:id="372273879">
      <w:bodyDiv w:val="1"/>
      <w:marLeft w:val="0"/>
      <w:marRight w:val="0"/>
      <w:marTop w:val="0"/>
      <w:marBottom w:val="0"/>
      <w:divBdr>
        <w:top w:val="none" w:sz="0" w:space="0" w:color="auto"/>
        <w:left w:val="none" w:sz="0" w:space="0" w:color="auto"/>
        <w:bottom w:val="none" w:sz="0" w:space="0" w:color="auto"/>
        <w:right w:val="none" w:sz="0" w:space="0" w:color="auto"/>
      </w:divBdr>
    </w:div>
    <w:div w:id="386153263">
      <w:bodyDiv w:val="1"/>
      <w:marLeft w:val="0"/>
      <w:marRight w:val="0"/>
      <w:marTop w:val="0"/>
      <w:marBottom w:val="0"/>
      <w:divBdr>
        <w:top w:val="none" w:sz="0" w:space="0" w:color="auto"/>
        <w:left w:val="none" w:sz="0" w:space="0" w:color="auto"/>
        <w:bottom w:val="none" w:sz="0" w:space="0" w:color="auto"/>
        <w:right w:val="none" w:sz="0" w:space="0" w:color="auto"/>
      </w:divBdr>
      <w:divsChild>
        <w:div w:id="1084103710">
          <w:marLeft w:val="706"/>
          <w:marRight w:val="0"/>
          <w:marTop w:val="58"/>
          <w:marBottom w:val="0"/>
          <w:divBdr>
            <w:top w:val="none" w:sz="0" w:space="0" w:color="auto"/>
            <w:left w:val="none" w:sz="0" w:space="0" w:color="auto"/>
            <w:bottom w:val="none" w:sz="0" w:space="0" w:color="auto"/>
            <w:right w:val="none" w:sz="0" w:space="0" w:color="auto"/>
          </w:divBdr>
        </w:div>
        <w:div w:id="676886397">
          <w:marLeft w:val="706"/>
          <w:marRight w:val="0"/>
          <w:marTop w:val="58"/>
          <w:marBottom w:val="0"/>
          <w:divBdr>
            <w:top w:val="none" w:sz="0" w:space="0" w:color="auto"/>
            <w:left w:val="none" w:sz="0" w:space="0" w:color="auto"/>
            <w:bottom w:val="none" w:sz="0" w:space="0" w:color="auto"/>
            <w:right w:val="none" w:sz="0" w:space="0" w:color="auto"/>
          </w:divBdr>
        </w:div>
        <w:div w:id="1816750328">
          <w:marLeft w:val="706"/>
          <w:marRight w:val="0"/>
          <w:marTop w:val="58"/>
          <w:marBottom w:val="0"/>
          <w:divBdr>
            <w:top w:val="none" w:sz="0" w:space="0" w:color="auto"/>
            <w:left w:val="none" w:sz="0" w:space="0" w:color="auto"/>
            <w:bottom w:val="none" w:sz="0" w:space="0" w:color="auto"/>
            <w:right w:val="none" w:sz="0" w:space="0" w:color="auto"/>
          </w:divBdr>
        </w:div>
        <w:div w:id="2036344328">
          <w:marLeft w:val="706"/>
          <w:marRight w:val="0"/>
          <w:marTop w:val="58"/>
          <w:marBottom w:val="0"/>
          <w:divBdr>
            <w:top w:val="none" w:sz="0" w:space="0" w:color="auto"/>
            <w:left w:val="none" w:sz="0" w:space="0" w:color="auto"/>
            <w:bottom w:val="none" w:sz="0" w:space="0" w:color="auto"/>
            <w:right w:val="none" w:sz="0" w:space="0" w:color="auto"/>
          </w:divBdr>
        </w:div>
      </w:divsChild>
    </w:div>
    <w:div w:id="389152852">
      <w:bodyDiv w:val="1"/>
      <w:marLeft w:val="0"/>
      <w:marRight w:val="0"/>
      <w:marTop w:val="0"/>
      <w:marBottom w:val="0"/>
      <w:divBdr>
        <w:top w:val="none" w:sz="0" w:space="0" w:color="auto"/>
        <w:left w:val="none" w:sz="0" w:space="0" w:color="auto"/>
        <w:bottom w:val="none" w:sz="0" w:space="0" w:color="auto"/>
        <w:right w:val="none" w:sz="0" w:space="0" w:color="auto"/>
      </w:divBdr>
      <w:divsChild>
        <w:div w:id="737479364">
          <w:marLeft w:val="706"/>
          <w:marRight w:val="0"/>
          <w:marTop w:val="58"/>
          <w:marBottom w:val="0"/>
          <w:divBdr>
            <w:top w:val="none" w:sz="0" w:space="0" w:color="auto"/>
            <w:left w:val="none" w:sz="0" w:space="0" w:color="auto"/>
            <w:bottom w:val="none" w:sz="0" w:space="0" w:color="auto"/>
            <w:right w:val="none" w:sz="0" w:space="0" w:color="auto"/>
          </w:divBdr>
        </w:div>
        <w:div w:id="560290472">
          <w:marLeft w:val="706"/>
          <w:marRight w:val="0"/>
          <w:marTop w:val="58"/>
          <w:marBottom w:val="0"/>
          <w:divBdr>
            <w:top w:val="none" w:sz="0" w:space="0" w:color="auto"/>
            <w:left w:val="none" w:sz="0" w:space="0" w:color="auto"/>
            <w:bottom w:val="none" w:sz="0" w:space="0" w:color="auto"/>
            <w:right w:val="none" w:sz="0" w:space="0" w:color="auto"/>
          </w:divBdr>
        </w:div>
        <w:div w:id="211383840">
          <w:marLeft w:val="706"/>
          <w:marRight w:val="0"/>
          <w:marTop w:val="58"/>
          <w:marBottom w:val="0"/>
          <w:divBdr>
            <w:top w:val="none" w:sz="0" w:space="0" w:color="auto"/>
            <w:left w:val="none" w:sz="0" w:space="0" w:color="auto"/>
            <w:bottom w:val="none" w:sz="0" w:space="0" w:color="auto"/>
            <w:right w:val="none" w:sz="0" w:space="0" w:color="auto"/>
          </w:divBdr>
        </w:div>
        <w:div w:id="1270157801">
          <w:marLeft w:val="706"/>
          <w:marRight w:val="0"/>
          <w:marTop w:val="58"/>
          <w:marBottom w:val="0"/>
          <w:divBdr>
            <w:top w:val="none" w:sz="0" w:space="0" w:color="auto"/>
            <w:left w:val="none" w:sz="0" w:space="0" w:color="auto"/>
            <w:bottom w:val="none" w:sz="0" w:space="0" w:color="auto"/>
            <w:right w:val="none" w:sz="0" w:space="0" w:color="auto"/>
          </w:divBdr>
        </w:div>
        <w:div w:id="1703936671">
          <w:marLeft w:val="706"/>
          <w:marRight w:val="0"/>
          <w:marTop w:val="58"/>
          <w:marBottom w:val="0"/>
          <w:divBdr>
            <w:top w:val="none" w:sz="0" w:space="0" w:color="auto"/>
            <w:left w:val="none" w:sz="0" w:space="0" w:color="auto"/>
            <w:bottom w:val="none" w:sz="0" w:space="0" w:color="auto"/>
            <w:right w:val="none" w:sz="0" w:space="0" w:color="auto"/>
          </w:divBdr>
        </w:div>
        <w:div w:id="1088886565">
          <w:marLeft w:val="706"/>
          <w:marRight w:val="0"/>
          <w:marTop w:val="58"/>
          <w:marBottom w:val="0"/>
          <w:divBdr>
            <w:top w:val="none" w:sz="0" w:space="0" w:color="auto"/>
            <w:left w:val="none" w:sz="0" w:space="0" w:color="auto"/>
            <w:bottom w:val="none" w:sz="0" w:space="0" w:color="auto"/>
            <w:right w:val="none" w:sz="0" w:space="0" w:color="auto"/>
          </w:divBdr>
        </w:div>
        <w:div w:id="339741230">
          <w:marLeft w:val="706"/>
          <w:marRight w:val="0"/>
          <w:marTop w:val="58"/>
          <w:marBottom w:val="0"/>
          <w:divBdr>
            <w:top w:val="none" w:sz="0" w:space="0" w:color="auto"/>
            <w:left w:val="none" w:sz="0" w:space="0" w:color="auto"/>
            <w:bottom w:val="none" w:sz="0" w:space="0" w:color="auto"/>
            <w:right w:val="none" w:sz="0" w:space="0" w:color="auto"/>
          </w:divBdr>
        </w:div>
        <w:div w:id="1556356075">
          <w:marLeft w:val="706"/>
          <w:marRight w:val="0"/>
          <w:marTop w:val="58"/>
          <w:marBottom w:val="0"/>
          <w:divBdr>
            <w:top w:val="none" w:sz="0" w:space="0" w:color="auto"/>
            <w:left w:val="none" w:sz="0" w:space="0" w:color="auto"/>
            <w:bottom w:val="none" w:sz="0" w:space="0" w:color="auto"/>
            <w:right w:val="none" w:sz="0" w:space="0" w:color="auto"/>
          </w:divBdr>
        </w:div>
        <w:div w:id="1969509798">
          <w:marLeft w:val="706"/>
          <w:marRight w:val="0"/>
          <w:marTop w:val="58"/>
          <w:marBottom w:val="0"/>
          <w:divBdr>
            <w:top w:val="none" w:sz="0" w:space="0" w:color="auto"/>
            <w:left w:val="none" w:sz="0" w:space="0" w:color="auto"/>
            <w:bottom w:val="none" w:sz="0" w:space="0" w:color="auto"/>
            <w:right w:val="none" w:sz="0" w:space="0" w:color="auto"/>
          </w:divBdr>
        </w:div>
        <w:div w:id="1514568291">
          <w:marLeft w:val="706"/>
          <w:marRight w:val="0"/>
          <w:marTop w:val="58"/>
          <w:marBottom w:val="0"/>
          <w:divBdr>
            <w:top w:val="none" w:sz="0" w:space="0" w:color="auto"/>
            <w:left w:val="none" w:sz="0" w:space="0" w:color="auto"/>
            <w:bottom w:val="none" w:sz="0" w:space="0" w:color="auto"/>
            <w:right w:val="none" w:sz="0" w:space="0" w:color="auto"/>
          </w:divBdr>
        </w:div>
        <w:div w:id="1268846997">
          <w:marLeft w:val="706"/>
          <w:marRight w:val="0"/>
          <w:marTop w:val="58"/>
          <w:marBottom w:val="0"/>
          <w:divBdr>
            <w:top w:val="none" w:sz="0" w:space="0" w:color="auto"/>
            <w:left w:val="none" w:sz="0" w:space="0" w:color="auto"/>
            <w:bottom w:val="none" w:sz="0" w:space="0" w:color="auto"/>
            <w:right w:val="none" w:sz="0" w:space="0" w:color="auto"/>
          </w:divBdr>
        </w:div>
      </w:divsChild>
    </w:div>
    <w:div w:id="410009644">
      <w:bodyDiv w:val="1"/>
      <w:marLeft w:val="0"/>
      <w:marRight w:val="0"/>
      <w:marTop w:val="0"/>
      <w:marBottom w:val="0"/>
      <w:divBdr>
        <w:top w:val="none" w:sz="0" w:space="0" w:color="auto"/>
        <w:left w:val="none" w:sz="0" w:space="0" w:color="auto"/>
        <w:bottom w:val="none" w:sz="0" w:space="0" w:color="auto"/>
        <w:right w:val="none" w:sz="0" w:space="0" w:color="auto"/>
      </w:divBdr>
      <w:divsChild>
        <w:div w:id="1731341913">
          <w:marLeft w:val="1166"/>
          <w:marRight w:val="0"/>
          <w:marTop w:val="86"/>
          <w:marBottom w:val="0"/>
          <w:divBdr>
            <w:top w:val="none" w:sz="0" w:space="0" w:color="auto"/>
            <w:left w:val="none" w:sz="0" w:space="0" w:color="auto"/>
            <w:bottom w:val="none" w:sz="0" w:space="0" w:color="auto"/>
            <w:right w:val="none" w:sz="0" w:space="0" w:color="auto"/>
          </w:divBdr>
        </w:div>
      </w:divsChild>
    </w:div>
    <w:div w:id="421798547">
      <w:bodyDiv w:val="1"/>
      <w:marLeft w:val="0"/>
      <w:marRight w:val="0"/>
      <w:marTop w:val="0"/>
      <w:marBottom w:val="0"/>
      <w:divBdr>
        <w:top w:val="none" w:sz="0" w:space="0" w:color="auto"/>
        <w:left w:val="none" w:sz="0" w:space="0" w:color="auto"/>
        <w:bottom w:val="none" w:sz="0" w:space="0" w:color="auto"/>
        <w:right w:val="none" w:sz="0" w:space="0" w:color="auto"/>
      </w:divBdr>
    </w:div>
    <w:div w:id="465122655">
      <w:bodyDiv w:val="1"/>
      <w:marLeft w:val="0"/>
      <w:marRight w:val="0"/>
      <w:marTop w:val="0"/>
      <w:marBottom w:val="0"/>
      <w:divBdr>
        <w:top w:val="none" w:sz="0" w:space="0" w:color="auto"/>
        <w:left w:val="none" w:sz="0" w:space="0" w:color="auto"/>
        <w:bottom w:val="none" w:sz="0" w:space="0" w:color="auto"/>
        <w:right w:val="none" w:sz="0" w:space="0" w:color="auto"/>
      </w:divBdr>
    </w:div>
    <w:div w:id="498347292">
      <w:bodyDiv w:val="1"/>
      <w:marLeft w:val="0"/>
      <w:marRight w:val="0"/>
      <w:marTop w:val="0"/>
      <w:marBottom w:val="0"/>
      <w:divBdr>
        <w:top w:val="none" w:sz="0" w:space="0" w:color="auto"/>
        <w:left w:val="none" w:sz="0" w:space="0" w:color="auto"/>
        <w:bottom w:val="none" w:sz="0" w:space="0" w:color="auto"/>
        <w:right w:val="none" w:sz="0" w:space="0" w:color="auto"/>
      </w:divBdr>
      <w:divsChild>
        <w:div w:id="1956674770">
          <w:marLeft w:val="706"/>
          <w:marRight w:val="0"/>
          <w:marTop w:val="58"/>
          <w:marBottom w:val="0"/>
          <w:divBdr>
            <w:top w:val="none" w:sz="0" w:space="0" w:color="auto"/>
            <w:left w:val="none" w:sz="0" w:space="0" w:color="auto"/>
            <w:bottom w:val="none" w:sz="0" w:space="0" w:color="auto"/>
            <w:right w:val="none" w:sz="0" w:space="0" w:color="auto"/>
          </w:divBdr>
        </w:div>
        <w:div w:id="860051189">
          <w:marLeft w:val="706"/>
          <w:marRight w:val="0"/>
          <w:marTop w:val="58"/>
          <w:marBottom w:val="0"/>
          <w:divBdr>
            <w:top w:val="none" w:sz="0" w:space="0" w:color="auto"/>
            <w:left w:val="none" w:sz="0" w:space="0" w:color="auto"/>
            <w:bottom w:val="none" w:sz="0" w:space="0" w:color="auto"/>
            <w:right w:val="none" w:sz="0" w:space="0" w:color="auto"/>
          </w:divBdr>
        </w:div>
        <w:div w:id="2119182399">
          <w:marLeft w:val="706"/>
          <w:marRight w:val="0"/>
          <w:marTop w:val="58"/>
          <w:marBottom w:val="0"/>
          <w:divBdr>
            <w:top w:val="none" w:sz="0" w:space="0" w:color="auto"/>
            <w:left w:val="none" w:sz="0" w:space="0" w:color="auto"/>
            <w:bottom w:val="none" w:sz="0" w:space="0" w:color="auto"/>
            <w:right w:val="none" w:sz="0" w:space="0" w:color="auto"/>
          </w:divBdr>
        </w:div>
        <w:div w:id="1848131205">
          <w:marLeft w:val="706"/>
          <w:marRight w:val="0"/>
          <w:marTop w:val="58"/>
          <w:marBottom w:val="0"/>
          <w:divBdr>
            <w:top w:val="none" w:sz="0" w:space="0" w:color="auto"/>
            <w:left w:val="none" w:sz="0" w:space="0" w:color="auto"/>
            <w:bottom w:val="none" w:sz="0" w:space="0" w:color="auto"/>
            <w:right w:val="none" w:sz="0" w:space="0" w:color="auto"/>
          </w:divBdr>
        </w:div>
      </w:divsChild>
    </w:div>
    <w:div w:id="502283956">
      <w:bodyDiv w:val="1"/>
      <w:marLeft w:val="0"/>
      <w:marRight w:val="0"/>
      <w:marTop w:val="0"/>
      <w:marBottom w:val="0"/>
      <w:divBdr>
        <w:top w:val="none" w:sz="0" w:space="0" w:color="auto"/>
        <w:left w:val="none" w:sz="0" w:space="0" w:color="auto"/>
        <w:bottom w:val="none" w:sz="0" w:space="0" w:color="auto"/>
        <w:right w:val="none" w:sz="0" w:space="0" w:color="auto"/>
      </w:divBdr>
    </w:div>
    <w:div w:id="523517275">
      <w:bodyDiv w:val="1"/>
      <w:marLeft w:val="0"/>
      <w:marRight w:val="0"/>
      <w:marTop w:val="0"/>
      <w:marBottom w:val="0"/>
      <w:divBdr>
        <w:top w:val="none" w:sz="0" w:space="0" w:color="auto"/>
        <w:left w:val="none" w:sz="0" w:space="0" w:color="auto"/>
        <w:bottom w:val="none" w:sz="0" w:space="0" w:color="auto"/>
        <w:right w:val="none" w:sz="0" w:space="0" w:color="auto"/>
      </w:divBdr>
    </w:div>
    <w:div w:id="538787584">
      <w:bodyDiv w:val="1"/>
      <w:marLeft w:val="0"/>
      <w:marRight w:val="0"/>
      <w:marTop w:val="0"/>
      <w:marBottom w:val="0"/>
      <w:divBdr>
        <w:top w:val="none" w:sz="0" w:space="0" w:color="auto"/>
        <w:left w:val="none" w:sz="0" w:space="0" w:color="auto"/>
        <w:bottom w:val="none" w:sz="0" w:space="0" w:color="auto"/>
        <w:right w:val="none" w:sz="0" w:space="0" w:color="auto"/>
      </w:divBdr>
    </w:div>
    <w:div w:id="539319572">
      <w:bodyDiv w:val="1"/>
      <w:marLeft w:val="0"/>
      <w:marRight w:val="0"/>
      <w:marTop w:val="0"/>
      <w:marBottom w:val="0"/>
      <w:divBdr>
        <w:top w:val="none" w:sz="0" w:space="0" w:color="auto"/>
        <w:left w:val="none" w:sz="0" w:space="0" w:color="auto"/>
        <w:bottom w:val="none" w:sz="0" w:space="0" w:color="auto"/>
        <w:right w:val="none" w:sz="0" w:space="0" w:color="auto"/>
      </w:divBdr>
    </w:div>
    <w:div w:id="560755822">
      <w:bodyDiv w:val="1"/>
      <w:marLeft w:val="0"/>
      <w:marRight w:val="0"/>
      <w:marTop w:val="0"/>
      <w:marBottom w:val="0"/>
      <w:divBdr>
        <w:top w:val="none" w:sz="0" w:space="0" w:color="auto"/>
        <w:left w:val="none" w:sz="0" w:space="0" w:color="auto"/>
        <w:bottom w:val="none" w:sz="0" w:space="0" w:color="auto"/>
        <w:right w:val="none" w:sz="0" w:space="0" w:color="auto"/>
      </w:divBdr>
    </w:div>
    <w:div w:id="564141144">
      <w:bodyDiv w:val="1"/>
      <w:marLeft w:val="0"/>
      <w:marRight w:val="0"/>
      <w:marTop w:val="0"/>
      <w:marBottom w:val="0"/>
      <w:divBdr>
        <w:top w:val="none" w:sz="0" w:space="0" w:color="auto"/>
        <w:left w:val="none" w:sz="0" w:space="0" w:color="auto"/>
        <w:bottom w:val="none" w:sz="0" w:space="0" w:color="auto"/>
        <w:right w:val="none" w:sz="0" w:space="0" w:color="auto"/>
      </w:divBdr>
      <w:divsChild>
        <w:div w:id="656152680">
          <w:marLeft w:val="706"/>
          <w:marRight w:val="0"/>
          <w:marTop w:val="58"/>
          <w:marBottom w:val="0"/>
          <w:divBdr>
            <w:top w:val="none" w:sz="0" w:space="0" w:color="auto"/>
            <w:left w:val="none" w:sz="0" w:space="0" w:color="auto"/>
            <w:bottom w:val="none" w:sz="0" w:space="0" w:color="auto"/>
            <w:right w:val="none" w:sz="0" w:space="0" w:color="auto"/>
          </w:divBdr>
        </w:div>
        <w:div w:id="1679691669">
          <w:marLeft w:val="1138"/>
          <w:marRight w:val="0"/>
          <w:marTop w:val="58"/>
          <w:marBottom w:val="0"/>
          <w:divBdr>
            <w:top w:val="none" w:sz="0" w:space="0" w:color="auto"/>
            <w:left w:val="none" w:sz="0" w:space="0" w:color="auto"/>
            <w:bottom w:val="none" w:sz="0" w:space="0" w:color="auto"/>
            <w:right w:val="none" w:sz="0" w:space="0" w:color="auto"/>
          </w:divBdr>
        </w:div>
        <w:div w:id="352734042">
          <w:marLeft w:val="706"/>
          <w:marRight w:val="0"/>
          <w:marTop w:val="58"/>
          <w:marBottom w:val="0"/>
          <w:divBdr>
            <w:top w:val="none" w:sz="0" w:space="0" w:color="auto"/>
            <w:left w:val="none" w:sz="0" w:space="0" w:color="auto"/>
            <w:bottom w:val="none" w:sz="0" w:space="0" w:color="auto"/>
            <w:right w:val="none" w:sz="0" w:space="0" w:color="auto"/>
          </w:divBdr>
        </w:div>
        <w:div w:id="723794651">
          <w:marLeft w:val="1138"/>
          <w:marRight w:val="0"/>
          <w:marTop w:val="58"/>
          <w:marBottom w:val="0"/>
          <w:divBdr>
            <w:top w:val="none" w:sz="0" w:space="0" w:color="auto"/>
            <w:left w:val="none" w:sz="0" w:space="0" w:color="auto"/>
            <w:bottom w:val="none" w:sz="0" w:space="0" w:color="auto"/>
            <w:right w:val="none" w:sz="0" w:space="0" w:color="auto"/>
          </w:divBdr>
        </w:div>
        <w:div w:id="2111270191">
          <w:marLeft w:val="1138"/>
          <w:marRight w:val="0"/>
          <w:marTop w:val="58"/>
          <w:marBottom w:val="0"/>
          <w:divBdr>
            <w:top w:val="none" w:sz="0" w:space="0" w:color="auto"/>
            <w:left w:val="none" w:sz="0" w:space="0" w:color="auto"/>
            <w:bottom w:val="none" w:sz="0" w:space="0" w:color="auto"/>
            <w:right w:val="none" w:sz="0" w:space="0" w:color="auto"/>
          </w:divBdr>
        </w:div>
        <w:div w:id="1069882197">
          <w:marLeft w:val="706"/>
          <w:marRight w:val="0"/>
          <w:marTop w:val="58"/>
          <w:marBottom w:val="0"/>
          <w:divBdr>
            <w:top w:val="none" w:sz="0" w:space="0" w:color="auto"/>
            <w:left w:val="none" w:sz="0" w:space="0" w:color="auto"/>
            <w:bottom w:val="none" w:sz="0" w:space="0" w:color="auto"/>
            <w:right w:val="none" w:sz="0" w:space="0" w:color="auto"/>
          </w:divBdr>
        </w:div>
        <w:div w:id="2135245122">
          <w:marLeft w:val="1138"/>
          <w:marRight w:val="0"/>
          <w:marTop w:val="58"/>
          <w:marBottom w:val="0"/>
          <w:divBdr>
            <w:top w:val="none" w:sz="0" w:space="0" w:color="auto"/>
            <w:left w:val="none" w:sz="0" w:space="0" w:color="auto"/>
            <w:bottom w:val="none" w:sz="0" w:space="0" w:color="auto"/>
            <w:right w:val="none" w:sz="0" w:space="0" w:color="auto"/>
          </w:divBdr>
        </w:div>
        <w:div w:id="1475100994">
          <w:marLeft w:val="706"/>
          <w:marRight w:val="0"/>
          <w:marTop w:val="58"/>
          <w:marBottom w:val="0"/>
          <w:divBdr>
            <w:top w:val="none" w:sz="0" w:space="0" w:color="auto"/>
            <w:left w:val="none" w:sz="0" w:space="0" w:color="auto"/>
            <w:bottom w:val="none" w:sz="0" w:space="0" w:color="auto"/>
            <w:right w:val="none" w:sz="0" w:space="0" w:color="auto"/>
          </w:divBdr>
        </w:div>
        <w:div w:id="951665846">
          <w:marLeft w:val="1138"/>
          <w:marRight w:val="0"/>
          <w:marTop w:val="58"/>
          <w:marBottom w:val="0"/>
          <w:divBdr>
            <w:top w:val="none" w:sz="0" w:space="0" w:color="auto"/>
            <w:left w:val="none" w:sz="0" w:space="0" w:color="auto"/>
            <w:bottom w:val="none" w:sz="0" w:space="0" w:color="auto"/>
            <w:right w:val="none" w:sz="0" w:space="0" w:color="auto"/>
          </w:divBdr>
        </w:div>
        <w:div w:id="375663368">
          <w:marLeft w:val="1138"/>
          <w:marRight w:val="0"/>
          <w:marTop w:val="58"/>
          <w:marBottom w:val="0"/>
          <w:divBdr>
            <w:top w:val="none" w:sz="0" w:space="0" w:color="auto"/>
            <w:left w:val="none" w:sz="0" w:space="0" w:color="auto"/>
            <w:bottom w:val="none" w:sz="0" w:space="0" w:color="auto"/>
            <w:right w:val="none" w:sz="0" w:space="0" w:color="auto"/>
          </w:divBdr>
        </w:div>
        <w:div w:id="1990278566">
          <w:marLeft w:val="706"/>
          <w:marRight w:val="0"/>
          <w:marTop w:val="58"/>
          <w:marBottom w:val="0"/>
          <w:divBdr>
            <w:top w:val="none" w:sz="0" w:space="0" w:color="auto"/>
            <w:left w:val="none" w:sz="0" w:space="0" w:color="auto"/>
            <w:bottom w:val="none" w:sz="0" w:space="0" w:color="auto"/>
            <w:right w:val="none" w:sz="0" w:space="0" w:color="auto"/>
          </w:divBdr>
        </w:div>
        <w:div w:id="448739156">
          <w:marLeft w:val="1138"/>
          <w:marRight w:val="0"/>
          <w:marTop w:val="58"/>
          <w:marBottom w:val="0"/>
          <w:divBdr>
            <w:top w:val="none" w:sz="0" w:space="0" w:color="auto"/>
            <w:left w:val="none" w:sz="0" w:space="0" w:color="auto"/>
            <w:bottom w:val="none" w:sz="0" w:space="0" w:color="auto"/>
            <w:right w:val="none" w:sz="0" w:space="0" w:color="auto"/>
          </w:divBdr>
        </w:div>
        <w:div w:id="100952018">
          <w:marLeft w:val="1138"/>
          <w:marRight w:val="0"/>
          <w:marTop w:val="58"/>
          <w:marBottom w:val="0"/>
          <w:divBdr>
            <w:top w:val="none" w:sz="0" w:space="0" w:color="auto"/>
            <w:left w:val="none" w:sz="0" w:space="0" w:color="auto"/>
            <w:bottom w:val="none" w:sz="0" w:space="0" w:color="auto"/>
            <w:right w:val="none" w:sz="0" w:space="0" w:color="auto"/>
          </w:divBdr>
        </w:div>
        <w:div w:id="1103068186">
          <w:marLeft w:val="1138"/>
          <w:marRight w:val="0"/>
          <w:marTop w:val="58"/>
          <w:marBottom w:val="0"/>
          <w:divBdr>
            <w:top w:val="none" w:sz="0" w:space="0" w:color="auto"/>
            <w:left w:val="none" w:sz="0" w:space="0" w:color="auto"/>
            <w:bottom w:val="none" w:sz="0" w:space="0" w:color="auto"/>
            <w:right w:val="none" w:sz="0" w:space="0" w:color="auto"/>
          </w:divBdr>
        </w:div>
      </w:divsChild>
    </w:div>
    <w:div w:id="574631545">
      <w:bodyDiv w:val="1"/>
      <w:marLeft w:val="0"/>
      <w:marRight w:val="0"/>
      <w:marTop w:val="0"/>
      <w:marBottom w:val="0"/>
      <w:divBdr>
        <w:top w:val="none" w:sz="0" w:space="0" w:color="auto"/>
        <w:left w:val="none" w:sz="0" w:space="0" w:color="auto"/>
        <w:bottom w:val="none" w:sz="0" w:space="0" w:color="auto"/>
        <w:right w:val="none" w:sz="0" w:space="0" w:color="auto"/>
      </w:divBdr>
    </w:div>
    <w:div w:id="581640824">
      <w:bodyDiv w:val="1"/>
      <w:marLeft w:val="0"/>
      <w:marRight w:val="0"/>
      <w:marTop w:val="0"/>
      <w:marBottom w:val="0"/>
      <w:divBdr>
        <w:top w:val="none" w:sz="0" w:space="0" w:color="auto"/>
        <w:left w:val="none" w:sz="0" w:space="0" w:color="auto"/>
        <w:bottom w:val="none" w:sz="0" w:space="0" w:color="auto"/>
        <w:right w:val="none" w:sz="0" w:space="0" w:color="auto"/>
      </w:divBdr>
      <w:divsChild>
        <w:div w:id="462431051">
          <w:marLeft w:val="706"/>
          <w:marRight w:val="0"/>
          <w:marTop w:val="58"/>
          <w:marBottom w:val="0"/>
          <w:divBdr>
            <w:top w:val="none" w:sz="0" w:space="0" w:color="auto"/>
            <w:left w:val="none" w:sz="0" w:space="0" w:color="auto"/>
            <w:bottom w:val="none" w:sz="0" w:space="0" w:color="auto"/>
            <w:right w:val="none" w:sz="0" w:space="0" w:color="auto"/>
          </w:divBdr>
        </w:div>
        <w:div w:id="9459122">
          <w:marLeft w:val="1138"/>
          <w:marRight w:val="0"/>
          <w:marTop w:val="58"/>
          <w:marBottom w:val="0"/>
          <w:divBdr>
            <w:top w:val="none" w:sz="0" w:space="0" w:color="auto"/>
            <w:left w:val="none" w:sz="0" w:space="0" w:color="auto"/>
            <w:bottom w:val="none" w:sz="0" w:space="0" w:color="auto"/>
            <w:right w:val="none" w:sz="0" w:space="0" w:color="auto"/>
          </w:divBdr>
        </w:div>
        <w:div w:id="443887972">
          <w:marLeft w:val="1138"/>
          <w:marRight w:val="0"/>
          <w:marTop w:val="58"/>
          <w:marBottom w:val="0"/>
          <w:divBdr>
            <w:top w:val="none" w:sz="0" w:space="0" w:color="auto"/>
            <w:left w:val="none" w:sz="0" w:space="0" w:color="auto"/>
            <w:bottom w:val="none" w:sz="0" w:space="0" w:color="auto"/>
            <w:right w:val="none" w:sz="0" w:space="0" w:color="auto"/>
          </w:divBdr>
        </w:div>
        <w:div w:id="244339125">
          <w:marLeft w:val="1138"/>
          <w:marRight w:val="0"/>
          <w:marTop w:val="58"/>
          <w:marBottom w:val="0"/>
          <w:divBdr>
            <w:top w:val="none" w:sz="0" w:space="0" w:color="auto"/>
            <w:left w:val="none" w:sz="0" w:space="0" w:color="auto"/>
            <w:bottom w:val="none" w:sz="0" w:space="0" w:color="auto"/>
            <w:right w:val="none" w:sz="0" w:space="0" w:color="auto"/>
          </w:divBdr>
        </w:div>
        <w:div w:id="1084958896">
          <w:marLeft w:val="1138"/>
          <w:marRight w:val="0"/>
          <w:marTop w:val="58"/>
          <w:marBottom w:val="0"/>
          <w:divBdr>
            <w:top w:val="none" w:sz="0" w:space="0" w:color="auto"/>
            <w:left w:val="none" w:sz="0" w:space="0" w:color="auto"/>
            <w:bottom w:val="none" w:sz="0" w:space="0" w:color="auto"/>
            <w:right w:val="none" w:sz="0" w:space="0" w:color="auto"/>
          </w:divBdr>
        </w:div>
        <w:div w:id="350645253">
          <w:marLeft w:val="706"/>
          <w:marRight w:val="0"/>
          <w:marTop w:val="58"/>
          <w:marBottom w:val="0"/>
          <w:divBdr>
            <w:top w:val="none" w:sz="0" w:space="0" w:color="auto"/>
            <w:left w:val="none" w:sz="0" w:space="0" w:color="auto"/>
            <w:bottom w:val="none" w:sz="0" w:space="0" w:color="auto"/>
            <w:right w:val="none" w:sz="0" w:space="0" w:color="auto"/>
          </w:divBdr>
        </w:div>
        <w:div w:id="499854995">
          <w:marLeft w:val="1138"/>
          <w:marRight w:val="0"/>
          <w:marTop w:val="58"/>
          <w:marBottom w:val="0"/>
          <w:divBdr>
            <w:top w:val="none" w:sz="0" w:space="0" w:color="auto"/>
            <w:left w:val="none" w:sz="0" w:space="0" w:color="auto"/>
            <w:bottom w:val="none" w:sz="0" w:space="0" w:color="auto"/>
            <w:right w:val="none" w:sz="0" w:space="0" w:color="auto"/>
          </w:divBdr>
        </w:div>
        <w:div w:id="1003823674">
          <w:marLeft w:val="1138"/>
          <w:marRight w:val="0"/>
          <w:marTop w:val="58"/>
          <w:marBottom w:val="0"/>
          <w:divBdr>
            <w:top w:val="none" w:sz="0" w:space="0" w:color="auto"/>
            <w:left w:val="none" w:sz="0" w:space="0" w:color="auto"/>
            <w:bottom w:val="none" w:sz="0" w:space="0" w:color="auto"/>
            <w:right w:val="none" w:sz="0" w:space="0" w:color="auto"/>
          </w:divBdr>
        </w:div>
        <w:div w:id="579413594">
          <w:marLeft w:val="706"/>
          <w:marRight w:val="0"/>
          <w:marTop w:val="58"/>
          <w:marBottom w:val="0"/>
          <w:divBdr>
            <w:top w:val="none" w:sz="0" w:space="0" w:color="auto"/>
            <w:left w:val="none" w:sz="0" w:space="0" w:color="auto"/>
            <w:bottom w:val="none" w:sz="0" w:space="0" w:color="auto"/>
            <w:right w:val="none" w:sz="0" w:space="0" w:color="auto"/>
          </w:divBdr>
        </w:div>
        <w:div w:id="460659029">
          <w:marLeft w:val="1138"/>
          <w:marRight w:val="0"/>
          <w:marTop w:val="58"/>
          <w:marBottom w:val="0"/>
          <w:divBdr>
            <w:top w:val="none" w:sz="0" w:space="0" w:color="auto"/>
            <w:left w:val="none" w:sz="0" w:space="0" w:color="auto"/>
            <w:bottom w:val="none" w:sz="0" w:space="0" w:color="auto"/>
            <w:right w:val="none" w:sz="0" w:space="0" w:color="auto"/>
          </w:divBdr>
        </w:div>
        <w:div w:id="459105280">
          <w:marLeft w:val="706"/>
          <w:marRight w:val="0"/>
          <w:marTop w:val="58"/>
          <w:marBottom w:val="0"/>
          <w:divBdr>
            <w:top w:val="none" w:sz="0" w:space="0" w:color="auto"/>
            <w:left w:val="none" w:sz="0" w:space="0" w:color="auto"/>
            <w:bottom w:val="none" w:sz="0" w:space="0" w:color="auto"/>
            <w:right w:val="none" w:sz="0" w:space="0" w:color="auto"/>
          </w:divBdr>
        </w:div>
        <w:div w:id="1535465132">
          <w:marLeft w:val="1138"/>
          <w:marRight w:val="0"/>
          <w:marTop w:val="58"/>
          <w:marBottom w:val="0"/>
          <w:divBdr>
            <w:top w:val="none" w:sz="0" w:space="0" w:color="auto"/>
            <w:left w:val="none" w:sz="0" w:space="0" w:color="auto"/>
            <w:bottom w:val="none" w:sz="0" w:space="0" w:color="auto"/>
            <w:right w:val="none" w:sz="0" w:space="0" w:color="auto"/>
          </w:divBdr>
        </w:div>
      </w:divsChild>
    </w:div>
    <w:div w:id="584611703">
      <w:bodyDiv w:val="1"/>
      <w:marLeft w:val="0"/>
      <w:marRight w:val="0"/>
      <w:marTop w:val="0"/>
      <w:marBottom w:val="0"/>
      <w:divBdr>
        <w:top w:val="none" w:sz="0" w:space="0" w:color="auto"/>
        <w:left w:val="none" w:sz="0" w:space="0" w:color="auto"/>
        <w:bottom w:val="none" w:sz="0" w:space="0" w:color="auto"/>
        <w:right w:val="none" w:sz="0" w:space="0" w:color="auto"/>
      </w:divBdr>
      <w:divsChild>
        <w:div w:id="1803308092">
          <w:marLeft w:val="706"/>
          <w:marRight w:val="0"/>
          <w:marTop w:val="58"/>
          <w:marBottom w:val="0"/>
          <w:divBdr>
            <w:top w:val="none" w:sz="0" w:space="0" w:color="auto"/>
            <w:left w:val="none" w:sz="0" w:space="0" w:color="auto"/>
            <w:bottom w:val="none" w:sz="0" w:space="0" w:color="auto"/>
            <w:right w:val="none" w:sz="0" w:space="0" w:color="auto"/>
          </w:divBdr>
        </w:div>
        <w:div w:id="1679499736">
          <w:marLeft w:val="706"/>
          <w:marRight w:val="0"/>
          <w:marTop w:val="58"/>
          <w:marBottom w:val="0"/>
          <w:divBdr>
            <w:top w:val="none" w:sz="0" w:space="0" w:color="auto"/>
            <w:left w:val="none" w:sz="0" w:space="0" w:color="auto"/>
            <w:bottom w:val="none" w:sz="0" w:space="0" w:color="auto"/>
            <w:right w:val="none" w:sz="0" w:space="0" w:color="auto"/>
          </w:divBdr>
        </w:div>
        <w:div w:id="2011133925">
          <w:marLeft w:val="706"/>
          <w:marRight w:val="0"/>
          <w:marTop w:val="58"/>
          <w:marBottom w:val="0"/>
          <w:divBdr>
            <w:top w:val="none" w:sz="0" w:space="0" w:color="auto"/>
            <w:left w:val="none" w:sz="0" w:space="0" w:color="auto"/>
            <w:bottom w:val="none" w:sz="0" w:space="0" w:color="auto"/>
            <w:right w:val="none" w:sz="0" w:space="0" w:color="auto"/>
          </w:divBdr>
        </w:div>
        <w:div w:id="551236877">
          <w:marLeft w:val="706"/>
          <w:marRight w:val="0"/>
          <w:marTop w:val="58"/>
          <w:marBottom w:val="0"/>
          <w:divBdr>
            <w:top w:val="none" w:sz="0" w:space="0" w:color="auto"/>
            <w:left w:val="none" w:sz="0" w:space="0" w:color="auto"/>
            <w:bottom w:val="none" w:sz="0" w:space="0" w:color="auto"/>
            <w:right w:val="none" w:sz="0" w:space="0" w:color="auto"/>
          </w:divBdr>
        </w:div>
        <w:div w:id="879825882">
          <w:marLeft w:val="706"/>
          <w:marRight w:val="0"/>
          <w:marTop w:val="58"/>
          <w:marBottom w:val="0"/>
          <w:divBdr>
            <w:top w:val="none" w:sz="0" w:space="0" w:color="auto"/>
            <w:left w:val="none" w:sz="0" w:space="0" w:color="auto"/>
            <w:bottom w:val="none" w:sz="0" w:space="0" w:color="auto"/>
            <w:right w:val="none" w:sz="0" w:space="0" w:color="auto"/>
          </w:divBdr>
        </w:div>
      </w:divsChild>
    </w:div>
    <w:div w:id="597492970">
      <w:bodyDiv w:val="1"/>
      <w:marLeft w:val="0"/>
      <w:marRight w:val="0"/>
      <w:marTop w:val="0"/>
      <w:marBottom w:val="0"/>
      <w:divBdr>
        <w:top w:val="none" w:sz="0" w:space="0" w:color="auto"/>
        <w:left w:val="none" w:sz="0" w:space="0" w:color="auto"/>
        <w:bottom w:val="none" w:sz="0" w:space="0" w:color="auto"/>
        <w:right w:val="none" w:sz="0" w:space="0" w:color="auto"/>
      </w:divBdr>
    </w:div>
    <w:div w:id="644505702">
      <w:bodyDiv w:val="1"/>
      <w:marLeft w:val="0"/>
      <w:marRight w:val="0"/>
      <w:marTop w:val="0"/>
      <w:marBottom w:val="0"/>
      <w:divBdr>
        <w:top w:val="none" w:sz="0" w:space="0" w:color="auto"/>
        <w:left w:val="none" w:sz="0" w:space="0" w:color="auto"/>
        <w:bottom w:val="none" w:sz="0" w:space="0" w:color="auto"/>
        <w:right w:val="none" w:sz="0" w:space="0" w:color="auto"/>
      </w:divBdr>
    </w:div>
    <w:div w:id="657612683">
      <w:bodyDiv w:val="1"/>
      <w:marLeft w:val="0"/>
      <w:marRight w:val="0"/>
      <w:marTop w:val="0"/>
      <w:marBottom w:val="0"/>
      <w:divBdr>
        <w:top w:val="none" w:sz="0" w:space="0" w:color="auto"/>
        <w:left w:val="none" w:sz="0" w:space="0" w:color="auto"/>
        <w:bottom w:val="none" w:sz="0" w:space="0" w:color="auto"/>
        <w:right w:val="none" w:sz="0" w:space="0" w:color="auto"/>
      </w:divBdr>
    </w:div>
    <w:div w:id="691496642">
      <w:bodyDiv w:val="1"/>
      <w:marLeft w:val="0"/>
      <w:marRight w:val="0"/>
      <w:marTop w:val="0"/>
      <w:marBottom w:val="0"/>
      <w:divBdr>
        <w:top w:val="none" w:sz="0" w:space="0" w:color="auto"/>
        <w:left w:val="none" w:sz="0" w:space="0" w:color="auto"/>
        <w:bottom w:val="none" w:sz="0" w:space="0" w:color="auto"/>
        <w:right w:val="none" w:sz="0" w:space="0" w:color="auto"/>
      </w:divBdr>
      <w:divsChild>
        <w:div w:id="1434936142">
          <w:marLeft w:val="706"/>
          <w:marRight w:val="0"/>
          <w:marTop w:val="58"/>
          <w:marBottom w:val="0"/>
          <w:divBdr>
            <w:top w:val="none" w:sz="0" w:space="0" w:color="auto"/>
            <w:left w:val="none" w:sz="0" w:space="0" w:color="auto"/>
            <w:bottom w:val="none" w:sz="0" w:space="0" w:color="auto"/>
            <w:right w:val="none" w:sz="0" w:space="0" w:color="auto"/>
          </w:divBdr>
        </w:div>
        <w:div w:id="1199313507">
          <w:marLeft w:val="706"/>
          <w:marRight w:val="0"/>
          <w:marTop w:val="58"/>
          <w:marBottom w:val="0"/>
          <w:divBdr>
            <w:top w:val="none" w:sz="0" w:space="0" w:color="auto"/>
            <w:left w:val="none" w:sz="0" w:space="0" w:color="auto"/>
            <w:bottom w:val="none" w:sz="0" w:space="0" w:color="auto"/>
            <w:right w:val="none" w:sz="0" w:space="0" w:color="auto"/>
          </w:divBdr>
        </w:div>
        <w:div w:id="1986427768">
          <w:marLeft w:val="706"/>
          <w:marRight w:val="0"/>
          <w:marTop w:val="58"/>
          <w:marBottom w:val="0"/>
          <w:divBdr>
            <w:top w:val="none" w:sz="0" w:space="0" w:color="auto"/>
            <w:left w:val="none" w:sz="0" w:space="0" w:color="auto"/>
            <w:bottom w:val="none" w:sz="0" w:space="0" w:color="auto"/>
            <w:right w:val="none" w:sz="0" w:space="0" w:color="auto"/>
          </w:divBdr>
        </w:div>
        <w:div w:id="241336103">
          <w:marLeft w:val="706"/>
          <w:marRight w:val="0"/>
          <w:marTop w:val="58"/>
          <w:marBottom w:val="0"/>
          <w:divBdr>
            <w:top w:val="none" w:sz="0" w:space="0" w:color="auto"/>
            <w:left w:val="none" w:sz="0" w:space="0" w:color="auto"/>
            <w:bottom w:val="none" w:sz="0" w:space="0" w:color="auto"/>
            <w:right w:val="none" w:sz="0" w:space="0" w:color="auto"/>
          </w:divBdr>
        </w:div>
      </w:divsChild>
    </w:div>
    <w:div w:id="712077191">
      <w:bodyDiv w:val="1"/>
      <w:marLeft w:val="0"/>
      <w:marRight w:val="0"/>
      <w:marTop w:val="0"/>
      <w:marBottom w:val="0"/>
      <w:divBdr>
        <w:top w:val="none" w:sz="0" w:space="0" w:color="auto"/>
        <w:left w:val="none" w:sz="0" w:space="0" w:color="auto"/>
        <w:bottom w:val="none" w:sz="0" w:space="0" w:color="auto"/>
        <w:right w:val="none" w:sz="0" w:space="0" w:color="auto"/>
      </w:divBdr>
    </w:div>
    <w:div w:id="718476196">
      <w:bodyDiv w:val="1"/>
      <w:marLeft w:val="0"/>
      <w:marRight w:val="0"/>
      <w:marTop w:val="0"/>
      <w:marBottom w:val="0"/>
      <w:divBdr>
        <w:top w:val="none" w:sz="0" w:space="0" w:color="auto"/>
        <w:left w:val="none" w:sz="0" w:space="0" w:color="auto"/>
        <w:bottom w:val="none" w:sz="0" w:space="0" w:color="auto"/>
        <w:right w:val="none" w:sz="0" w:space="0" w:color="auto"/>
      </w:divBdr>
    </w:div>
    <w:div w:id="742802006">
      <w:bodyDiv w:val="1"/>
      <w:marLeft w:val="0"/>
      <w:marRight w:val="0"/>
      <w:marTop w:val="0"/>
      <w:marBottom w:val="0"/>
      <w:divBdr>
        <w:top w:val="none" w:sz="0" w:space="0" w:color="auto"/>
        <w:left w:val="none" w:sz="0" w:space="0" w:color="auto"/>
        <w:bottom w:val="none" w:sz="0" w:space="0" w:color="auto"/>
        <w:right w:val="none" w:sz="0" w:space="0" w:color="auto"/>
      </w:divBdr>
      <w:divsChild>
        <w:div w:id="2031565247">
          <w:marLeft w:val="706"/>
          <w:marRight w:val="0"/>
          <w:marTop w:val="58"/>
          <w:marBottom w:val="0"/>
          <w:divBdr>
            <w:top w:val="none" w:sz="0" w:space="0" w:color="auto"/>
            <w:left w:val="none" w:sz="0" w:space="0" w:color="auto"/>
            <w:bottom w:val="none" w:sz="0" w:space="0" w:color="auto"/>
            <w:right w:val="none" w:sz="0" w:space="0" w:color="auto"/>
          </w:divBdr>
        </w:div>
        <w:div w:id="546376799">
          <w:marLeft w:val="1138"/>
          <w:marRight w:val="0"/>
          <w:marTop w:val="58"/>
          <w:marBottom w:val="0"/>
          <w:divBdr>
            <w:top w:val="none" w:sz="0" w:space="0" w:color="auto"/>
            <w:left w:val="none" w:sz="0" w:space="0" w:color="auto"/>
            <w:bottom w:val="none" w:sz="0" w:space="0" w:color="auto"/>
            <w:right w:val="none" w:sz="0" w:space="0" w:color="auto"/>
          </w:divBdr>
        </w:div>
        <w:div w:id="110249997">
          <w:marLeft w:val="1138"/>
          <w:marRight w:val="0"/>
          <w:marTop w:val="58"/>
          <w:marBottom w:val="0"/>
          <w:divBdr>
            <w:top w:val="none" w:sz="0" w:space="0" w:color="auto"/>
            <w:left w:val="none" w:sz="0" w:space="0" w:color="auto"/>
            <w:bottom w:val="none" w:sz="0" w:space="0" w:color="auto"/>
            <w:right w:val="none" w:sz="0" w:space="0" w:color="auto"/>
          </w:divBdr>
        </w:div>
        <w:div w:id="37898200">
          <w:marLeft w:val="1138"/>
          <w:marRight w:val="0"/>
          <w:marTop w:val="58"/>
          <w:marBottom w:val="0"/>
          <w:divBdr>
            <w:top w:val="none" w:sz="0" w:space="0" w:color="auto"/>
            <w:left w:val="none" w:sz="0" w:space="0" w:color="auto"/>
            <w:bottom w:val="none" w:sz="0" w:space="0" w:color="auto"/>
            <w:right w:val="none" w:sz="0" w:space="0" w:color="auto"/>
          </w:divBdr>
        </w:div>
        <w:div w:id="306587977">
          <w:marLeft w:val="706"/>
          <w:marRight w:val="0"/>
          <w:marTop w:val="58"/>
          <w:marBottom w:val="0"/>
          <w:divBdr>
            <w:top w:val="none" w:sz="0" w:space="0" w:color="auto"/>
            <w:left w:val="none" w:sz="0" w:space="0" w:color="auto"/>
            <w:bottom w:val="none" w:sz="0" w:space="0" w:color="auto"/>
            <w:right w:val="none" w:sz="0" w:space="0" w:color="auto"/>
          </w:divBdr>
        </w:div>
        <w:div w:id="1443108469">
          <w:marLeft w:val="1138"/>
          <w:marRight w:val="0"/>
          <w:marTop w:val="58"/>
          <w:marBottom w:val="0"/>
          <w:divBdr>
            <w:top w:val="none" w:sz="0" w:space="0" w:color="auto"/>
            <w:left w:val="none" w:sz="0" w:space="0" w:color="auto"/>
            <w:bottom w:val="none" w:sz="0" w:space="0" w:color="auto"/>
            <w:right w:val="none" w:sz="0" w:space="0" w:color="auto"/>
          </w:divBdr>
        </w:div>
        <w:div w:id="888415583">
          <w:marLeft w:val="1138"/>
          <w:marRight w:val="0"/>
          <w:marTop w:val="58"/>
          <w:marBottom w:val="0"/>
          <w:divBdr>
            <w:top w:val="none" w:sz="0" w:space="0" w:color="auto"/>
            <w:left w:val="none" w:sz="0" w:space="0" w:color="auto"/>
            <w:bottom w:val="none" w:sz="0" w:space="0" w:color="auto"/>
            <w:right w:val="none" w:sz="0" w:space="0" w:color="auto"/>
          </w:divBdr>
        </w:div>
        <w:div w:id="1817912044">
          <w:marLeft w:val="706"/>
          <w:marRight w:val="0"/>
          <w:marTop w:val="58"/>
          <w:marBottom w:val="0"/>
          <w:divBdr>
            <w:top w:val="none" w:sz="0" w:space="0" w:color="auto"/>
            <w:left w:val="none" w:sz="0" w:space="0" w:color="auto"/>
            <w:bottom w:val="none" w:sz="0" w:space="0" w:color="auto"/>
            <w:right w:val="none" w:sz="0" w:space="0" w:color="auto"/>
          </w:divBdr>
        </w:div>
        <w:div w:id="478445">
          <w:marLeft w:val="1138"/>
          <w:marRight w:val="0"/>
          <w:marTop w:val="58"/>
          <w:marBottom w:val="0"/>
          <w:divBdr>
            <w:top w:val="none" w:sz="0" w:space="0" w:color="auto"/>
            <w:left w:val="none" w:sz="0" w:space="0" w:color="auto"/>
            <w:bottom w:val="none" w:sz="0" w:space="0" w:color="auto"/>
            <w:right w:val="none" w:sz="0" w:space="0" w:color="auto"/>
          </w:divBdr>
        </w:div>
        <w:div w:id="350881802">
          <w:marLeft w:val="706"/>
          <w:marRight w:val="0"/>
          <w:marTop w:val="58"/>
          <w:marBottom w:val="0"/>
          <w:divBdr>
            <w:top w:val="none" w:sz="0" w:space="0" w:color="auto"/>
            <w:left w:val="none" w:sz="0" w:space="0" w:color="auto"/>
            <w:bottom w:val="none" w:sz="0" w:space="0" w:color="auto"/>
            <w:right w:val="none" w:sz="0" w:space="0" w:color="auto"/>
          </w:divBdr>
        </w:div>
        <w:div w:id="2046514949">
          <w:marLeft w:val="1138"/>
          <w:marRight w:val="0"/>
          <w:marTop w:val="58"/>
          <w:marBottom w:val="0"/>
          <w:divBdr>
            <w:top w:val="none" w:sz="0" w:space="0" w:color="auto"/>
            <w:left w:val="none" w:sz="0" w:space="0" w:color="auto"/>
            <w:bottom w:val="none" w:sz="0" w:space="0" w:color="auto"/>
            <w:right w:val="none" w:sz="0" w:space="0" w:color="auto"/>
          </w:divBdr>
        </w:div>
        <w:div w:id="1607231564">
          <w:marLeft w:val="1138"/>
          <w:marRight w:val="0"/>
          <w:marTop w:val="58"/>
          <w:marBottom w:val="0"/>
          <w:divBdr>
            <w:top w:val="none" w:sz="0" w:space="0" w:color="auto"/>
            <w:left w:val="none" w:sz="0" w:space="0" w:color="auto"/>
            <w:bottom w:val="none" w:sz="0" w:space="0" w:color="auto"/>
            <w:right w:val="none" w:sz="0" w:space="0" w:color="auto"/>
          </w:divBdr>
        </w:div>
        <w:div w:id="1150244076">
          <w:marLeft w:val="706"/>
          <w:marRight w:val="0"/>
          <w:marTop w:val="58"/>
          <w:marBottom w:val="0"/>
          <w:divBdr>
            <w:top w:val="none" w:sz="0" w:space="0" w:color="auto"/>
            <w:left w:val="none" w:sz="0" w:space="0" w:color="auto"/>
            <w:bottom w:val="none" w:sz="0" w:space="0" w:color="auto"/>
            <w:right w:val="none" w:sz="0" w:space="0" w:color="auto"/>
          </w:divBdr>
        </w:div>
        <w:div w:id="1793673071">
          <w:marLeft w:val="1138"/>
          <w:marRight w:val="0"/>
          <w:marTop w:val="58"/>
          <w:marBottom w:val="0"/>
          <w:divBdr>
            <w:top w:val="none" w:sz="0" w:space="0" w:color="auto"/>
            <w:left w:val="none" w:sz="0" w:space="0" w:color="auto"/>
            <w:bottom w:val="none" w:sz="0" w:space="0" w:color="auto"/>
            <w:right w:val="none" w:sz="0" w:space="0" w:color="auto"/>
          </w:divBdr>
        </w:div>
        <w:div w:id="1663242836">
          <w:marLeft w:val="1138"/>
          <w:marRight w:val="0"/>
          <w:marTop w:val="58"/>
          <w:marBottom w:val="0"/>
          <w:divBdr>
            <w:top w:val="none" w:sz="0" w:space="0" w:color="auto"/>
            <w:left w:val="none" w:sz="0" w:space="0" w:color="auto"/>
            <w:bottom w:val="none" w:sz="0" w:space="0" w:color="auto"/>
            <w:right w:val="none" w:sz="0" w:space="0" w:color="auto"/>
          </w:divBdr>
        </w:div>
      </w:divsChild>
    </w:div>
    <w:div w:id="745760830">
      <w:bodyDiv w:val="1"/>
      <w:marLeft w:val="0"/>
      <w:marRight w:val="0"/>
      <w:marTop w:val="0"/>
      <w:marBottom w:val="0"/>
      <w:divBdr>
        <w:top w:val="none" w:sz="0" w:space="0" w:color="auto"/>
        <w:left w:val="none" w:sz="0" w:space="0" w:color="auto"/>
        <w:bottom w:val="none" w:sz="0" w:space="0" w:color="auto"/>
        <w:right w:val="none" w:sz="0" w:space="0" w:color="auto"/>
      </w:divBdr>
      <w:divsChild>
        <w:div w:id="69622207">
          <w:marLeft w:val="706"/>
          <w:marRight w:val="0"/>
          <w:marTop w:val="58"/>
          <w:marBottom w:val="0"/>
          <w:divBdr>
            <w:top w:val="none" w:sz="0" w:space="0" w:color="auto"/>
            <w:left w:val="none" w:sz="0" w:space="0" w:color="auto"/>
            <w:bottom w:val="none" w:sz="0" w:space="0" w:color="auto"/>
            <w:right w:val="none" w:sz="0" w:space="0" w:color="auto"/>
          </w:divBdr>
        </w:div>
        <w:div w:id="765347330">
          <w:marLeft w:val="706"/>
          <w:marRight w:val="0"/>
          <w:marTop w:val="58"/>
          <w:marBottom w:val="0"/>
          <w:divBdr>
            <w:top w:val="none" w:sz="0" w:space="0" w:color="auto"/>
            <w:left w:val="none" w:sz="0" w:space="0" w:color="auto"/>
            <w:bottom w:val="none" w:sz="0" w:space="0" w:color="auto"/>
            <w:right w:val="none" w:sz="0" w:space="0" w:color="auto"/>
          </w:divBdr>
        </w:div>
        <w:div w:id="2004039462">
          <w:marLeft w:val="706"/>
          <w:marRight w:val="0"/>
          <w:marTop w:val="58"/>
          <w:marBottom w:val="0"/>
          <w:divBdr>
            <w:top w:val="none" w:sz="0" w:space="0" w:color="auto"/>
            <w:left w:val="none" w:sz="0" w:space="0" w:color="auto"/>
            <w:bottom w:val="none" w:sz="0" w:space="0" w:color="auto"/>
            <w:right w:val="none" w:sz="0" w:space="0" w:color="auto"/>
          </w:divBdr>
        </w:div>
        <w:div w:id="2040466649">
          <w:marLeft w:val="706"/>
          <w:marRight w:val="0"/>
          <w:marTop w:val="58"/>
          <w:marBottom w:val="0"/>
          <w:divBdr>
            <w:top w:val="none" w:sz="0" w:space="0" w:color="auto"/>
            <w:left w:val="none" w:sz="0" w:space="0" w:color="auto"/>
            <w:bottom w:val="none" w:sz="0" w:space="0" w:color="auto"/>
            <w:right w:val="none" w:sz="0" w:space="0" w:color="auto"/>
          </w:divBdr>
        </w:div>
        <w:div w:id="1892184770">
          <w:marLeft w:val="706"/>
          <w:marRight w:val="0"/>
          <w:marTop w:val="58"/>
          <w:marBottom w:val="0"/>
          <w:divBdr>
            <w:top w:val="none" w:sz="0" w:space="0" w:color="auto"/>
            <w:left w:val="none" w:sz="0" w:space="0" w:color="auto"/>
            <w:bottom w:val="none" w:sz="0" w:space="0" w:color="auto"/>
            <w:right w:val="none" w:sz="0" w:space="0" w:color="auto"/>
          </w:divBdr>
        </w:div>
      </w:divsChild>
    </w:div>
    <w:div w:id="754865475">
      <w:bodyDiv w:val="1"/>
      <w:marLeft w:val="0"/>
      <w:marRight w:val="0"/>
      <w:marTop w:val="0"/>
      <w:marBottom w:val="0"/>
      <w:divBdr>
        <w:top w:val="none" w:sz="0" w:space="0" w:color="auto"/>
        <w:left w:val="none" w:sz="0" w:space="0" w:color="auto"/>
        <w:bottom w:val="none" w:sz="0" w:space="0" w:color="auto"/>
        <w:right w:val="none" w:sz="0" w:space="0" w:color="auto"/>
      </w:divBdr>
      <w:divsChild>
        <w:div w:id="1310328310">
          <w:marLeft w:val="706"/>
          <w:marRight w:val="0"/>
          <w:marTop w:val="58"/>
          <w:marBottom w:val="0"/>
          <w:divBdr>
            <w:top w:val="none" w:sz="0" w:space="0" w:color="auto"/>
            <w:left w:val="none" w:sz="0" w:space="0" w:color="auto"/>
            <w:bottom w:val="none" w:sz="0" w:space="0" w:color="auto"/>
            <w:right w:val="none" w:sz="0" w:space="0" w:color="auto"/>
          </w:divBdr>
        </w:div>
      </w:divsChild>
    </w:div>
    <w:div w:id="805513184">
      <w:bodyDiv w:val="1"/>
      <w:marLeft w:val="0"/>
      <w:marRight w:val="0"/>
      <w:marTop w:val="0"/>
      <w:marBottom w:val="0"/>
      <w:divBdr>
        <w:top w:val="none" w:sz="0" w:space="0" w:color="auto"/>
        <w:left w:val="none" w:sz="0" w:space="0" w:color="auto"/>
        <w:bottom w:val="none" w:sz="0" w:space="0" w:color="auto"/>
        <w:right w:val="none" w:sz="0" w:space="0" w:color="auto"/>
      </w:divBdr>
    </w:div>
    <w:div w:id="855074975">
      <w:bodyDiv w:val="1"/>
      <w:marLeft w:val="0"/>
      <w:marRight w:val="0"/>
      <w:marTop w:val="0"/>
      <w:marBottom w:val="0"/>
      <w:divBdr>
        <w:top w:val="none" w:sz="0" w:space="0" w:color="auto"/>
        <w:left w:val="none" w:sz="0" w:space="0" w:color="auto"/>
        <w:bottom w:val="none" w:sz="0" w:space="0" w:color="auto"/>
        <w:right w:val="none" w:sz="0" w:space="0" w:color="auto"/>
      </w:divBdr>
    </w:div>
    <w:div w:id="859586548">
      <w:bodyDiv w:val="1"/>
      <w:marLeft w:val="0"/>
      <w:marRight w:val="0"/>
      <w:marTop w:val="0"/>
      <w:marBottom w:val="0"/>
      <w:divBdr>
        <w:top w:val="none" w:sz="0" w:space="0" w:color="auto"/>
        <w:left w:val="none" w:sz="0" w:space="0" w:color="auto"/>
        <w:bottom w:val="none" w:sz="0" w:space="0" w:color="auto"/>
        <w:right w:val="none" w:sz="0" w:space="0" w:color="auto"/>
      </w:divBdr>
      <w:divsChild>
        <w:div w:id="1716586292">
          <w:marLeft w:val="706"/>
          <w:marRight w:val="0"/>
          <w:marTop w:val="58"/>
          <w:marBottom w:val="0"/>
          <w:divBdr>
            <w:top w:val="none" w:sz="0" w:space="0" w:color="auto"/>
            <w:left w:val="none" w:sz="0" w:space="0" w:color="auto"/>
            <w:bottom w:val="none" w:sz="0" w:space="0" w:color="auto"/>
            <w:right w:val="none" w:sz="0" w:space="0" w:color="auto"/>
          </w:divBdr>
        </w:div>
        <w:div w:id="1829594304">
          <w:marLeft w:val="706"/>
          <w:marRight w:val="0"/>
          <w:marTop w:val="58"/>
          <w:marBottom w:val="0"/>
          <w:divBdr>
            <w:top w:val="none" w:sz="0" w:space="0" w:color="auto"/>
            <w:left w:val="none" w:sz="0" w:space="0" w:color="auto"/>
            <w:bottom w:val="none" w:sz="0" w:space="0" w:color="auto"/>
            <w:right w:val="none" w:sz="0" w:space="0" w:color="auto"/>
          </w:divBdr>
        </w:div>
        <w:div w:id="130291128">
          <w:marLeft w:val="706"/>
          <w:marRight w:val="0"/>
          <w:marTop w:val="58"/>
          <w:marBottom w:val="0"/>
          <w:divBdr>
            <w:top w:val="none" w:sz="0" w:space="0" w:color="auto"/>
            <w:left w:val="none" w:sz="0" w:space="0" w:color="auto"/>
            <w:bottom w:val="none" w:sz="0" w:space="0" w:color="auto"/>
            <w:right w:val="none" w:sz="0" w:space="0" w:color="auto"/>
          </w:divBdr>
        </w:div>
        <w:div w:id="218590530">
          <w:marLeft w:val="706"/>
          <w:marRight w:val="0"/>
          <w:marTop w:val="58"/>
          <w:marBottom w:val="0"/>
          <w:divBdr>
            <w:top w:val="none" w:sz="0" w:space="0" w:color="auto"/>
            <w:left w:val="none" w:sz="0" w:space="0" w:color="auto"/>
            <w:bottom w:val="none" w:sz="0" w:space="0" w:color="auto"/>
            <w:right w:val="none" w:sz="0" w:space="0" w:color="auto"/>
          </w:divBdr>
        </w:div>
      </w:divsChild>
    </w:div>
    <w:div w:id="875194021">
      <w:bodyDiv w:val="1"/>
      <w:marLeft w:val="0"/>
      <w:marRight w:val="0"/>
      <w:marTop w:val="0"/>
      <w:marBottom w:val="0"/>
      <w:divBdr>
        <w:top w:val="none" w:sz="0" w:space="0" w:color="auto"/>
        <w:left w:val="none" w:sz="0" w:space="0" w:color="auto"/>
        <w:bottom w:val="none" w:sz="0" w:space="0" w:color="auto"/>
        <w:right w:val="none" w:sz="0" w:space="0" w:color="auto"/>
      </w:divBdr>
      <w:divsChild>
        <w:div w:id="834494186">
          <w:marLeft w:val="706"/>
          <w:marRight w:val="0"/>
          <w:marTop w:val="58"/>
          <w:marBottom w:val="0"/>
          <w:divBdr>
            <w:top w:val="none" w:sz="0" w:space="0" w:color="auto"/>
            <w:left w:val="none" w:sz="0" w:space="0" w:color="auto"/>
            <w:bottom w:val="none" w:sz="0" w:space="0" w:color="auto"/>
            <w:right w:val="none" w:sz="0" w:space="0" w:color="auto"/>
          </w:divBdr>
        </w:div>
        <w:div w:id="776943421">
          <w:marLeft w:val="706"/>
          <w:marRight w:val="0"/>
          <w:marTop w:val="58"/>
          <w:marBottom w:val="0"/>
          <w:divBdr>
            <w:top w:val="none" w:sz="0" w:space="0" w:color="auto"/>
            <w:left w:val="none" w:sz="0" w:space="0" w:color="auto"/>
            <w:bottom w:val="none" w:sz="0" w:space="0" w:color="auto"/>
            <w:right w:val="none" w:sz="0" w:space="0" w:color="auto"/>
          </w:divBdr>
        </w:div>
        <w:div w:id="105008704">
          <w:marLeft w:val="706"/>
          <w:marRight w:val="0"/>
          <w:marTop w:val="58"/>
          <w:marBottom w:val="0"/>
          <w:divBdr>
            <w:top w:val="none" w:sz="0" w:space="0" w:color="auto"/>
            <w:left w:val="none" w:sz="0" w:space="0" w:color="auto"/>
            <w:bottom w:val="none" w:sz="0" w:space="0" w:color="auto"/>
            <w:right w:val="none" w:sz="0" w:space="0" w:color="auto"/>
          </w:divBdr>
        </w:div>
        <w:div w:id="1646659999">
          <w:marLeft w:val="706"/>
          <w:marRight w:val="0"/>
          <w:marTop w:val="58"/>
          <w:marBottom w:val="0"/>
          <w:divBdr>
            <w:top w:val="none" w:sz="0" w:space="0" w:color="auto"/>
            <w:left w:val="none" w:sz="0" w:space="0" w:color="auto"/>
            <w:bottom w:val="none" w:sz="0" w:space="0" w:color="auto"/>
            <w:right w:val="none" w:sz="0" w:space="0" w:color="auto"/>
          </w:divBdr>
        </w:div>
      </w:divsChild>
    </w:div>
    <w:div w:id="904992289">
      <w:bodyDiv w:val="1"/>
      <w:marLeft w:val="0"/>
      <w:marRight w:val="0"/>
      <w:marTop w:val="0"/>
      <w:marBottom w:val="0"/>
      <w:divBdr>
        <w:top w:val="none" w:sz="0" w:space="0" w:color="auto"/>
        <w:left w:val="none" w:sz="0" w:space="0" w:color="auto"/>
        <w:bottom w:val="none" w:sz="0" w:space="0" w:color="auto"/>
        <w:right w:val="none" w:sz="0" w:space="0" w:color="auto"/>
      </w:divBdr>
    </w:div>
    <w:div w:id="914431835">
      <w:bodyDiv w:val="1"/>
      <w:marLeft w:val="0"/>
      <w:marRight w:val="0"/>
      <w:marTop w:val="0"/>
      <w:marBottom w:val="0"/>
      <w:divBdr>
        <w:top w:val="none" w:sz="0" w:space="0" w:color="auto"/>
        <w:left w:val="none" w:sz="0" w:space="0" w:color="auto"/>
        <w:bottom w:val="none" w:sz="0" w:space="0" w:color="auto"/>
        <w:right w:val="none" w:sz="0" w:space="0" w:color="auto"/>
      </w:divBdr>
      <w:divsChild>
        <w:div w:id="1978026763">
          <w:marLeft w:val="706"/>
          <w:marRight w:val="0"/>
          <w:marTop w:val="58"/>
          <w:marBottom w:val="0"/>
          <w:divBdr>
            <w:top w:val="none" w:sz="0" w:space="0" w:color="auto"/>
            <w:left w:val="none" w:sz="0" w:space="0" w:color="auto"/>
            <w:bottom w:val="none" w:sz="0" w:space="0" w:color="auto"/>
            <w:right w:val="none" w:sz="0" w:space="0" w:color="auto"/>
          </w:divBdr>
        </w:div>
        <w:div w:id="891887503">
          <w:marLeft w:val="706"/>
          <w:marRight w:val="0"/>
          <w:marTop w:val="58"/>
          <w:marBottom w:val="0"/>
          <w:divBdr>
            <w:top w:val="none" w:sz="0" w:space="0" w:color="auto"/>
            <w:left w:val="none" w:sz="0" w:space="0" w:color="auto"/>
            <w:bottom w:val="none" w:sz="0" w:space="0" w:color="auto"/>
            <w:right w:val="none" w:sz="0" w:space="0" w:color="auto"/>
          </w:divBdr>
        </w:div>
      </w:divsChild>
    </w:div>
    <w:div w:id="928660233">
      <w:bodyDiv w:val="1"/>
      <w:marLeft w:val="0"/>
      <w:marRight w:val="0"/>
      <w:marTop w:val="0"/>
      <w:marBottom w:val="0"/>
      <w:divBdr>
        <w:top w:val="none" w:sz="0" w:space="0" w:color="auto"/>
        <w:left w:val="none" w:sz="0" w:space="0" w:color="auto"/>
        <w:bottom w:val="none" w:sz="0" w:space="0" w:color="auto"/>
        <w:right w:val="none" w:sz="0" w:space="0" w:color="auto"/>
      </w:divBdr>
    </w:div>
    <w:div w:id="940841199">
      <w:bodyDiv w:val="1"/>
      <w:marLeft w:val="0"/>
      <w:marRight w:val="0"/>
      <w:marTop w:val="0"/>
      <w:marBottom w:val="0"/>
      <w:divBdr>
        <w:top w:val="none" w:sz="0" w:space="0" w:color="auto"/>
        <w:left w:val="none" w:sz="0" w:space="0" w:color="auto"/>
        <w:bottom w:val="none" w:sz="0" w:space="0" w:color="auto"/>
        <w:right w:val="none" w:sz="0" w:space="0" w:color="auto"/>
      </w:divBdr>
      <w:divsChild>
        <w:div w:id="144981359">
          <w:marLeft w:val="274"/>
          <w:marRight w:val="0"/>
          <w:marTop w:val="58"/>
          <w:marBottom w:val="0"/>
          <w:divBdr>
            <w:top w:val="none" w:sz="0" w:space="0" w:color="auto"/>
            <w:left w:val="none" w:sz="0" w:space="0" w:color="auto"/>
            <w:bottom w:val="none" w:sz="0" w:space="0" w:color="auto"/>
            <w:right w:val="none" w:sz="0" w:space="0" w:color="auto"/>
          </w:divBdr>
        </w:div>
        <w:div w:id="95633970">
          <w:marLeft w:val="1138"/>
          <w:marRight w:val="0"/>
          <w:marTop w:val="58"/>
          <w:marBottom w:val="0"/>
          <w:divBdr>
            <w:top w:val="none" w:sz="0" w:space="0" w:color="auto"/>
            <w:left w:val="none" w:sz="0" w:space="0" w:color="auto"/>
            <w:bottom w:val="none" w:sz="0" w:space="0" w:color="auto"/>
            <w:right w:val="none" w:sz="0" w:space="0" w:color="auto"/>
          </w:divBdr>
        </w:div>
        <w:div w:id="1002973999">
          <w:marLeft w:val="1138"/>
          <w:marRight w:val="0"/>
          <w:marTop w:val="58"/>
          <w:marBottom w:val="0"/>
          <w:divBdr>
            <w:top w:val="none" w:sz="0" w:space="0" w:color="auto"/>
            <w:left w:val="none" w:sz="0" w:space="0" w:color="auto"/>
            <w:bottom w:val="none" w:sz="0" w:space="0" w:color="auto"/>
            <w:right w:val="none" w:sz="0" w:space="0" w:color="auto"/>
          </w:divBdr>
        </w:div>
        <w:div w:id="1567260022">
          <w:marLeft w:val="706"/>
          <w:marRight w:val="0"/>
          <w:marTop w:val="58"/>
          <w:marBottom w:val="0"/>
          <w:divBdr>
            <w:top w:val="none" w:sz="0" w:space="0" w:color="auto"/>
            <w:left w:val="none" w:sz="0" w:space="0" w:color="auto"/>
            <w:bottom w:val="none" w:sz="0" w:space="0" w:color="auto"/>
            <w:right w:val="none" w:sz="0" w:space="0" w:color="auto"/>
          </w:divBdr>
        </w:div>
        <w:div w:id="1264845181">
          <w:marLeft w:val="1138"/>
          <w:marRight w:val="0"/>
          <w:marTop w:val="58"/>
          <w:marBottom w:val="0"/>
          <w:divBdr>
            <w:top w:val="none" w:sz="0" w:space="0" w:color="auto"/>
            <w:left w:val="none" w:sz="0" w:space="0" w:color="auto"/>
            <w:bottom w:val="none" w:sz="0" w:space="0" w:color="auto"/>
            <w:right w:val="none" w:sz="0" w:space="0" w:color="auto"/>
          </w:divBdr>
        </w:div>
        <w:div w:id="887299523">
          <w:marLeft w:val="274"/>
          <w:marRight w:val="0"/>
          <w:marTop w:val="58"/>
          <w:marBottom w:val="0"/>
          <w:divBdr>
            <w:top w:val="none" w:sz="0" w:space="0" w:color="auto"/>
            <w:left w:val="none" w:sz="0" w:space="0" w:color="auto"/>
            <w:bottom w:val="none" w:sz="0" w:space="0" w:color="auto"/>
            <w:right w:val="none" w:sz="0" w:space="0" w:color="auto"/>
          </w:divBdr>
        </w:div>
        <w:div w:id="884293021">
          <w:marLeft w:val="1138"/>
          <w:marRight w:val="0"/>
          <w:marTop w:val="58"/>
          <w:marBottom w:val="0"/>
          <w:divBdr>
            <w:top w:val="none" w:sz="0" w:space="0" w:color="auto"/>
            <w:left w:val="none" w:sz="0" w:space="0" w:color="auto"/>
            <w:bottom w:val="none" w:sz="0" w:space="0" w:color="auto"/>
            <w:right w:val="none" w:sz="0" w:space="0" w:color="auto"/>
          </w:divBdr>
        </w:div>
        <w:div w:id="692389620">
          <w:marLeft w:val="274"/>
          <w:marRight w:val="0"/>
          <w:marTop w:val="58"/>
          <w:marBottom w:val="0"/>
          <w:divBdr>
            <w:top w:val="none" w:sz="0" w:space="0" w:color="auto"/>
            <w:left w:val="none" w:sz="0" w:space="0" w:color="auto"/>
            <w:bottom w:val="none" w:sz="0" w:space="0" w:color="auto"/>
            <w:right w:val="none" w:sz="0" w:space="0" w:color="auto"/>
          </w:divBdr>
        </w:div>
        <w:div w:id="940793273">
          <w:marLeft w:val="1138"/>
          <w:marRight w:val="0"/>
          <w:marTop w:val="58"/>
          <w:marBottom w:val="0"/>
          <w:divBdr>
            <w:top w:val="none" w:sz="0" w:space="0" w:color="auto"/>
            <w:left w:val="none" w:sz="0" w:space="0" w:color="auto"/>
            <w:bottom w:val="none" w:sz="0" w:space="0" w:color="auto"/>
            <w:right w:val="none" w:sz="0" w:space="0" w:color="auto"/>
          </w:divBdr>
        </w:div>
        <w:div w:id="132916125">
          <w:marLeft w:val="274"/>
          <w:marRight w:val="0"/>
          <w:marTop w:val="58"/>
          <w:marBottom w:val="0"/>
          <w:divBdr>
            <w:top w:val="none" w:sz="0" w:space="0" w:color="auto"/>
            <w:left w:val="none" w:sz="0" w:space="0" w:color="auto"/>
            <w:bottom w:val="none" w:sz="0" w:space="0" w:color="auto"/>
            <w:right w:val="none" w:sz="0" w:space="0" w:color="auto"/>
          </w:divBdr>
        </w:div>
        <w:div w:id="112791910">
          <w:marLeft w:val="1138"/>
          <w:marRight w:val="0"/>
          <w:marTop w:val="58"/>
          <w:marBottom w:val="0"/>
          <w:divBdr>
            <w:top w:val="none" w:sz="0" w:space="0" w:color="auto"/>
            <w:left w:val="none" w:sz="0" w:space="0" w:color="auto"/>
            <w:bottom w:val="none" w:sz="0" w:space="0" w:color="auto"/>
            <w:right w:val="none" w:sz="0" w:space="0" w:color="auto"/>
          </w:divBdr>
        </w:div>
        <w:div w:id="2042126901">
          <w:marLeft w:val="1138"/>
          <w:marRight w:val="0"/>
          <w:marTop w:val="58"/>
          <w:marBottom w:val="0"/>
          <w:divBdr>
            <w:top w:val="none" w:sz="0" w:space="0" w:color="auto"/>
            <w:left w:val="none" w:sz="0" w:space="0" w:color="auto"/>
            <w:bottom w:val="none" w:sz="0" w:space="0" w:color="auto"/>
            <w:right w:val="none" w:sz="0" w:space="0" w:color="auto"/>
          </w:divBdr>
        </w:div>
      </w:divsChild>
    </w:div>
    <w:div w:id="961619012">
      <w:bodyDiv w:val="1"/>
      <w:marLeft w:val="0"/>
      <w:marRight w:val="0"/>
      <w:marTop w:val="0"/>
      <w:marBottom w:val="0"/>
      <w:divBdr>
        <w:top w:val="none" w:sz="0" w:space="0" w:color="auto"/>
        <w:left w:val="none" w:sz="0" w:space="0" w:color="auto"/>
        <w:bottom w:val="none" w:sz="0" w:space="0" w:color="auto"/>
        <w:right w:val="none" w:sz="0" w:space="0" w:color="auto"/>
      </w:divBdr>
    </w:div>
    <w:div w:id="1024746041">
      <w:bodyDiv w:val="1"/>
      <w:marLeft w:val="0"/>
      <w:marRight w:val="0"/>
      <w:marTop w:val="0"/>
      <w:marBottom w:val="0"/>
      <w:divBdr>
        <w:top w:val="none" w:sz="0" w:space="0" w:color="auto"/>
        <w:left w:val="none" w:sz="0" w:space="0" w:color="auto"/>
        <w:bottom w:val="none" w:sz="0" w:space="0" w:color="auto"/>
        <w:right w:val="none" w:sz="0" w:space="0" w:color="auto"/>
      </w:divBdr>
    </w:div>
    <w:div w:id="1045252975">
      <w:bodyDiv w:val="1"/>
      <w:marLeft w:val="0"/>
      <w:marRight w:val="0"/>
      <w:marTop w:val="0"/>
      <w:marBottom w:val="0"/>
      <w:divBdr>
        <w:top w:val="none" w:sz="0" w:space="0" w:color="auto"/>
        <w:left w:val="none" w:sz="0" w:space="0" w:color="auto"/>
        <w:bottom w:val="none" w:sz="0" w:space="0" w:color="auto"/>
        <w:right w:val="none" w:sz="0" w:space="0" w:color="auto"/>
      </w:divBdr>
    </w:div>
    <w:div w:id="1046444126">
      <w:bodyDiv w:val="1"/>
      <w:marLeft w:val="0"/>
      <w:marRight w:val="0"/>
      <w:marTop w:val="0"/>
      <w:marBottom w:val="0"/>
      <w:divBdr>
        <w:top w:val="none" w:sz="0" w:space="0" w:color="auto"/>
        <w:left w:val="none" w:sz="0" w:space="0" w:color="auto"/>
        <w:bottom w:val="none" w:sz="0" w:space="0" w:color="auto"/>
        <w:right w:val="none" w:sz="0" w:space="0" w:color="auto"/>
      </w:divBdr>
    </w:div>
    <w:div w:id="1052072358">
      <w:bodyDiv w:val="1"/>
      <w:marLeft w:val="0"/>
      <w:marRight w:val="0"/>
      <w:marTop w:val="0"/>
      <w:marBottom w:val="0"/>
      <w:divBdr>
        <w:top w:val="none" w:sz="0" w:space="0" w:color="auto"/>
        <w:left w:val="none" w:sz="0" w:space="0" w:color="auto"/>
        <w:bottom w:val="none" w:sz="0" w:space="0" w:color="auto"/>
        <w:right w:val="none" w:sz="0" w:space="0" w:color="auto"/>
      </w:divBdr>
    </w:div>
    <w:div w:id="1091895519">
      <w:bodyDiv w:val="1"/>
      <w:marLeft w:val="0"/>
      <w:marRight w:val="0"/>
      <w:marTop w:val="0"/>
      <w:marBottom w:val="0"/>
      <w:divBdr>
        <w:top w:val="none" w:sz="0" w:space="0" w:color="auto"/>
        <w:left w:val="none" w:sz="0" w:space="0" w:color="auto"/>
        <w:bottom w:val="none" w:sz="0" w:space="0" w:color="auto"/>
        <w:right w:val="none" w:sz="0" w:space="0" w:color="auto"/>
      </w:divBdr>
    </w:div>
    <w:div w:id="1169639472">
      <w:bodyDiv w:val="1"/>
      <w:marLeft w:val="0"/>
      <w:marRight w:val="0"/>
      <w:marTop w:val="0"/>
      <w:marBottom w:val="0"/>
      <w:divBdr>
        <w:top w:val="none" w:sz="0" w:space="0" w:color="auto"/>
        <w:left w:val="none" w:sz="0" w:space="0" w:color="auto"/>
        <w:bottom w:val="none" w:sz="0" w:space="0" w:color="auto"/>
        <w:right w:val="none" w:sz="0" w:space="0" w:color="auto"/>
      </w:divBdr>
    </w:div>
    <w:div w:id="1189102637">
      <w:bodyDiv w:val="1"/>
      <w:marLeft w:val="0"/>
      <w:marRight w:val="0"/>
      <w:marTop w:val="0"/>
      <w:marBottom w:val="0"/>
      <w:divBdr>
        <w:top w:val="none" w:sz="0" w:space="0" w:color="auto"/>
        <w:left w:val="none" w:sz="0" w:space="0" w:color="auto"/>
        <w:bottom w:val="none" w:sz="0" w:space="0" w:color="auto"/>
        <w:right w:val="none" w:sz="0" w:space="0" w:color="auto"/>
      </w:divBdr>
      <w:divsChild>
        <w:div w:id="2047369090">
          <w:marLeft w:val="274"/>
          <w:marRight w:val="0"/>
          <w:marTop w:val="58"/>
          <w:marBottom w:val="0"/>
          <w:divBdr>
            <w:top w:val="none" w:sz="0" w:space="0" w:color="auto"/>
            <w:left w:val="none" w:sz="0" w:space="0" w:color="auto"/>
            <w:bottom w:val="none" w:sz="0" w:space="0" w:color="auto"/>
            <w:right w:val="none" w:sz="0" w:space="0" w:color="auto"/>
          </w:divBdr>
        </w:div>
        <w:div w:id="1679699004">
          <w:marLeft w:val="1138"/>
          <w:marRight w:val="0"/>
          <w:marTop w:val="58"/>
          <w:marBottom w:val="0"/>
          <w:divBdr>
            <w:top w:val="none" w:sz="0" w:space="0" w:color="auto"/>
            <w:left w:val="none" w:sz="0" w:space="0" w:color="auto"/>
            <w:bottom w:val="none" w:sz="0" w:space="0" w:color="auto"/>
            <w:right w:val="none" w:sz="0" w:space="0" w:color="auto"/>
          </w:divBdr>
        </w:div>
        <w:div w:id="2061785436">
          <w:marLeft w:val="1138"/>
          <w:marRight w:val="0"/>
          <w:marTop w:val="58"/>
          <w:marBottom w:val="0"/>
          <w:divBdr>
            <w:top w:val="none" w:sz="0" w:space="0" w:color="auto"/>
            <w:left w:val="none" w:sz="0" w:space="0" w:color="auto"/>
            <w:bottom w:val="none" w:sz="0" w:space="0" w:color="auto"/>
            <w:right w:val="none" w:sz="0" w:space="0" w:color="auto"/>
          </w:divBdr>
        </w:div>
        <w:div w:id="1372682915">
          <w:marLeft w:val="274"/>
          <w:marRight w:val="0"/>
          <w:marTop w:val="58"/>
          <w:marBottom w:val="0"/>
          <w:divBdr>
            <w:top w:val="none" w:sz="0" w:space="0" w:color="auto"/>
            <w:left w:val="none" w:sz="0" w:space="0" w:color="auto"/>
            <w:bottom w:val="none" w:sz="0" w:space="0" w:color="auto"/>
            <w:right w:val="none" w:sz="0" w:space="0" w:color="auto"/>
          </w:divBdr>
        </w:div>
        <w:div w:id="597786006">
          <w:marLeft w:val="1138"/>
          <w:marRight w:val="0"/>
          <w:marTop w:val="58"/>
          <w:marBottom w:val="0"/>
          <w:divBdr>
            <w:top w:val="none" w:sz="0" w:space="0" w:color="auto"/>
            <w:left w:val="none" w:sz="0" w:space="0" w:color="auto"/>
            <w:bottom w:val="none" w:sz="0" w:space="0" w:color="auto"/>
            <w:right w:val="none" w:sz="0" w:space="0" w:color="auto"/>
          </w:divBdr>
        </w:div>
        <w:div w:id="68315137">
          <w:marLeft w:val="1138"/>
          <w:marRight w:val="0"/>
          <w:marTop w:val="58"/>
          <w:marBottom w:val="0"/>
          <w:divBdr>
            <w:top w:val="none" w:sz="0" w:space="0" w:color="auto"/>
            <w:left w:val="none" w:sz="0" w:space="0" w:color="auto"/>
            <w:bottom w:val="none" w:sz="0" w:space="0" w:color="auto"/>
            <w:right w:val="none" w:sz="0" w:space="0" w:color="auto"/>
          </w:divBdr>
        </w:div>
        <w:div w:id="1948924210">
          <w:marLeft w:val="274"/>
          <w:marRight w:val="0"/>
          <w:marTop w:val="58"/>
          <w:marBottom w:val="0"/>
          <w:divBdr>
            <w:top w:val="none" w:sz="0" w:space="0" w:color="auto"/>
            <w:left w:val="none" w:sz="0" w:space="0" w:color="auto"/>
            <w:bottom w:val="none" w:sz="0" w:space="0" w:color="auto"/>
            <w:right w:val="none" w:sz="0" w:space="0" w:color="auto"/>
          </w:divBdr>
        </w:div>
        <w:div w:id="994644015">
          <w:marLeft w:val="1138"/>
          <w:marRight w:val="0"/>
          <w:marTop w:val="58"/>
          <w:marBottom w:val="0"/>
          <w:divBdr>
            <w:top w:val="none" w:sz="0" w:space="0" w:color="auto"/>
            <w:left w:val="none" w:sz="0" w:space="0" w:color="auto"/>
            <w:bottom w:val="none" w:sz="0" w:space="0" w:color="auto"/>
            <w:right w:val="none" w:sz="0" w:space="0" w:color="auto"/>
          </w:divBdr>
        </w:div>
        <w:div w:id="1223250309">
          <w:marLeft w:val="1138"/>
          <w:marRight w:val="0"/>
          <w:marTop w:val="58"/>
          <w:marBottom w:val="0"/>
          <w:divBdr>
            <w:top w:val="none" w:sz="0" w:space="0" w:color="auto"/>
            <w:left w:val="none" w:sz="0" w:space="0" w:color="auto"/>
            <w:bottom w:val="none" w:sz="0" w:space="0" w:color="auto"/>
            <w:right w:val="none" w:sz="0" w:space="0" w:color="auto"/>
          </w:divBdr>
        </w:div>
        <w:div w:id="1689866566">
          <w:marLeft w:val="1138"/>
          <w:marRight w:val="0"/>
          <w:marTop w:val="58"/>
          <w:marBottom w:val="0"/>
          <w:divBdr>
            <w:top w:val="none" w:sz="0" w:space="0" w:color="auto"/>
            <w:left w:val="none" w:sz="0" w:space="0" w:color="auto"/>
            <w:bottom w:val="none" w:sz="0" w:space="0" w:color="auto"/>
            <w:right w:val="none" w:sz="0" w:space="0" w:color="auto"/>
          </w:divBdr>
        </w:div>
        <w:div w:id="557782330">
          <w:marLeft w:val="274"/>
          <w:marRight w:val="0"/>
          <w:marTop w:val="58"/>
          <w:marBottom w:val="0"/>
          <w:divBdr>
            <w:top w:val="none" w:sz="0" w:space="0" w:color="auto"/>
            <w:left w:val="none" w:sz="0" w:space="0" w:color="auto"/>
            <w:bottom w:val="none" w:sz="0" w:space="0" w:color="auto"/>
            <w:right w:val="none" w:sz="0" w:space="0" w:color="auto"/>
          </w:divBdr>
        </w:div>
        <w:div w:id="926842435">
          <w:marLeft w:val="1138"/>
          <w:marRight w:val="0"/>
          <w:marTop w:val="58"/>
          <w:marBottom w:val="0"/>
          <w:divBdr>
            <w:top w:val="none" w:sz="0" w:space="0" w:color="auto"/>
            <w:left w:val="none" w:sz="0" w:space="0" w:color="auto"/>
            <w:bottom w:val="none" w:sz="0" w:space="0" w:color="auto"/>
            <w:right w:val="none" w:sz="0" w:space="0" w:color="auto"/>
          </w:divBdr>
        </w:div>
        <w:div w:id="567375115">
          <w:marLeft w:val="979"/>
          <w:marRight w:val="0"/>
          <w:marTop w:val="58"/>
          <w:marBottom w:val="0"/>
          <w:divBdr>
            <w:top w:val="none" w:sz="0" w:space="0" w:color="auto"/>
            <w:left w:val="none" w:sz="0" w:space="0" w:color="auto"/>
            <w:bottom w:val="none" w:sz="0" w:space="0" w:color="auto"/>
            <w:right w:val="none" w:sz="0" w:space="0" w:color="auto"/>
          </w:divBdr>
        </w:div>
      </w:divsChild>
    </w:div>
    <w:div w:id="1218081989">
      <w:bodyDiv w:val="1"/>
      <w:marLeft w:val="0"/>
      <w:marRight w:val="0"/>
      <w:marTop w:val="0"/>
      <w:marBottom w:val="0"/>
      <w:divBdr>
        <w:top w:val="none" w:sz="0" w:space="0" w:color="auto"/>
        <w:left w:val="none" w:sz="0" w:space="0" w:color="auto"/>
        <w:bottom w:val="none" w:sz="0" w:space="0" w:color="auto"/>
        <w:right w:val="none" w:sz="0" w:space="0" w:color="auto"/>
      </w:divBdr>
    </w:div>
    <w:div w:id="1224482423">
      <w:bodyDiv w:val="1"/>
      <w:marLeft w:val="0"/>
      <w:marRight w:val="0"/>
      <w:marTop w:val="0"/>
      <w:marBottom w:val="0"/>
      <w:divBdr>
        <w:top w:val="none" w:sz="0" w:space="0" w:color="auto"/>
        <w:left w:val="none" w:sz="0" w:space="0" w:color="auto"/>
        <w:bottom w:val="none" w:sz="0" w:space="0" w:color="auto"/>
        <w:right w:val="none" w:sz="0" w:space="0" w:color="auto"/>
      </w:divBdr>
    </w:div>
    <w:div w:id="1250231478">
      <w:bodyDiv w:val="1"/>
      <w:marLeft w:val="0"/>
      <w:marRight w:val="0"/>
      <w:marTop w:val="0"/>
      <w:marBottom w:val="0"/>
      <w:divBdr>
        <w:top w:val="none" w:sz="0" w:space="0" w:color="auto"/>
        <w:left w:val="none" w:sz="0" w:space="0" w:color="auto"/>
        <w:bottom w:val="none" w:sz="0" w:space="0" w:color="auto"/>
        <w:right w:val="none" w:sz="0" w:space="0" w:color="auto"/>
      </w:divBdr>
    </w:div>
    <w:div w:id="1284768941">
      <w:bodyDiv w:val="1"/>
      <w:marLeft w:val="0"/>
      <w:marRight w:val="0"/>
      <w:marTop w:val="0"/>
      <w:marBottom w:val="0"/>
      <w:divBdr>
        <w:top w:val="none" w:sz="0" w:space="0" w:color="auto"/>
        <w:left w:val="none" w:sz="0" w:space="0" w:color="auto"/>
        <w:bottom w:val="none" w:sz="0" w:space="0" w:color="auto"/>
        <w:right w:val="none" w:sz="0" w:space="0" w:color="auto"/>
      </w:divBdr>
    </w:div>
    <w:div w:id="1300527382">
      <w:bodyDiv w:val="1"/>
      <w:marLeft w:val="0"/>
      <w:marRight w:val="0"/>
      <w:marTop w:val="0"/>
      <w:marBottom w:val="0"/>
      <w:divBdr>
        <w:top w:val="none" w:sz="0" w:space="0" w:color="auto"/>
        <w:left w:val="none" w:sz="0" w:space="0" w:color="auto"/>
        <w:bottom w:val="none" w:sz="0" w:space="0" w:color="auto"/>
        <w:right w:val="none" w:sz="0" w:space="0" w:color="auto"/>
      </w:divBdr>
    </w:div>
    <w:div w:id="1313871116">
      <w:bodyDiv w:val="1"/>
      <w:marLeft w:val="0"/>
      <w:marRight w:val="0"/>
      <w:marTop w:val="0"/>
      <w:marBottom w:val="0"/>
      <w:divBdr>
        <w:top w:val="none" w:sz="0" w:space="0" w:color="auto"/>
        <w:left w:val="none" w:sz="0" w:space="0" w:color="auto"/>
        <w:bottom w:val="none" w:sz="0" w:space="0" w:color="auto"/>
        <w:right w:val="none" w:sz="0" w:space="0" w:color="auto"/>
      </w:divBdr>
      <w:divsChild>
        <w:div w:id="684476404">
          <w:marLeft w:val="706"/>
          <w:marRight w:val="0"/>
          <w:marTop w:val="58"/>
          <w:marBottom w:val="0"/>
          <w:divBdr>
            <w:top w:val="none" w:sz="0" w:space="0" w:color="auto"/>
            <w:left w:val="none" w:sz="0" w:space="0" w:color="auto"/>
            <w:bottom w:val="none" w:sz="0" w:space="0" w:color="auto"/>
            <w:right w:val="none" w:sz="0" w:space="0" w:color="auto"/>
          </w:divBdr>
        </w:div>
        <w:div w:id="389230588">
          <w:marLeft w:val="1138"/>
          <w:marRight w:val="0"/>
          <w:marTop w:val="58"/>
          <w:marBottom w:val="0"/>
          <w:divBdr>
            <w:top w:val="none" w:sz="0" w:space="0" w:color="auto"/>
            <w:left w:val="none" w:sz="0" w:space="0" w:color="auto"/>
            <w:bottom w:val="none" w:sz="0" w:space="0" w:color="auto"/>
            <w:right w:val="none" w:sz="0" w:space="0" w:color="auto"/>
          </w:divBdr>
        </w:div>
        <w:div w:id="1705015750">
          <w:marLeft w:val="1138"/>
          <w:marRight w:val="0"/>
          <w:marTop w:val="58"/>
          <w:marBottom w:val="0"/>
          <w:divBdr>
            <w:top w:val="none" w:sz="0" w:space="0" w:color="auto"/>
            <w:left w:val="none" w:sz="0" w:space="0" w:color="auto"/>
            <w:bottom w:val="none" w:sz="0" w:space="0" w:color="auto"/>
            <w:right w:val="none" w:sz="0" w:space="0" w:color="auto"/>
          </w:divBdr>
        </w:div>
        <w:div w:id="952907236">
          <w:marLeft w:val="1138"/>
          <w:marRight w:val="0"/>
          <w:marTop w:val="58"/>
          <w:marBottom w:val="0"/>
          <w:divBdr>
            <w:top w:val="none" w:sz="0" w:space="0" w:color="auto"/>
            <w:left w:val="none" w:sz="0" w:space="0" w:color="auto"/>
            <w:bottom w:val="none" w:sz="0" w:space="0" w:color="auto"/>
            <w:right w:val="none" w:sz="0" w:space="0" w:color="auto"/>
          </w:divBdr>
        </w:div>
        <w:div w:id="66149143">
          <w:marLeft w:val="1138"/>
          <w:marRight w:val="0"/>
          <w:marTop w:val="58"/>
          <w:marBottom w:val="0"/>
          <w:divBdr>
            <w:top w:val="none" w:sz="0" w:space="0" w:color="auto"/>
            <w:left w:val="none" w:sz="0" w:space="0" w:color="auto"/>
            <w:bottom w:val="none" w:sz="0" w:space="0" w:color="auto"/>
            <w:right w:val="none" w:sz="0" w:space="0" w:color="auto"/>
          </w:divBdr>
        </w:div>
        <w:div w:id="611128947">
          <w:marLeft w:val="706"/>
          <w:marRight w:val="0"/>
          <w:marTop w:val="58"/>
          <w:marBottom w:val="0"/>
          <w:divBdr>
            <w:top w:val="none" w:sz="0" w:space="0" w:color="auto"/>
            <w:left w:val="none" w:sz="0" w:space="0" w:color="auto"/>
            <w:bottom w:val="none" w:sz="0" w:space="0" w:color="auto"/>
            <w:right w:val="none" w:sz="0" w:space="0" w:color="auto"/>
          </w:divBdr>
        </w:div>
        <w:div w:id="1523979187">
          <w:marLeft w:val="1138"/>
          <w:marRight w:val="0"/>
          <w:marTop w:val="58"/>
          <w:marBottom w:val="0"/>
          <w:divBdr>
            <w:top w:val="none" w:sz="0" w:space="0" w:color="auto"/>
            <w:left w:val="none" w:sz="0" w:space="0" w:color="auto"/>
            <w:bottom w:val="none" w:sz="0" w:space="0" w:color="auto"/>
            <w:right w:val="none" w:sz="0" w:space="0" w:color="auto"/>
          </w:divBdr>
        </w:div>
        <w:div w:id="2172401">
          <w:marLeft w:val="1138"/>
          <w:marRight w:val="0"/>
          <w:marTop w:val="58"/>
          <w:marBottom w:val="0"/>
          <w:divBdr>
            <w:top w:val="none" w:sz="0" w:space="0" w:color="auto"/>
            <w:left w:val="none" w:sz="0" w:space="0" w:color="auto"/>
            <w:bottom w:val="none" w:sz="0" w:space="0" w:color="auto"/>
            <w:right w:val="none" w:sz="0" w:space="0" w:color="auto"/>
          </w:divBdr>
        </w:div>
        <w:div w:id="1010377033">
          <w:marLeft w:val="706"/>
          <w:marRight w:val="0"/>
          <w:marTop w:val="58"/>
          <w:marBottom w:val="0"/>
          <w:divBdr>
            <w:top w:val="none" w:sz="0" w:space="0" w:color="auto"/>
            <w:left w:val="none" w:sz="0" w:space="0" w:color="auto"/>
            <w:bottom w:val="none" w:sz="0" w:space="0" w:color="auto"/>
            <w:right w:val="none" w:sz="0" w:space="0" w:color="auto"/>
          </w:divBdr>
        </w:div>
        <w:div w:id="1352494754">
          <w:marLeft w:val="1138"/>
          <w:marRight w:val="0"/>
          <w:marTop w:val="58"/>
          <w:marBottom w:val="0"/>
          <w:divBdr>
            <w:top w:val="none" w:sz="0" w:space="0" w:color="auto"/>
            <w:left w:val="none" w:sz="0" w:space="0" w:color="auto"/>
            <w:bottom w:val="none" w:sz="0" w:space="0" w:color="auto"/>
            <w:right w:val="none" w:sz="0" w:space="0" w:color="auto"/>
          </w:divBdr>
        </w:div>
        <w:div w:id="228659119">
          <w:marLeft w:val="706"/>
          <w:marRight w:val="0"/>
          <w:marTop w:val="58"/>
          <w:marBottom w:val="0"/>
          <w:divBdr>
            <w:top w:val="none" w:sz="0" w:space="0" w:color="auto"/>
            <w:left w:val="none" w:sz="0" w:space="0" w:color="auto"/>
            <w:bottom w:val="none" w:sz="0" w:space="0" w:color="auto"/>
            <w:right w:val="none" w:sz="0" w:space="0" w:color="auto"/>
          </w:divBdr>
        </w:div>
        <w:div w:id="1784569257">
          <w:marLeft w:val="1138"/>
          <w:marRight w:val="0"/>
          <w:marTop w:val="58"/>
          <w:marBottom w:val="0"/>
          <w:divBdr>
            <w:top w:val="none" w:sz="0" w:space="0" w:color="auto"/>
            <w:left w:val="none" w:sz="0" w:space="0" w:color="auto"/>
            <w:bottom w:val="none" w:sz="0" w:space="0" w:color="auto"/>
            <w:right w:val="none" w:sz="0" w:space="0" w:color="auto"/>
          </w:divBdr>
        </w:div>
      </w:divsChild>
    </w:div>
    <w:div w:id="1326939423">
      <w:bodyDiv w:val="1"/>
      <w:marLeft w:val="0"/>
      <w:marRight w:val="0"/>
      <w:marTop w:val="0"/>
      <w:marBottom w:val="0"/>
      <w:divBdr>
        <w:top w:val="none" w:sz="0" w:space="0" w:color="auto"/>
        <w:left w:val="none" w:sz="0" w:space="0" w:color="auto"/>
        <w:bottom w:val="none" w:sz="0" w:space="0" w:color="auto"/>
        <w:right w:val="none" w:sz="0" w:space="0" w:color="auto"/>
      </w:divBdr>
    </w:div>
    <w:div w:id="1439183466">
      <w:bodyDiv w:val="1"/>
      <w:marLeft w:val="0"/>
      <w:marRight w:val="0"/>
      <w:marTop w:val="0"/>
      <w:marBottom w:val="0"/>
      <w:divBdr>
        <w:top w:val="none" w:sz="0" w:space="0" w:color="auto"/>
        <w:left w:val="none" w:sz="0" w:space="0" w:color="auto"/>
        <w:bottom w:val="none" w:sz="0" w:space="0" w:color="auto"/>
        <w:right w:val="none" w:sz="0" w:space="0" w:color="auto"/>
      </w:divBdr>
    </w:div>
    <w:div w:id="1462069861">
      <w:bodyDiv w:val="1"/>
      <w:marLeft w:val="0"/>
      <w:marRight w:val="0"/>
      <w:marTop w:val="0"/>
      <w:marBottom w:val="0"/>
      <w:divBdr>
        <w:top w:val="none" w:sz="0" w:space="0" w:color="auto"/>
        <w:left w:val="none" w:sz="0" w:space="0" w:color="auto"/>
        <w:bottom w:val="none" w:sz="0" w:space="0" w:color="auto"/>
        <w:right w:val="none" w:sz="0" w:space="0" w:color="auto"/>
      </w:divBdr>
      <w:divsChild>
        <w:div w:id="310867077">
          <w:marLeft w:val="706"/>
          <w:marRight w:val="0"/>
          <w:marTop w:val="58"/>
          <w:marBottom w:val="0"/>
          <w:divBdr>
            <w:top w:val="none" w:sz="0" w:space="0" w:color="auto"/>
            <w:left w:val="none" w:sz="0" w:space="0" w:color="auto"/>
            <w:bottom w:val="none" w:sz="0" w:space="0" w:color="auto"/>
            <w:right w:val="none" w:sz="0" w:space="0" w:color="auto"/>
          </w:divBdr>
        </w:div>
        <w:div w:id="1477530719">
          <w:marLeft w:val="706"/>
          <w:marRight w:val="0"/>
          <w:marTop w:val="58"/>
          <w:marBottom w:val="0"/>
          <w:divBdr>
            <w:top w:val="none" w:sz="0" w:space="0" w:color="auto"/>
            <w:left w:val="none" w:sz="0" w:space="0" w:color="auto"/>
            <w:bottom w:val="none" w:sz="0" w:space="0" w:color="auto"/>
            <w:right w:val="none" w:sz="0" w:space="0" w:color="auto"/>
          </w:divBdr>
        </w:div>
        <w:div w:id="1387266682">
          <w:marLeft w:val="706"/>
          <w:marRight w:val="0"/>
          <w:marTop w:val="58"/>
          <w:marBottom w:val="0"/>
          <w:divBdr>
            <w:top w:val="none" w:sz="0" w:space="0" w:color="auto"/>
            <w:left w:val="none" w:sz="0" w:space="0" w:color="auto"/>
            <w:bottom w:val="none" w:sz="0" w:space="0" w:color="auto"/>
            <w:right w:val="none" w:sz="0" w:space="0" w:color="auto"/>
          </w:divBdr>
        </w:div>
        <w:div w:id="2056468816">
          <w:marLeft w:val="706"/>
          <w:marRight w:val="0"/>
          <w:marTop w:val="58"/>
          <w:marBottom w:val="0"/>
          <w:divBdr>
            <w:top w:val="none" w:sz="0" w:space="0" w:color="auto"/>
            <w:left w:val="none" w:sz="0" w:space="0" w:color="auto"/>
            <w:bottom w:val="none" w:sz="0" w:space="0" w:color="auto"/>
            <w:right w:val="none" w:sz="0" w:space="0" w:color="auto"/>
          </w:divBdr>
        </w:div>
      </w:divsChild>
    </w:div>
    <w:div w:id="1485316636">
      <w:bodyDiv w:val="1"/>
      <w:marLeft w:val="0"/>
      <w:marRight w:val="0"/>
      <w:marTop w:val="0"/>
      <w:marBottom w:val="0"/>
      <w:divBdr>
        <w:top w:val="none" w:sz="0" w:space="0" w:color="auto"/>
        <w:left w:val="none" w:sz="0" w:space="0" w:color="auto"/>
        <w:bottom w:val="none" w:sz="0" w:space="0" w:color="auto"/>
        <w:right w:val="none" w:sz="0" w:space="0" w:color="auto"/>
      </w:divBdr>
      <w:divsChild>
        <w:div w:id="159469484">
          <w:marLeft w:val="706"/>
          <w:marRight w:val="0"/>
          <w:marTop w:val="58"/>
          <w:marBottom w:val="0"/>
          <w:divBdr>
            <w:top w:val="none" w:sz="0" w:space="0" w:color="auto"/>
            <w:left w:val="none" w:sz="0" w:space="0" w:color="auto"/>
            <w:bottom w:val="none" w:sz="0" w:space="0" w:color="auto"/>
            <w:right w:val="none" w:sz="0" w:space="0" w:color="auto"/>
          </w:divBdr>
        </w:div>
        <w:div w:id="1541550783">
          <w:marLeft w:val="706"/>
          <w:marRight w:val="0"/>
          <w:marTop w:val="58"/>
          <w:marBottom w:val="0"/>
          <w:divBdr>
            <w:top w:val="none" w:sz="0" w:space="0" w:color="auto"/>
            <w:left w:val="none" w:sz="0" w:space="0" w:color="auto"/>
            <w:bottom w:val="none" w:sz="0" w:space="0" w:color="auto"/>
            <w:right w:val="none" w:sz="0" w:space="0" w:color="auto"/>
          </w:divBdr>
        </w:div>
        <w:div w:id="109932597">
          <w:marLeft w:val="706"/>
          <w:marRight w:val="0"/>
          <w:marTop w:val="58"/>
          <w:marBottom w:val="0"/>
          <w:divBdr>
            <w:top w:val="none" w:sz="0" w:space="0" w:color="auto"/>
            <w:left w:val="none" w:sz="0" w:space="0" w:color="auto"/>
            <w:bottom w:val="none" w:sz="0" w:space="0" w:color="auto"/>
            <w:right w:val="none" w:sz="0" w:space="0" w:color="auto"/>
          </w:divBdr>
        </w:div>
        <w:div w:id="257565725">
          <w:marLeft w:val="706"/>
          <w:marRight w:val="0"/>
          <w:marTop w:val="58"/>
          <w:marBottom w:val="0"/>
          <w:divBdr>
            <w:top w:val="none" w:sz="0" w:space="0" w:color="auto"/>
            <w:left w:val="none" w:sz="0" w:space="0" w:color="auto"/>
            <w:bottom w:val="none" w:sz="0" w:space="0" w:color="auto"/>
            <w:right w:val="none" w:sz="0" w:space="0" w:color="auto"/>
          </w:divBdr>
        </w:div>
        <w:div w:id="1909682889">
          <w:marLeft w:val="706"/>
          <w:marRight w:val="0"/>
          <w:marTop w:val="58"/>
          <w:marBottom w:val="0"/>
          <w:divBdr>
            <w:top w:val="none" w:sz="0" w:space="0" w:color="auto"/>
            <w:left w:val="none" w:sz="0" w:space="0" w:color="auto"/>
            <w:bottom w:val="none" w:sz="0" w:space="0" w:color="auto"/>
            <w:right w:val="none" w:sz="0" w:space="0" w:color="auto"/>
          </w:divBdr>
        </w:div>
        <w:div w:id="2025397620">
          <w:marLeft w:val="706"/>
          <w:marRight w:val="0"/>
          <w:marTop w:val="58"/>
          <w:marBottom w:val="0"/>
          <w:divBdr>
            <w:top w:val="none" w:sz="0" w:space="0" w:color="auto"/>
            <w:left w:val="none" w:sz="0" w:space="0" w:color="auto"/>
            <w:bottom w:val="none" w:sz="0" w:space="0" w:color="auto"/>
            <w:right w:val="none" w:sz="0" w:space="0" w:color="auto"/>
          </w:divBdr>
        </w:div>
        <w:div w:id="1275357999">
          <w:marLeft w:val="706"/>
          <w:marRight w:val="0"/>
          <w:marTop w:val="58"/>
          <w:marBottom w:val="0"/>
          <w:divBdr>
            <w:top w:val="none" w:sz="0" w:space="0" w:color="auto"/>
            <w:left w:val="none" w:sz="0" w:space="0" w:color="auto"/>
            <w:bottom w:val="none" w:sz="0" w:space="0" w:color="auto"/>
            <w:right w:val="none" w:sz="0" w:space="0" w:color="auto"/>
          </w:divBdr>
        </w:div>
        <w:div w:id="872690227">
          <w:marLeft w:val="706"/>
          <w:marRight w:val="0"/>
          <w:marTop w:val="58"/>
          <w:marBottom w:val="0"/>
          <w:divBdr>
            <w:top w:val="none" w:sz="0" w:space="0" w:color="auto"/>
            <w:left w:val="none" w:sz="0" w:space="0" w:color="auto"/>
            <w:bottom w:val="none" w:sz="0" w:space="0" w:color="auto"/>
            <w:right w:val="none" w:sz="0" w:space="0" w:color="auto"/>
          </w:divBdr>
        </w:div>
        <w:div w:id="69470945">
          <w:marLeft w:val="706"/>
          <w:marRight w:val="0"/>
          <w:marTop w:val="58"/>
          <w:marBottom w:val="0"/>
          <w:divBdr>
            <w:top w:val="none" w:sz="0" w:space="0" w:color="auto"/>
            <w:left w:val="none" w:sz="0" w:space="0" w:color="auto"/>
            <w:bottom w:val="none" w:sz="0" w:space="0" w:color="auto"/>
            <w:right w:val="none" w:sz="0" w:space="0" w:color="auto"/>
          </w:divBdr>
        </w:div>
        <w:div w:id="2095929560">
          <w:marLeft w:val="706"/>
          <w:marRight w:val="0"/>
          <w:marTop w:val="58"/>
          <w:marBottom w:val="0"/>
          <w:divBdr>
            <w:top w:val="none" w:sz="0" w:space="0" w:color="auto"/>
            <w:left w:val="none" w:sz="0" w:space="0" w:color="auto"/>
            <w:bottom w:val="none" w:sz="0" w:space="0" w:color="auto"/>
            <w:right w:val="none" w:sz="0" w:space="0" w:color="auto"/>
          </w:divBdr>
        </w:div>
        <w:div w:id="1811899301">
          <w:marLeft w:val="706"/>
          <w:marRight w:val="0"/>
          <w:marTop w:val="58"/>
          <w:marBottom w:val="0"/>
          <w:divBdr>
            <w:top w:val="none" w:sz="0" w:space="0" w:color="auto"/>
            <w:left w:val="none" w:sz="0" w:space="0" w:color="auto"/>
            <w:bottom w:val="none" w:sz="0" w:space="0" w:color="auto"/>
            <w:right w:val="none" w:sz="0" w:space="0" w:color="auto"/>
          </w:divBdr>
        </w:div>
      </w:divsChild>
    </w:div>
    <w:div w:id="1512455571">
      <w:bodyDiv w:val="1"/>
      <w:marLeft w:val="0"/>
      <w:marRight w:val="0"/>
      <w:marTop w:val="0"/>
      <w:marBottom w:val="0"/>
      <w:divBdr>
        <w:top w:val="none" w:sz="0" w:space="0" w:color="auto"/>
        <w:left w:val="none" w:sz="0" w:space="0" w:color="auto"/>
        <w:bottom w:val="none" w:sz="0" w:space="0" w:color="auto"/>
        <w:right w:val="none" w:sz="0" w:space="0" w:color="auto"/>
      </w:divBdr>
    </w:div>
    <w:div w:id="1561090370">
      <w:bodyDiv w:val="1"/>
      <w:marLeft w:val="0"/>
      <w:marRight w:val="0"/>
      <w:marTop w:val="0"/>
      <w:marBottom w:val="0"/>
      <w:divBdr>
        <w:top w:val="none" w:sz="0" w:space="0" w:color="auto"/>
        <w:left w:val="none" w:sz="0" w:space="0" w:color="auto"/>
        <w:bottom w:val="none" w:sz="0" w:space="0" w:color="auto"/>
        <w:right w:val="none" w:sz="0" w:space="0" w:color="auto"/>
      </w:divBdr>
    </w:div>
    <w:div w:id="1574778366">
      <w:bodyDiv w:val="1"/>
      <w:marLeft w:val="0"/>
      <w:marRight w:val="0"/>
      <w:marTop w:val="0"/>
      <w:marBottom w:val="0"/>
      <w:divBdr>
        <w:top w:val="none" w:sz="0" w:space="0" w:color="auto"/>
        <w:left w:val="none" w:sz="0" w:space="0" w:color="auto"/>
        <w:bottom w:val="none" w:sz="0" w:space="0" w:color="auto"/>
        <w:right w:val="none" w:sz="0" w:space="0" w:color="auto"/>
      </w:divBdr>
    </w:div>
    <w:div w:id="1584871145">
      <w:bodyDiv w:val="1"/>
      <w:marLeft w:val="0"/>
      <w:marRight w:val="0"/>
      <w:marTop w:val="0"/>
      <w:marBottom w:val="0"/>
      <w:divBdr>
        <w:top w:val="none" w:sz="0" w:space="0" w:color="auto"/>
        <w:left w:val="none" w:sz="0" w:space="0" w:color="auto"/>
        <w:bottom w:val="none" w:sz="0" w:space="0" w:color="auto"/>
        <w:right w:val="none" w:sz="0" w:space="0" w:color="auto"/>
      </w:divBdr>
    </w:div>
    <w:div w:id="1633245340">
      <w:bodyDiv w:val="1"/>
      <w:marLeft w:val="0"/>
      <w:marRight w:val="0"/>
      <w:marTop w:val="0"/>
      <w:marBottom w:val="0"/>
      <w:divBdr>
        <w:top w:val="none" w:sz="0" w:space="0" w:color="auto"/>
        <w:left w:val="none" w:sz="0" w:space="0" w:color="auto"/>
        <w:bottom w:val="none" w:sz="0" w:space="0" w:color="auto"/>
        <w:right w:val="none" w:sz="0" w:space="0" w:color="auto"/>
      </w:divBdr>
    </w:div>
    <w:div w:id="1722904477">
      <w:bodyDiv w:val="1"/>
      <w:marLeft w:val="0"/>
      <w:marRight w:val="0"/>
      <w:marTop w:val="0"/>
      <w:marBottom w:val="0"/>
      <w:divBdr>
        <w:top w:val="none" w:sz="0" w:space="0" w:color="auto"/>
        <w:left w:val="none" w:sz="0" w:space="0" w:color="auto"/>
        <w:bottom w:val="none" w:sz="0" w:space="0" w:color="auto"/>
        <w:right w:val="none" w:sz="0" w:space="0" w:color="auto"/>
      </w:divBdr>
      <w:divsChild>
        <w:div w:id="903175268">
          <w:marLeft w:val="706"/>
          <w:marRight w:val="0"/>
          <w:marTop w:val="58"/>
          <w:marBottom w:val="0"/>
          <w:divBdr>
            <w:top w:val="none" w:sz="0" w:space="0" w:color="auto"/>
            <w:left w:val="none" w:sz="0" w:space="0" w:color="auto"/>
            <w:bottom w:val="none" w:sz="0" w:space="0" w:color="auto"/>
            <w:right w:val="none" w:sz="0" w:space="0" w:color="auto"/>
          </w:divBdr>
        </w:div>
        <w:div w:id="450443518">
          <w:marLeft w:val="706"/>
          <w:marRight w:val="0"/>
          <w:marTop w:val="58"/>
          <w:marBottom w:val="0"/>
          <w:divBdr>
            <w:top w:val="none" w:sz="0" w:space="0" w:color="auto"/>
            <w:left w:val="none" w:sz="0" w:space="0" w:color="auto"/>
            <w:bottom w:val="none" w:sz="0" w:space="0" w:color="auto"/>
            <w:right w:val="none" w:sz="0" w:space="0" w:color="auto"/>
          </w:divBdr>
        </w:div>
        <w:div w:id="670109822">
          <w:marLeft w:val="706"/>
          <w:marRight w:val="0"/>
          <w:marTop w:val="58"/>
          <w:marBottom w:val="0"/>
          <w:divBdr>
            <w:top w:val="none" w:sz="0" w:space="0" w:color="auto"/>
            <w:left w:val="none" w:sz="0" w:space="0" w:color="auto"/>
            <w:bottom w:val="none" w:sz="0" w:space="0" w:color="auto"/>
            <w:right w:val="none" w:sz="0" w:space="0" w:color="auto"/>
          </w:divBdr>
        </w:div>
        <w:div w:id="839586820">
          <w:marLeft w:val="706"/>
          <w:marRight w:val="0"/>
          <w:marTop w:val="58"/>
          <w:marBottom w:val="0"/>
          <w:divBdr>
            <w:top w:val="none" w:sz="0" w:space="0" w:color="auto"/>
            <w:left w:val="none" w:sz="0" w:space="0" w:color="auto"/>
            <w:bottom w:val="none" w:sz="0" w:space="0" w:color="auto"/>
            <w:right w:val="none" w:sz="0" w:space="0" w:color="auto"/>
          </w:divBdr>
        </w:div>
      </w:divsChild>
    </w:div>
    <w:div w:id="1726097382">
      <w:bodyDiv w:val="1"/>
      <w:marLeft w:val="0"/>
      <w:marRight w:val="0"/>
      <w:marTop w:val="0"/>
      <w:marBottom w:val="0"/>
      <w:divBdr>
        <w:top w:val="none" w:sz="0" w:space="0" w:color="auto"/>
        <w:left w:val="none" w:sz="0" w:space="0" w:color="auto"/>
        <w:bottom w:val="none" w:sz="0" w:space="0" w:color="auto"/>
        <w:right w:val="none" w:sz="0" w:space="0" w:color="auto"/>
      </w:divBdr>
      <w:divsChild>
        <w:div w:id="1796290964">
          <w:marLeft w:val="706"/>
          <w:marRight w:val="0"/>
          <w:marTop w:val="58"/>
          <w:marBottom w:val="0"/>
          <w:divBdr>
            <w:top w:val="none" w:sz="0" w:space="0" w:color="auto"/>
            <w:left w:val="none" w:sz="0" w:space="0" w:color="auto"/>
            <w:bottom w:val="none" w:sz="0" w:space="0" w:color="auto"/>
            <w:right w:val="none" w:sz="0" w:space="0" w:color="auto"/>
          </w:divBdr>
        </w:div>
        <w:div w:id="1905680107">
          <w:marLeft w:val="706"/>
          <w:marRight w:val="0"/>
          <w:marTop w:val="58"/>
          <w:marBottom w:val="0"/>
          <w:divBdr>
            <w:top w:val="none" w:sz="0" w:space="0" w:color="auto"/>
            <w:left w:val="none" w:sz="0" w:space="0" w:color="auto"/>
            <w:bottom w:val="none" w:sz="0" w:space="0" w:color="auto"/>
            <w:right w:val="none" w:sz="0" w:space="0" w:color="auto"/>
          </w:divBdr>
        </w:div>
        <w:div w:id="1985114901">
          <w:marLeft w:val="706"/>
          <w:marRight w:val="0"/>
          <w:marTop w:val="58"/>
          <w:marBottom w:val="0"/>
          <w:divBdr>
            <w:top w:val="none" w:sz="0" w:space="0" w:color="auto"/>
            <w:left w:val="none" w:sz="0" w:space="0" w:color="auto"/>
            <w:bottom w:val="none" w:sz="0" w:space="0" w:color="auto"/>
            <w:right w:val="none" w:sz="0" w:space="0" w:color="auto"/>
          </w:divBdr>
        </w:div>
        <w:div w:id="1757241588">
          <w:marLeft w:val="706"/>
          <w:marRight w:val="0"/>
          <w:marTop w:val="58"/>
          <w:marBottom w:val="0"/>
          <w:divBdr>
            <w:top w:val="none" w:sz="0" w:space="0" w:color="auto"/>
            <w:left w:val="none" w:sz="0" w:space="0" w:color="auto"/>
            <w:bottom w:val="none" w:sz="0" w:space="0" w:color="auto"/>
            <w:right w:val="none" w:sz="0" w:space="0" w:color="auto"/>
          </w:divBdr>
        </w:div>
        <w:div w:id="100689099">
          <w:marLeft w:val="706"/>
          <w:marRight w:val="0"/>
          <w:marTop w:val="58"/>
          <w:marBottom w:val="0"/>
          <w:divBdr>
            <w:top w:val="none" w:sz="0" w:space="0" w:color="auto"/>
            <w:left w:val="none" w:sz="0" w:space="0" w:color="auto"/>
            <w:bottom w:val="none" w:sz="0" w:space="0" w:color="auto"/>
            <w:right w:val="none" w:sz="0" w:space="0" w:color="auto"/>
          </w:divBdr>
        </w:div>
        <w:div w:id="383332036">
          <w:marLeft w:val="706"/>
          <w:marRight w:val="0"/>
          <w:marTop w:val="58"/>
          <w:marBottom w:val="0"/>
          <w:divBdr>
            <w:top w:val="none" w:sz="0" w:space="0" w:color="auto"/>
            <w:left w:val="none" w:sz="0" w:space="0" w:color="auto"/>
            <w:bottom w:val="none" w:sz="0" w:space="0" w:color="auto"/>
            <w:right w:val="none" w:sz="0" w:space="0" w:color="auto"/>
          </w:divBdr>
        </w:div>
        <w:div w:id="2031250943">
          <w:marLeft w:val="706"/>
          <w:marRight w:val="0"/>
          <w:marTop w:val="58"/>
          <w:marBottom w:val="0"/>
          <w:divBdr>
            <w:top w:val="none" w:sz="0" w:space="0" w:color="auto"/>
            <w:left w:val="none" w:sz="0" w:space="0" w:color="auto"/>
            <w:bottom w:val="none" w:sz="0" w:space="0" w:color="auto"/>
            <w:right w:val="none" w:sz="0" w:space="0" w:color="auto"/>
          </w:divBdr>
        </w:div>
        <w:div w:id="1469931035">
          <w:marLeft w:val="706"/>
          <w:marRight w:val="0"/>
          <w:marTop w:val="58"/>
          <w:marBottom w:val="0"/>
          <w:divBdr>
            <w:top w:val="none" w:sz="0" w:space="0" w:color="auto"/>
            <w:left w:val="none" w:sz="0" w:space="0" w:color="auto"/>
            <w:bottom w:val="none" w:sz="0" w:space="0" w:color="auto"/>
            <w:right w:val="none" w:sz="0" w:space="0" w:color="auto"/>
          </w:divBdr>
        </w:div>
      </w:divsChild>
    </w:div>
    <w:div w:id="1737820316">
      <w:bodyDiv w:val="1"/>
      <w:marLeft w:val="0"/>
      <w:marRight w:val="0"/>
      <w:marTop w:val="0"/>
      <w:marBottom w:val="0"/>
      <w:divBdr>
        <w:top w:val="none" w:sz="0" w:space="0" w:color="auto"/>
        <w:left w:val="none" w:sz="0" w:space="0" w:color="auto"/>
        <w:bottom w:val="none" w:sz="0" w:space="0" w:color="auto"/>
        <w:right w:val="none" w:sz="0" w:space="0" w:color="auto"/>
      </w:divBdr>
    </w:div>
    <w:div w:id="1741639058">
      <w:bodyDiv w:val="1"/>
      <w:marLeft w:val="0"/>
      <w:marRight w:val="0"/>
      <w:marTop w:val="0"/>
      <w:marBottom w:val="0"/>
      <w:divBdr>
        <w:top w:val="none" w:sz="0" w:space="0" w:color="auto"/>
        <w:left w:val="none" w:sz="0" w:space="0" w:color="auto"/>
        <w:bottom w:val="none" w:sz="0" w:space="0" w:color="auto"/>
        <w:right w:val="none" w:sz="0" w:space="0" w:color="auto"/>
      </w:divBdr>
    </w:div>
    <w:div w:id="1790011066">
      <w:bodyDiv w:val="1"/>
      <w:marLeft w:val="0"/>
      <w:marRight w:val="0"/>
      <w:marTop w:val="0"/>
      <w:marBottom w:val="0"/>
      <w:divBdr>
        <w:top w:val="none" w:sz="0" w:space="0" w:color="auto"/>
        <w:left w:val="none" w:sz="0" w:space="0" w:color="auto"/>
        <w:bottom w:val="none" w:sz="0" w:space="0" w:color="auto"/>
        <w:right w:val="none" w:sz="0" w:space="0" w:color="auto"/>
      </w:divBdr>
    </w:div>
    <w:div w:id="1799755834">
      <w:bodyDiv w:val="1"/>
      <w:marLeft w:val="0"/>
      <w:marRight w:val="0"/>
      <w:marTop w:val="0"/>
      <w:marBottom w:val="0"/>
      <w:divBdr>
        <w:top w:val="none" w:sz="0" w:space="0" w:color="auto"/>
        <w:left w:val="none" w:sz="0" w:space="0" w:color="auto"/>
        <w:bottom w:val="none" w:sz="0" w:space="0" w:color="auto"/>
        <w:right w:val="none" w:sz="0" w:space="0" w:color="auto"/>
      </w:divBdr>
    </w:div>
    <w:div w:id="1808278357">
      <w:bodyDiv w:val="1"/>
      <w:marLeft w:val="0"/>
      <w:marRight w:val="0"/>
      <w:marTop w:val="0"/>
      <w:marBottom w:val="0"/>
      <w:divBdr>
        <w:top w:val="none" w:sz="0" w:space="0" w:color="auto"/>
        <w:left w:val="none" w:sz="0" w:space="0" w:color="auto"/>
        <w:bottom w:val="none" w:sz="0" w:space="0" w:color="auto"/>
        <w:right w:val="none" w:sz="0" w:space="0" w:color="auto"/>
      </w:divBdr>
    </w:div>
    <w:div w:id="1889683944">
      <w:bodyDiv w:val="1"/>
      <w:marLeft w:val="0"/>
      <w:marRight w:val="0"/>
      <w:marTop w:val="0"/>
      <w:marBottom w:val="0"/>
      <w:divBdr>
        <w:top w:val="none" w:sz="0" w:space="0" w:color="auto"/>
        <w:left w:val="none" w:sz="0" w:space="0" w:color="auto"/>
        <w:bottom w:val="none" w:sz="0" w:space="0" w:color="auto"/>
        <w:right w:val="none" w:sz="0" w:space="0" w:color="auto"/>
      </w:divBdr>
    </w:div>
    <w:div w:id="1891263229">
      <w:bodyDiv w:val="1"/>
      <w:marLeft w:val="0"/>
      <w:marRight w:val="0"/>
      <w:marTop w:val="0"/>
      <w:marBottom w:val="0"/>
      <w:divBdr>
        <w:top w:val="none" w:sz="0" w:space="0" w:color="auto"/>
        <w:left w:val="none" w:sz="0" w:space="0" w:color="auto"/>
        <w:bottom w:val="none" w:sz="0" w:space="0" w:color="auto"/>
        <w:right w:val="none" w:sz="0" w:space="0" w:color="auto"/>
      </w:divBdr>
      <w:divsChild>
        <w:div w:id="1449006814">
          <w:marLeft w:val="706"/>
          <w:marRight w:val="0"/>
          <w:marTop w:val="58"/>
          <w:marBottom w:val="0"/>
          <w:divBdr>
            <w:top w:val="none" w:sz="0" w:space="0" w:color="auto"/>
            <w:left w:val="none" w:sz="0" w:space="0" w:color="auto"/>
            <w:bottom w:val="none" w:sz="0" w:space="0" w:color="auto"/>
            <w:right w:val="none" w:sz="0" w:space="0" w:color="auto"/>
          </w:divBdr>
        </w:div>
        <w:div w:id="1636061103">
          <w:marLeft w:val="706"/>
          <w:marRight w:val="0"/>
          <w:marTop w:val="58"/>
          <w:marBottom w:val="0"/>
          <w:divBdr>
            <w:top w:val="none" w:sz="0" w:space="0" w:color="auto"/>
            <w:left w:val="none" w:sz="0" w:space="0" w:color="auto"/>
            <w:bottom w:val="none" w:sz="0" w:space="0" w:color="auto"/>
            <w:right w:val="none" w:sz="0" w:space="0" w:color="auto"/>
          </w:divBdr>
        </w:div>
        <w:div w:id="209616442">
          <w:marLeft w:val="706"/>
          <w:marRight w:val="0"/>
          <w:marTop w:val="58"/>
          <w:marBottom w:val="0"/>
          <w:divBdr>
            <w:top w:val="none" w:sz="0" w:space="0" w:color="auto"/>
            <w:left w:val="none" w:sz="0" w:space="0" w:color="auto"/>
            <w:bottom w:val="none" w:sz="0" w:space="0" w:color="auto"/>
            <w:right w:val="none" w:sz="0" w:space="0" w:color="auto"/>
          </w:divBdr>
        </w:div>
        <w:div w:id="1925800686">
          <w:marLeft w:val="706"/>
          <w:marRight w:val="0"/>
          <w:marTop w:val="58"/>
          <w:marBottom w:val="0"/>
          <w:divBdr>
            <w:top w:val="none" w:sz="0" w:space="0" w:color="auto"/>
            <w:left w:val="none" w:sz="0" w:space="0" w:color="auto"/>
            <w:bottom w:val="none" w:sz="0" w:space="0" w:color="auto"/>
            <w:right w:val="none" w:sz="0" w:space="0" w:color="auto"/>
          </w:divBdr>
        </w:div>
        <w:div w:id="615913219">
          <w:marLeft w:val="706"/>
          <w:marRight w:val="0"/>
          <w:marTop w:val="58"/>
          <w:marBottom w:val="0"/>
          <w:divBdr>
            <w:top w:val="none" w:sz="0" w:space="0" w:color="auto"/>
            <w:left w:val="none" w:sz="0" w:space="0" w:color="auto"/>
            <w:bottom w:val="none" w:sz="0" w:space="0" w:color="auto"/>
            <w:right w:val="none" w:sz="0" w:space="0" w:color="auto"/>
          </w:divBdr>
        </w:div>
        <w:div w:id="86510461">
          <w:marLeft w:val="706"/>
          <w:marRight w:val="0"/>
          <w:marTop w:val="58"/>
          <w:marBottom w:val="0"/>
          <w:divBdr>
            <w:top w:val="none" w:sz="0" w:space="0" w:color="auto"/>
            <w:left w:val="none" w:sz="0" w:space="0" w:color="auto"/>
            <w:bottom w:val="none" w:sz="0" w:space="0" w:color="auto"/>
            <w:right w:val="none" w:sz="0" w:space="0" w:color="auto"/>
          </w:divBdr>
        </w:div>
        <w:div w:id="1512450171">
          <w:marLeft w:val="706"/>
          <w:marRight w:val="0"/>
          <w:marTop w:val="58"/>
          <w:marBottom w:val="0"/>
          <w:divBdr>
            <w:top w:val="none" w:sz="0" w:space="0" w:color="auto"/>
            <w:left w:val="none" w:sz="0" w:space="0" w:color="auto"/>
            <w:bottom w:val="none" w:sz="0" w:space="0" w:color="auto"/>
            <w:right w:val="none" w:sz="0" w:space="0" w:color="auto"/>
          </w:divBdr>
        </w:div>
        <w:div w:id="947351232">
          <w:marLeft w:val="706"/>
          <w:marRight w:val="0"/>
          <w:marTop w:val="58"/>
          <w:marBottom w:val="0"/>
          <w:divBdr>
            <w:top w:val="none" w:sz="0" w:space="0" w:color="auto"/>
            <w:left w:val="none" w:sz="0" w:space="0" w:color="auto"/>
            <w:bottom w:val="none" w:sz="0" w:space="0" w:color="auto"/>
            <w:right w:val="none" w:sz="0" w:space="0" w:color="auto"/>
          </w:divBdr>
        </w:div>
      </w:divsChild>
    </w:div>
    <w:div w:id="1915121798">
      <w:bodyDiv w:val="1"/>
      <w:marLeft w:val="0"/>
      <w:marRight w:val="0"/>
      <w:marTop w:val="0"/>
      <w:marBottom w:val="0"/>
      <w:divBdr>
        <w:top w:val="none" w:sz="0" w:space="0" w:color="auto"/>
        <w:left w:val="none" w:sz="0" w:space="0" w:color="auto"/>
        <w:bottom w:val="none" w:sz="0" w:space="0" w:color="auto"/>
        <w:right w:val="none" w:sz="0" w:space="0" w:color="auto"/>
      </w:divBdr>
    </w:div>
    <w:div w:id="1926111923">
      <w:bodyDiv w:val="1"/>
      <w:marLeft w:val="0"/>
      <w:marRight w:val="0"/>
      <w:marTop w:val="0"/>
      <w:marBottom w:val="0"/>
      <w:divBdr>
        <w:top w:val="none" w:sz="0" w:space="0" w:color="auto"/>
        <w:left w:val="none" w:sz="0" w:space="0" w:color="auto"/>
        <w:bottom w:val="none" w:sz="0" w:space="0" w:color="auto"/>
        <w:right w:val="none" w:sz="0" w:space="0" w:color="auto"/>
      </w:divBdr>
    </w:div>
    <w:div w:id="1950552327">
      <w:bodyDiv w:val="1"/>
      <w:marLeft w:val="0"/>
      <w:marRight w:val="0"/>
      <w:marTop w:val="0"/>
      <w:marBottom w:val="0"/>
      <w:divBdr>
        <w:top w:val="none" w:sz="0" w:space="0" w:color="auto"/>
        <w:left w:val="none" w:sz="0" w:space="0" w:color="auto"/>
        <w:bottom w:val="none" w:sz="0" w:space="0" w:color="auto"/>
        <w:right w:val="none" w:sz="0" w:space="0" w:color="auto"/>
      </w:divBdr>
    </w:div>
    <w:div w:id="1963996464">
      <w:bodyDiv w:val="1"/>
      <w:marLeft w:val="0"/>
      <w:marRight w:val="0"/>
      <w:marTop w:val="0"/>
      <w:marBottom w:val="0"/>
      <w:divBdr>
        <w:top w:val="none" w:sz="0" w:space="0" w:color="auto"/>
        <w:left w:val="none" w:sz="0" w:space="0" w:color="auto"/>
        <w:bottom w:val="none" w:sz="0" w:space="0" w:color="auto"/>
        <w:right w:val="none" w:sz="0" w:space="0" w:color="auto"/>
      </w:divBdr>
    </w:div>
    <w:div w:id="1967852526">
      <w:bodyDiv w:val="1"/>
      <w:marLeft w:val="0"/>
      <w:marRight w:val="0"/>
      <w:marTop w:val="0"/>
      <w:marBottom w:val="0"/>
      <w:divBdr>
        <w:top w:val="none" w:sz="0" w:space="0" w:color="auto"/>
        <w:left w:val="none" w:sz="0" w:space="0" w:color="auto"/>
        <w:bottom w:val="none" w:sz="0" w:space="0" w:color="auto"/>
        <w:right w:val="none" w:sz="0" w:space="0" w:color="auto"/>
      </w:divBdr>
    </w:div>
    <w:div w:id="1973167572">
      <w:bodyDiv w:val="1"/>
      <w:marLeft w:val="0"/>
      <w:marRight w:val="0"/>
      <w:marTop w:val="0"/>
      <w:marBottom w:val="0"/>
      <w:divBdr>
        <w:top w:val="none" w:sz="0" w:space="0" w:color="auto"/>
        <w:left w:val="none" w:sz="0" w:space="0" w:color="auto"/>
        <w:bottom w:val="none" w:sz="0" w:space="0" w:color="auto"/>
        <w:right w:val="none" w:sz="0" w:space="0" w:color="auto"/>
      </w:divBdr>
    </w:div>
    <w:div w:id="2084712872">
      <w:bodyDiv w:val="1"/>
      <w:marLeft w:val="0"/>
      <w:marRight w:val="0"/>
      <w:marTop w:val="0"/>
      <w:marBottom w:val="0"/>
      <w:divBdr>
        <w:top w:val="none" w:sz="0" w:space="0" w:color="auto"/>
        <w:left w:val="none" w:sz="0" w:space="0" w:color="auto"/>
        <w:bottom w:val="none" w:sz="0" w:space="0" w:color="auto"/>
        <w:right w:val="none" w:sz="0" w:space="0" w:color="auto"/>
      </w:divBdr>
    </w:div>
    <w:div w:id="2135980871">
      <w:bodyDiv w:val="1"/>
      <w:marLeft w:val="0"/>
      <w:marRight w:val="0"/>
      <w:marTop w:val="0"/>
      <w:marBottom w:val="0"/>
      <w:divBdr>
        <w:top w:val="none" w:sz="0" w:space="0" w:color="auto"/>
        <w:left w:val="none" w:sz="0" w:space="0" w:color="auto"/>
        <w:bottom w:val="none" w:sz="0" w:space="0" w:color="auto"/>
        <w:right w:val="none" w:sz="0" w:space="0" w:color="auto"/>
      </w:divBdr>
    </w:div>
    <w:div w:id="2144081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2.emf"/><Relationship Id="rId26" Type="http://schemas.openxmlformats.org/officeDocument/2006/relationships/package" Target="embeddings/Microsoft_Visio_Drawing4444444333333.vsdx"/><Relationship Id="rId39" Type="http://schemas.openxmlformats.org/officeDocument/2006/relationships/image" Target="media/image13.emf"/><Relationship Id="rId3" Type="http://schemas.openxmlformats.org/officeDocument/2006/relationships/customXml" Target="../customXml/item3.xml"/><Relationship Id="rId21" Type="http://schemas.openxmlformats.org/officeDocument/2006/relationships/package" Target="embeddings/Microsoft_Visio_Drawing2222222222222.vsdx"/><Relationship Id="rId34" Type="http://schemas.openxmlformats.org/officeDocument/2006/relationships/package" Target="embeddings/Microsoft_Visio_Drawing8888888777777.vsdx"/><Relationship Id="rId42" Type="http://schemas.openxmlformats.org/officeDocument/2006/relationships/chart" Target="charts/chart2.xml"/><Relationship Id="rId47" Type="http://schemas.openxmlformats.org/officeDocument/2006/relationships/oleObject" Target="embeddings/oleObject4.bin"/><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1.jpeg"/><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package" Target="embeddings/Microsoft_Visio_Drawing10101010101010999999.vsdx"/><Relationship Id="rId46" Type="http://schemas.openxmlformats.org/officeDocument/2006/relationships/image" Target="media/image15.emf"/><Relationship Id="rId2" Type="http://schemas.openxmlformats.org/officeDocument/2006/relationships/customXml" Target="../customXml/item2.xml"/><Relationship Id="rId16" Type="http://schemas.openxmlformats.org/officeDocument/2006/relationships/hyperlink" Target="http://www.synergia.co.nz" TargetMode="External"/><Relationship Id="rId20" Type="http://schemas.openxmlformats.org/officeDocument/2006/relationships/image" Target="media/image3.emf"/><Relationship Id="rId29" Type="http://schemas.openxmlformats.org/officeDocument/2006/relationships/image" Target="media/image8.emf"/><Relationship Id="rId41"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oleObject" Target="embeddings/oleObject1.bin"/><Relationship Id="rId32" Type="http://schemas.openxmlformats.org/officeDocument/2006/relationships/package" Target="embeddings/Microsoft_Visio_Drawing7777777666666.vsdx"/><Relationship Id="rId37" Type="http://schemas.openxmlformats.org/officeDocument/2006/relationships/image" Target="media/image12.emf"/><Relationship Id="rId40" Type="http://schemas.openxmlformats.org/officeDocument/2006/relationships/oleObject" Target="embeddings/oleObject2.bin"/><Relationship Id="rId45" Type="http://schemas.openxmlformats.org/officeDocument/2006/relationships/chart" Target="charts/chart3.xml"/><Relationship Id="rId5" Type="http://schemas.openxmlformats.org/officeDocument/2006/relationships/customXml" Target="../customXml/item5.xml"/><Relationship Id="rId15" Type="http://schemas.openxmlformats.org/officeDocument/2006/relationships/hyperlink" Target="http://www.synergia.co.nz" TargetMode="External"/><Relationship Id="rId23" Type="http://schemas.openxmlformats.org/officeDocument/2006/relationships/image" Target="media/image5.emf"/><Relationship Id="rId28" Type="http://schemas.openxmlformats.org/officeDocument/2006/relationships/package" Target="embeddings/Microsoft_Visio_Drawing5555555444444.vsdx"/><Relationship Id="rId36" Type="http://schemas.openxmlformats.org/officeDocument/2006/relationships/package" Target="embeddings/Microsoft_Visio_Drawing9999999888888.vsdx"/><Relationship Id="rId49"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package" Target="embeddings/Microsoft_Visio_Drawing1111111111111.vsdx"/><Relationship Id="rId31" Type="http://schemas.openxmlformats.org/officeDocument/2006/relationships/image" Target="media/image9.emf"/><Relationship Id="rId44" Type="http://schemas.openxmlformats.org/officeDocument/2006/relationships/oleObject" Target="embeddings/oleObject3.bin"/><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4.emf"/><Relationship Id="rId27" Type="http://schemas.openxmlformats.org/officeDocument/2006/relationships/image" Target="media/image7.emf"/><Relationship Id="rId30" Type="http://schemas.openxmlformats.org/officeDocument/2006/relationships/package" Target="embeddings/Microsoft_Visio_Drawing6666666555555.vsdx"/><Relationship Id="rId35" Type="http://schemas.openxmlformats.org/officeDocument/2006/relationships/image" Target="media/image11.emf"/><Relationship Id="rId43" Type="http://schemas.openxmlformats.org/officeDocument/2006/relationships/image" Target="media/image14.emf"/><Relationship Id="rId48" Type="http://schemas.openxmlformats.org/officeDocument/2006/relationships/fontTable" Target="fontTable.xml"/><Relationship Id="rId8"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2" Type="http://schemas.openxmlformats.org/officeDocument/2006/relationships/oleObject" Target="file:///D:\Users\Zen\Dropbox%20(Synergia)\Documents\519%20-%20VLCA%20New%20Gradute%20initiative\4.%20Research%20design\Practice%20profiling\Practic%20profiling%20analysis%20141012.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Users\Zen\Dropbox%20(Synergia)\Documents\519%20-%20VLCA%20New%20Gradute%20initiative\4.%20Research%20design\Practice%20profiling\Practic%20profiling%20analysis%20141012.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Users\Zen\Dropbox%20(Synergia)\Documents\519%20-%20VLCA%20New%20Gradute%20initiative\4.%20Research%20design\Surveys\Results\VLCA%20survey%20analysis%201410010%20LDG%20and%20AB.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991803228772765"/>
          <c:y val="6.243360994017174E-2"/>
          <c:w val="0.76097338180755247"/>
          <c:h val="0.76953895914525816"/>
        </c:manualLayout>
      </c:layout>
      <c:barChart>
        <c:barDir val="bar"/>
        <c:grouping val="clustered"/>
        <c:varyColors val="0"/>
        <c:ser>
          <c:idx val="0"/>
          <c:order val="0"/>
          <c:spPr>
            <a:solidFill>
              <a:schemeClr val="accent4"/>
            </a:solidFill>
            <a:ln>
              <a:noFill/>
            </a:ln>
            <a:effectLst/>
          </c:spPr>
          <c:invertIfNegative val="0"/>
          <c:dPt>
            <c:idx val="5"/>
            <c:invertIfNegative val="0"/>
            <c:bubble3D val="0"/>
            <c:spPr>
              <a:solidFill>
                <a:schemeClr val="accent2"/>
              </a:solidFill>
              <a:ln>
                <a:noFill/>
              </a:ln>
              <a:effectLst/>
            </c:spPr>
          </c:dPt>
          <c:cat>
            <c:strRef>
              <c:f>Results!$B$55:$B$60</c:f>
              <c:strCache>
                <c:ptCount val="6"/>
                <c:pt idx="0">
                  <c:v>50 - 60%</c:v>
                </c:pt>
                <c:pt idx="1">
                  <c:v>60 - 70%</c:v>
                </c:pt>
                <c:pt idx="2">
                  <c:v>70 - 80%</c:v>
                </c:pt>
                <c:pt idx="3">
                  <c:v>80 - 90%</c:v>
                </c:pt>
                <c:pt idx="4">
                  <c:v>90 - 100%</c:v>
                </c:pt>
                <c:pt idx="5">
                  <c:v>Unknown</c:v>
                </c:pt>
              </c:strCache>
            </c:strRef>
          </c:cat>
          <c:val>
            <c:numRef>
              <c:f>Results!$C$55:$C$60</c:f>
              <c:numCache>
                <c:formatCode>General</c:formatCode>
                <c:ptCount val="6"/>
                <c:pt idx="0">
                  <c:v>3</c:v>
                </c:pt>
                <c:pt idx="1">
                  <c:v>11</c:v>
                </c:pt>
                <c:pt idx="2">
                  <c:v>9</c:v>
                </c:pt>
                <c:pt idx="3">
                  <c:v>15</c:v>
                </c:pt>
                <c:pt idx="4">
                  <c:v>5</c:v>
                </c:pt>
                <c:pt idx="5">
                  <c:v>5</c:v>
                </c:pt>
              </c:numCache>
            </c:numRef>
          </c:val>
        </c:ser>
        <c:dLbls>
          <c:showLegendKey val="0"/>
          <c:showVal val="0"/>
          <c:showCatName val="0"/>
          <c:showSerName val="0"/>
          <c:showPercent val="0"/>
          <c:showBubbleSize val="0"/>
        </c:dLbls>
        <c:gapWidth val="80"/>
        <c:axId val="82791424"/>
        <c:axId val="87200896"/>
      </c:barChart>
      <c:catAx>
        <c:axId val="82791424"/>
        <c:scaling>
          <c:orientation val="maxMin"/>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Percentage of enrolled population</a:t>
                </a:r>
              </a:p>
            </c:rich>
          </c:tx>
          <c:layout/>
          <c:overlay val="0"/>
          <c:spPr>
            <a:noFill/>
            <a:ln>
              <a:noFill/>
            </a:ln>
            <a:effectLst/>
          </c:spPr>
        </c:title>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t"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200896"/>
        <c:crosses val="autoZero"/>
        <c:auto val="1"/>
        <c:lblAlgn val="ctr"/>
        <c:lblOffset val="100"/>
        <c:noMultiLvlLbl val="0"/>
      </c:catAx>
      <c:valAx>
        <c:axId val="87200896"/>
        <c:scaling>
          <c:orientation val="minMax"/>
        </c:scaling>
        <c:delete val="0"/>
        <c:axPos val="t"/>
        <c:majorGridlines>
          <c:spPr>
            <a:ln w="9525" cap="flat" cmpd="sng" algn="ctr">
              <a:solidFill>
                <a:schemeClr val="bg1">
                  <a:lumMod val="9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VLCA practices</a:t>
                </a:r>
              </a:p>
            </c:rich>
          </c:tx>
          <c:layout>
            <c:manualLayout>
              <c:xMode val="edge"/>
              <c:yMode val="edge"/>
              <c:x val="0.46469405216459314"/>
              <c:y val="0.92118396145241732"/>
            </c:manualLayout>
          </c:layout>
          <c:overlay val="0"/>
          <c:spPr>
            <a:noFill/>
            <a:ln>
              <a:noFill/>
            </a:ln>
            <a:effectLst/>
          </c:spPr>
        </c:title>
        <c:numFmt formatCode="General" sourceLinked="1"/>
        <c:majorTickMark val="none"/>
        <c:minorTickMark val="none"/>
        <c:tickLblPos val="high"/>
        <c:spPr>
          <a:noFill/>
          <a:ln>
            <a:noFill/>
          </a:ln>
          <a:effectLst/>
        </c:spPr>
        <c:txPr>
          <a:bodyPr rot="-60000000" spcFirstLastPara="1" vertOverflow="ellipsis" vert="horz" wrap="square" anchor="ctr" anchorCtr="1"/>
          <a:lstStyle/>
          <a:p>
            <a:pPr>
              <a:defRPr sz="800" b="0" i="0" u="none" strike="noStrike" kern="1200" baseline="0">
                <a:solidFill>
                  <a:schemeClr val="bg1">
                    <a:lumMod val="50000"/>
                  </a:schemeClr>
                </a:solidFill>
                <a:latin typeface="+mn-lt"/>
                <a:ea typeface="+mn-ea"/>
                <a:cs typeface="+mn-cs"/>
              </a:defRPr>
            </a:pPr>
            <a:endParaRPr lang="en-US"/>
          </a:p>
        </c:txPr>
        <c:crossAx val="827914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991803228772765"/>
          <c:y val="6.9858004151154784E-2"/>
          <c:w val="0.76097338180755247"/>
          <c:h val="0.7878542196960695"/>
        </c:manualLayout>
      </c:layout>
      <c:barChart>
        <c:barDir val="bar"/>
        <c:grouping val="clustered"/>
        <c:varyColors val="0"/>
        <c:ser>
          <c:idx val="0"/>
          <c:order val="0"/>
          <c:spPr>
            <a:solidFill>
              <a:schemeClr val="accent4"/>
            </a:solidFill>
            <a:ln>
              <a:noFill/>
            </a:ln>
            <a:effectLst/>
          </c:spPr>
          <c:invertIfNegative val="0"/>
          <c:dPt>
            <c:idx val="5"/>
            <c:invertIfNegative val="0"/>
            <c:bubble3D val="0"/>
            <c:spPr>
              <a:solidFill>
                <a:schemeClr val="accent2"/>
              </a:solidFill>
              <a:ln>
                <a:noFill/>
              </a:ln>
              <a:effectLst/>
            </c:spPr>
          </c:dPt>
          <c:cat>
            <c:strRef>
              <c:f>Results!$S$2:$S$7</c:f>
              <c:strCache>
                <c:ptCount val="6"/>
                <c:pt idx="0">
                  <c:v>NZ European</c:v>
                </c:pt>
                <c:pt idx="1">
                  <c:v>Māori</c:v>
                </c:pt>
                <c:pt idx="2">
                  <c:v>Pacific</c:v>
                </c:pt>
                <c:pt idx="3">
                  <c:v>Asian</c:v>
                </c:pt>
                <c:pt idx="4">
                  <c:v>Other</c:v>
                </c:pt>
                <c:pt idx="5">
                  <c:v>Unknown</c:v>
                </c:pt>
              </c:strCache>
            </c:strRef>
          </c:cat>
          <c:val>
            <c:numRef>
              <c:f>Results!$T$2:$T$7</c:f>
              <c:numCache>
                <c:formatCode>General</c:formatCode>
                <c:ptCount val="6"/>
                <c:pt idx="0">
                  <c:v>22</c:v>
                </c:pt>
                <c:pt idx="1">
                  <c:v>12</c:v>
                </c:pt>
                <c:pt idx="2">
                  <c:v>8</c:v>
                </c:pt>
                <c:pt idx="3">
                  <c:v>1</c:v>
                </c:pt>
                <c:pt idx="4">
                  <c:v>2</c:v>
                </c:pt>
                <c:pt idx="5">
                  <c:v>3</c:v>
                </c:pt>
              </c:numCache>
            </c:numRef>
          </c:val>
        </c:ser>
        <c:dLbls>
          <c:showLegendKey val="0"/>
          <c:showVal val="0"/>
          <c:showCatName val="0"/>
          <c:showSerName val="0"/>
          <c:showPercent val="0"/>
          <c:showBubbleSize val="0"/>
        </c:dLbls>
        <c:gapWidth val="80"/>
        <c:axId val="35738752"/>
        <c:axId val="35740288"/>
      </c:barChart>
      <c:catAx>
        <c:axId val="35738752"/>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t"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740288"/>
        <c:crosses val="autoZero"/>
        <c:auto val="1"/>
        <c:lblAlgn val="ctr"/>
        <c:lblOffset val="100"/>
        <c:noMultiLvlLbl val="0"/>
      </c:catAx>
      <c:valAx>
        <c:axId val="35740288"/>
        <c:scaling>
          <c:orientation val="minMax"/>
        </c:scaling>
        <c:delete val="0"/>
        <c:axPos val="t"/>
        <c:majorGridlines>
          <c:spPr>
            <a:ln w="9525" cap="flat" cmpd="sng" algn="ctr">
              <a:solidFill>
                <a:schemeClr val="bg1">
                  <a:lumMod val="9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NGNs</a:t>
                </a:r>
              </a:p>
            </c:rich>
          </c:tx>
          <c:layout>
            <c:manualLayout>
              <c:xMode val="edge"/>
              <c:yMode val="edge"/>
              <c:x val="0.46469405216459314"/>
              <c:y val="0.92118396145241732"/>
            </c:manualLayout>
          </c:layout>
          <c:overlay val="0"/>
          <c:spPr>
            <a:noFill/>
            <a:ln>
              <a:noFill/>
            </a:ln>
            <a:effectLst/>
          </c:spPr>
        </c:title>
        <c:numFmt formatCode="General" sourceLinked="1"/>
        <c:majorTickMark val="none"/>
        <c:minorTickMark val="none"/>
        <c:tickLblPos val="high"/>
        <c:spPr>
          <a:noFill/>
          <a:ln>
            <a:noFill/>
          </a:ln>
          <a:effectLst/>
        </c:spPr>
        <c:txPr>
          <a:bodyPr rot="-60000000" spcFirstLastPara="1" vertOverflow="ellipsis" vert="horz" wrap="square" anchor="ctr" anchorCtr="1"/>
          <a:lstStyle/>
          <a:p>
            <a:pPr>
              <a:defRPr sz="800" b="0" i="0" u="none" strike="noStrike" kern="1200" baseline="0">
                <a:solidFill>
                  <a:schemeClr val="bg1">
                    <a:lumMod val="50000"/>
                  </a:schemeClr>
                </a:solidFill>
                <a:latin typeface="+mn-lt"/>
                <a:ea typeface="+mn-ea"/>
                <a:cs typeface="+mn-cs"/>
              </a:defRPr>
            </a:pPr>
            <a:endParaRPr lang="en-US"/>
          </a:p>
        </c:txPr>
        <c:crossAx val="357387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'Role in practice'!$B$5</c:f>
              <c:strCache>
                <c:ptCount val="1"/>
                <c:pt idx="0">
                  <c:v>Strongly Disagree</c:v>
                </c:pt>
              </c:strCache>
            </c:strRef>
          </c:tx>
          <c:spPr>
            <a:solidFill>
              <a:schemeClr val="accent1"/>
            </a:solidFill>
            <a:ln>
              <a:noFill/>
            </a:ln>
            <a:effectLst/>
          </c:spPr>
          <c:invertIfNegative val="0"/>
          <c:cat>
            <c:strRef>
              <c:f>'Role in practice'!$I$4</c:f>
              <c:strCache>
                <c:ptCount val="1"/>
                <c:pt idx="0">
                  <c:v>Since starting at our practice, the VLCA new graduate nurse’s skills and experience have increased (n=57)</c:v>
                </c:pt>
              </c:strCache>
            </c:strRef>
          </c:cat>
          <c:val>
            <c:numRef>
              <c:f>'Role in practice'!$I$5</c:f>
              <c:numCache>
                <c:formatCode>General</c:formatCode>
                <c:ptCount val="1"/>
                <c:pt idx="0">
                  <c:v>0</c:v>
                </c:pt>
              </c:numCache>
            </c:numRef>
          </c:val>
        </c:ser>
        <c:ser>
          <c:idx val="1"/>
          <c:order val="1"/>
          <c:tx>
            <c:strRef>
              <c:f>'Role in practice'!$B$6</c:f>
              <c:strCache>
                <c:ptCount val="1"/>
                <c:pt idx="0">
                  <c:v>Disagree</c:v>
                </c:pt>
              </c:strCache>
            </c:strRef>
          </c:tx>
          <c:spPr>
            <a:solidFill>
              <a:schemeClr val="accent2"/>
            </a:solidFill>
            <a:ln>
              <a:noFill/>
            </a:ln>
            <a:effectLst/>
          </c:spPr>
          <c:invertIfNegative val="0"/>
          <c:cat>
            <c:strRef>
              <c:f>'Role in practice'!$I$4</c:f>
              <c:strCache>
                <c:ptCount val="1"/>
                <c:pt idx="0">
                  <c:v>Since starting at our practice, the VLCA new graduate nurse’s skills and experience have increased (n=57)</c:v>
                </c:pt>
              </c:strCache>
            </c:strRef>
          </c:cat>
          <c:val>
            <c:numRef>
              <c:f>'Role in practice'!$I$6</c:f>
              <c:numCache>
                <c:formatCode>General</c:formatCode>
                <c:ptCount val="1"/>
                <c:pt idx="0">
                  <c:v>1</c:v>
                </c:pt>
              </c:numCache>
            </c:numRef>
          </c:val>
        </c:ser>
        <c:ser>
          <c:idx val="2"/>
          <c:order val="2"/>
          <c:tx>
            <c:strRef>
              <c:f>'Role in practice'!$B$7</c:f>
              <c:strCache>
                <c:ptCount val="1"/>
                <c:pt idx="0">
                  <c:v>Agree</c:v>
                </c:pt>
              </c:strCache>
            </c:strRef>
          </c:tx>
          <c:spPr>
            <a:solidFill>
              <a:schemeClr val="accent3"/>
            </a:solidFill>
            <a:ln>
              <a:noFill/>
            </a:ln>
            <a:effectLst/>
          </c:spPr>
          <c:invertIfNegative val="0"/>
          <c:cat>
            <c:strRef>
              <c:f>'Role in practice'!$I$4</c:f>
              <c:strCache>
                <c:ptCount val="1"/>
                <c:pt idx="0">
                  <c:v>Since starting at our practice, the VLCA new graduate nurse’s skills and experience have increased (n=57)</c:v>
                </c:pt>
              </c:strCache>
            </c:strRef>
          </c:cat>
          <c:val>
            <c:numRef>
              <c:f>'Role in practice'!$I$7</c:f>
              <c:numCache>
                <c:formatCode>General</c:formatCode>
                <c:ptCount val="1"/>
                <c:pt idx="0">
                  <c:v>7</c:v>
                </c:pt>
              </c:numCache>
            </c:numRef>
          </c:val>
        </c:ser>
        <c:ser>
          <c:idx val="3"/>
          <c:order val="3"/>
          <c:tx>
            <c:strRef>
              <c:f>'Role in practice'!$B$8</c:f>
              <c:strCache>
                <c:ptCount val="1"/>
                <c:pt idx="0">
                  <c:v>Strongly Agree</c:v>
                </c:pt>
              </c:strCache>
            </c:strRef>
          </c:tx>
          <c:spPr>
            <a:solidFill>
              <a:schemeClr val="accent4"/>
            </a:solidFill>
            <a:ln>
              <a:noFill/>
            </a:ln>
            <a:effectLst/>
          </c:spPr>
          <c:invertIfNegative val="0"/>
          <c:cat>
            <c:strRef>
              <c:f>'Role in practice'!$I$4</c:f>
              <c:strCache>
                <c:ptCount val="1"/>
                <c:pt idx="0">
                  <c:v>Since starting at our practice, the VLCA new graduate nurse’s skills and experience have increased (n=57)</c:v>
                </c:pt>
              </c:strCache>
            </c:strRef>
          </c:cat>
          <c:val>
            <c:numRef>
              <c:f>'Role in practice'!$I$8</c:f>
              <c:numCache>
                <c:formatCode>General</c:formatCode>
                <c:ptCount val="1"/>
                <c:pt idx="0">
                  <c:v>49</c:v>
                </c:pt>
              </c:numCache>
            </c:numRef>
          </c:val>
        </c:ser>
        <c:dLbls>
          <c:showLegendKey val="0"/>
          <c:showVal val="0"/>
          <c:showCatName val="0"/>
          <c:showSerName val="0"/>
          <c:showPercent val="0"/>
          <c:showBubbleSize val="0"/>
        </c:dLbls>
        <c:gapWidth val="100"/>
        <c:overlap val="100"/>
        <c:axId val="87069440"/>
        <c:axId val="87070976"/>
      </c:barChart>
      <c:catAx>
        <c:axId val="87069440"/>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t"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070976"/>
        <c:crosses val="autoZero"/>
        <c:auto val="1"/>
        <c:lblAlgn val="ctr"/>
        <c:lblOffset val="100"/>
        <c:noMultiLvlLbl val="0"/>
      </c:catAx>
      <c:valAx>
        <c:axId val="87070976"/>
        <c:scaling>
          <c:orientation val="minMax"/>
        </c:scaling>
        <c:delete val="0"/>
        <c:axPos val="t"/>
        <c:majorGridlines>
          <c:spPr>
            <a:ln w="9525" cap="flat" cmpd="sng" algn="ctr">
              <a:solidFill>
                <a:schemeClr val="bg1">
                  <a:lumMod val="9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800" b="0" i="0" u="none" strike="noStrike" kern="1200" baseline="0">
                <a:solidFill>
                  <a:schemeClr val="bg1">
                    <a:lumMod val="50000"/>
                  </a:schemeClr>
                </a:solidFill>
                <a:latin typeface="+mn-lt"/>
                <a:ea typeface="+mn-ea"/>
                <a:cs typeface="+mn-cs"/>
              </a:defRPr>
            </a:pPr>
            <a:endParaRPr lang="en-US"/>
          </a:p>
        </c:txPr>
        <c:crossAx val="8706944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Custom 5">
    <a:dk1>
      <a:sysClr val="windowText" lastClr="000000"/>
    </a:dk1>
    <a:lt1>
      <a:sysClr val="window" lastClr="FFFFFF"/>
    </a:lt1>
    <a:dk2>
      <a:srgbClr val="455F51"/>
    </a:dk2>
    <a:lt2>
      <a:srgbClr val="94D7E4"/>
    </a:lt2>
    <a:accent1>
      <a:srgbClr val="B8B8B8"/>
    </a:accent1>
    <a:accent2>
      <a:srgbClr val="D5D5D5"/>
    </a:accent2>
    <a:accent3>
      <a:srgbClr val="79C7D1"/>
    </a:accent3>
    <a:accent4>
      <a:srgbClr val="41AEBD"/>
    </a:accent4>
    <a:accent5>
      <a:srgbClr val="97E9D5"/>
    </a:accent5>
    <a:accent6>
      <a:srgbClr val="FCB11C"/>
    </a:accent6>
    <a:hlink>
      <a:srgbClr val="FBCA98"/>
    </a:hlink>
    <a:folHlink>
      <a:srgbClr val="D3B86D"/>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Custom 5">
    <a:dk1>
      <a:sysClr val="windowText" lastClr="000000"/>
    </a:dk1>
    <a:lt1>
      <a:sysClr val="window" lastClr="FFFFFF"/>
    </a:lt1>
    <a:dk2>
      <a:srgbClr val="455F51"/>
    </a:dk2>
    <a:lt2>
      <a:srgbClr val="94D7E4"/>
    </a:lt2>
    <a:accent1>
      <a:srgbClr val="B8B8B8"/>
    </a:accent1>
    <a:accent2>
      <a:srgbClr val="D5D5D5"/>
    </a:accent2>
    <a:accent3>
      <a:srgbClr val="79C7D1"/>
    </a:accent3>
    <a:accent4>
      <a:srgbClr val="41AEBD"/>
    </a:accent4>
    <a:accent5>
      <a:srgbClr val="97E9D5"/>
    </a:accent5>
    <a:accent6>
      <a:srgbClr val="FCB11C"/>
    </a:accent6>
    <a:hlink>
      <a:srgbClr val="FBCA98"/>
    </a:hlink>
    <a:folHlink>
      <a:srgbClr val="D3B86D"/>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Custom 5">
    <a:dk1>
      <a:sysClr val="windowText" lastClr="000000"/>
    </a:dk1>
    <a:lt1>
      <a:sysClr val="window" lastClr="FFFFFF"/>
    </a:lt1>
    <a:dk2>
      <a:srgbClr val="455F51"/>
    </a:dk2>
    <a:lt2>
      <a:srgbClr val="94D7E4"/>
    </a:lt2>
    <a:accent1>
      <a:srgbClr val="B8B8B8"/>
    </a:accent1>
    <a:accent2>
      <a:srgbClr val="D5D5D5"/>
    </a:accent2>
    <a:accent3>
      <a:srgbClr val="79C7D1"/>
    </a:accent3>
    <a:accent4>
      <a:srgbClr val="41AEBD"/>
    </a:accent4>
    <a:accent5>
      <a:srgbClr val="97E9D5"/>
    </a:accent5>
    <a:accent6>
      <a:srgbClr val="FCB11C"/>
    </a:accent6>
    <a:hlink>
      <a:srgbClr val="FBCA98"/>
    </a:hlink>
    <a:folHlink>
      <a:srgbClr val="D3B86D"/>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0e15cdb1-60dc-4a83-b0fc-386d2b096685">RSYV5E2FPHU3-1-72</_dlc_DocId>
    <_dlc_DocIdUrl xmlns="0e15cdb1-60dc-4a83-b0fc-386d2b096685">
      <Url>https://synergia231.sharepoint.com/sites/synergia/_layouts/15/DocIdRedir.aspx?ID=RSYV5E2FPHU3-1-72</Url>
      <Description>RSYV5E2FPHU3-1-72</Description>
    </_dlc_DocIdUrl>
    <SharedWithUsers xmlns="0e15cdb1-60dc-4a83-b0fc-386d2b096685">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602EF92BB899A4C939DB7B1A0D64CE2" ma:contentTypeVersion="3" ma:contentTypeDescription="Create a new document." ma:contentTypeScope="" ma:versionID="f22f81967853145ff700519d27922e32">
  <xsd:schema xmlns:xsd="http://www.w3.org/2001/XMLSchema" xmlns:xs="http://www.w3.org/2001/XMLSchema" xmlns:p="http://schemas.microsoft.com/office/2006/metadata/properties" xmlns:ns2="0e15cdb1-60dc-4a83-b0fc-386d2b096685" targetNamespace="http://schemas.microsoft.com/office/2006/metadata/properties" ma:root="true" ma:fieldsID="50af836a4d76e77239bc965f0fc27ab3" ns2:_="">
    <xsd:import namespace="0e15cdb1-60dc-4a83-b0fc-386d2b096685"/>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2: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15cdb1-60dc-4a83-b0fc-386d2b09668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CHICAGO.XSL" StyleName="Chicago" Version="16">
  <b:Source xmlns:b="http://schemas.openxmlformats.org/officeDocument/2006/bibliography">
    <b:Tag>Ass12</b:Tag>
    <b:SourceType>ElectronicSource</b:SourceType>
    <b:Guid>{BCB048C0-D0E0-4C96-B781-7700E11537A2}</b:Guid>
    <b:Title>Physician Assistant Toolkit</b:Title>
    <b:Year>2012</b:Year>
    <b:Author>
      <b:Author>
        <b:NameList>
          <b:Person>
            <b:Last>Assistants</b:Last>
            <b:First>Canadian</b:First>
            <b:Middle>Medical Association &amp; Canadian Association of Physician</b:Middle>
          </b:Person>
        </b:NameList>
      </b:Author>
    </b:Author>
    <b:RefOrder>1</b:RefOrder>
  </b:Source>
</b:Sources>
</file>

<file path=customXml/itemProps1.xml><?xml version="1.0" encoding="utf-8"?>
<ds:datastoreItem xmlns:ds="http://schemas.openxmlformats.org/officeDocument/2006/customXml" ds:itemID="{F335C253-1156-4ED6-8EA8-6F6CFB606C6A}">
  <ds:schemaRefs>
    <ds:schemaRef ds:uri="http://schemas.microsoft.com/sharepoint/events"/>
  </ds:schemaRefs>
</ds:datastoreItem>
</file>

<file path=customXml/itemProps2.xml><?xml version="1.0" encoding="utf-8"?>
<ds:datastoreItem xmlns:ds="http://schemas.openxmlformats.org/officeDocument/2006/customXml" ds:itemID="{2AD06AD3-286A-4256-B3D5-6EBC1FB34547}">
  <ds:schemaRefs>
    <ds:schemaRef ds:uri="http://purl.org/dc/elements/1.1/"/>
    <ds:schemaRef ds:uri="http://www.w3.org/XML/1998/namespace"/>
    <ds:schemaRef ds:uri="0e15cdb1-60dc-4a83-b0fc-386d2b096685"/>
    <ds:schemaRef ds:uri="http://schemas.microsoft.com/office/2006/metadata/properties"/>
    <ds:schemaRef ds:uri="http://schemas.openxmlformats.org/package/2006/metadata/core-properties"/>
    <ds:schemaRef ds:uri="http://purl.org/dc/dcmitype/"/>
    <ds:schemaRef ds:uri="http://schemas.microsoft.com/office/2006/documentManagement/types"/>
    <ds:schemaRef ds:uri="http://schemas.microsoft.com/office/infopath/2007/PartnerControls"/>
    <ds:schemaRef ds:uri="http://purl.org/dc/terms/"/>
  </ds:schemaRefs>
</ds:datastoreItem>
</file>

<file path=customXml/itemProps3.xml><?xml version="1.0" encoding="utf-8"?>
<ds:datastoreItem xmlns:ds="http://schemas.openxmlformats.org/officeDocument/2006/customXml" ds:itemID="{A181624C-5CD0-4106-AB48-965EB37F86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15cdb1-60dc-4a83-b0fc-386d2b0966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5D4015F-EE4C-4189-8F4F-6DF6F9DF3F51}">
  <ds:schemaRefs>
    <ds:schemaRef ds:uri="http://schemas.microsoft.com/sharepoint/v3/contenttype/forms"/>
  </ds:schemaRefs>
</ds:datastoreItem>
</file>

<file path=customXml/itemProps5.xml><?xml version="1.0" encoding="utf-8"?>
<ds:datastoreItem xmlns:ds="http://schemas.openxmlformats.org/officeDocument/2006/customXml" ds:itemID="{BD60AD3A-7AB1-4C21-ABEE-88E78A0B0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59</Pages>
  <Words>16479</Words>
  <Characters>93933</Characters>
  <Application>Microsoft Office Word</Application>
  <DocSecurity>0</DocSecurity>
  <Lines>782</Lines>
  <Paragraphs>220</Paragraphs>
  <ScaleCrop>false</ScaleCrop>
  <HeadingPairs>
    <vt:vector size="2" baseType="variant">
      <vt:variant>
        <vt:lpstr>Title</vt:lpstr>
      </vt:variant>
      <vt:variant>
        <vt:i4>1</vt:i4>
      </vt:variant>
    </vt:vector>
  </HeadingPairs>
  <TitlesOfParts>
    <vt:vector size="1" baseType="lpstr">
      <vt:lpstr>_</vt:lpstr>
    </vt:vector>
  </TitlesOfParts>
  <Company>Toshiba</Company>
  <LinksUpToDate>false</LinksUpToDate>
  <CharactersWithSpaces>110192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the New Graduate Nurse employment scheme through the Very Low Cost Access initiative: Final evaluation report </dc:title>
  <dc:creator>Synergia Ltd</dc:creator>
  <cp:lastModifiedBy>Jane Adam</cp:lastModifiedBy>
  <cp:revision>3</cp:revision>
  <cp:lastPrinted>2015-05-19T01:27:00Z</cp:lastPrinted>
  <dcterms:created xsi:type="dcterms:W3CDTF">2015-06-26T03:40:00Z</dcterms:created>
  <dcterms:modified xsi:type="dcterms:W3CDTF">2015-06-26T03:48:00Z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3565</vt:lpwstr>
  </property>
  <property fmtid="{D5CDD505-2E9C-101B-9397-08002B2CF9AE}" pid="3" name="WnCSubscriberId">
    <vt:lpwstr>6533</vt:lpwstr>
  </property>
  <property fmtid="{D5CDD505-2E9C-101B-9397-08002B2CF9AE}" pid="4" name="WnCOutputStyleId">
    <vt:lpwstr>165</vt:lpwstr>
  </property>
  <property fmtid="{D5CDD505-2E9C-101B-9397-08002B2CF9AE}" pid="5" name="RWProductId">
    <vt:lpwstr>WnC</vt:lpwstr>
  </property>
  <property fmtid="{D5CDD505-2E9C-101B-9397-08002B2CF9AE}" pid="6" name="WnC4Folder">
    <vt:lpwstr/>
  </property>
  <property fmtid="{D5CDD505-2E9C-101B-9397-08002B2CF9AE}" pid="7" name="ContentTypeId">
    <vt:lpwstr>0x0101003602EF92BB899A4C939DB7B1A0D64CE2</vt:lpwstr>
  </property>
  <property fmtid="{D5CDD505-2E9C-101B-9397-08002B2CF9AE}" pid="8" name="_dlc_DocIdItemGuid">
    <vt:lpwstr>829fd73e-9f43-411a-8f5f-940abbfcabaf</vt:lpwstr>
  </property>
</Properties>
</file>