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802C90">
      <w:pPr>
        <w:pStyle w:val="Heading1"/>
      </w:pPr>
      <w:bookmarkStart w:id="0" w:name="_Toc416856720"/>
      <w:bookmarkStart w:id="1" w:name="_Toc416939695"/>
      <w:bookmarkStart w:id="2" w:name="_GoBack"/>
      <w:r w:rsidRPr="001F79CA">
        <w:t>Appendix 13: Checklist for observing and rating the environment</w:t>
      </w:r>
      <w:bookmarkEnd w:id="0"/>
      <w:bookmarkEnd w:id="1"/>
    </w:p>
    <w:bookmarkEnd w:id="2"/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709"/>
        <w:gridCol w:w="1276"/>
        <w:gridCol w:w="567"/>
      </w:tblGrid>
      <w:tr w:rsidR="00C866D5" w:rsidRPr="001F79CA" w:rsidTr="00C866D5">
        <w:trPr>
          <w:cantSplit/>
          <w:tblHeader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802C90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802C90" w:rsidRDefault="009B7968" w:rsidP="007F7463">
            <w:pPr>
              <w:pStyle w:val="TableText"/>
              <w:jc w:val="center"/>
              <w:rPr>
                <w:b/>
              </w:rPr>
            </w:pPr>
            <w:r w:rsidRPr="00802C90">
              <w:rPr>
                <w:b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802C90" w:rsidRDefault="009B7968" w:rsidP="007F7463">
            <w:pPr>
              <w:pStyle w:val="TableText"/>
              <w:jc w:val="center"/>
              <w:rPr>
                <w:b/>
              </w:rPr>
            </w:pPr>
            <w:r w:rsidRPr="00802C90">
              <w:rPr>
                <w:b/>
              </w:rPr>
              <w:t>Needs improvement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9B7968" w:rsidRPr="00802C90" w:rsidRDefault="009B7968" w:rsidP="007F7463">
            <w:pPr>
              <w:pStyle w:val="TableText"/>
              <w:jc w:val="center"/>
              <w:rPr>
                <w:b/>
              </w:rPr>
            </w:pPr>
            <w:r w:rsidRPr="00802C90">
              <w:rPr>
                <w:b/>
              </w:rPr>
              <w:t>No</w:t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802C90" w:rsidRPr="00802C90" w:rsidRDefault="00802C90" w:rsidP="00802C90">
            <w:pPr>
              <w:pStyle w:val="TableText"/>
              <w:rPr>
                <w:b/>
              </w:rPr>
            </w:pPr>
            <w:r w:rsidRPr="00802C90">
              <w:rPr>
                <w:b/>
              </w:rPr>
              <w:t>A. Telephone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802C90" w:rsidRPr="001F79CA" w:rsidRDefault="00802C90" w:rsidP="007F7463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802C90" w:rsidRPr="001F79CA" w:rsidRDefault="00802C90" w:rsidP="007F7463">
            <w:pPr>
              <w:pStyle w:val="TableTex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802C90" w:rsidRPr="001F79CA" w:rsidRDefault="00802C90" w:rsidP="007F7463">
            <w:pPr>
              <w:pStyle w:val="TableText"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866D5">
            <w:pPr>
              <w:pStyle w:val="TableText"/>
              <w:ind w:left="425" w:hanging="425"/>
            </w:pPr>
            <w:r w:rsidRPr="001F79CA">
              <w:t>1.</w:t>
            </w:r>
            <w:r w:rsidRPr="001F79CA">
              <w:tab/>
              <w:t>When a phone call is answered (either in person or by a phone system),</w:t>
            </w:r>
            <w:r w:rsidR="006E4E5A">
              <w:t xml:space="preserve"> </w:t>
            </w:r>
            <w:r>
              <w:t>the caller has</w:t>
            </w:r>
            <w:r w:rsidRPr="001F79CA">
              <w:t xml:space="preserve"> an option to hear information in a language other than English.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866D5" w:rsidRDefault="00C866D5" w:rsidP="007F7463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866D5" w:rsidRDefault="00C866D5" w:rsidP="007F7463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9B7968" w:rsidRPr="00C866D5" w:rsidRDefault="00C866D5" w:rsidP="007F7463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  <w:bookmarkEnd w:id="5"/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2.</w:t>
            </w:r>
            <w:r w:rsidRPr="001F79CA">
              <w:tab/>
              <w:t>If there is a phone system, the</w:t>
            </w:r>
            <w:r>
              <w:t xml:space="preserve"> caller has</w:t>
            </w:r>
            <w:r w:rsidRPr="001F79CA">
              <w:t xml:space="preserve"> an option to speak with the operator.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3.</w:t>
            </w:r>
            <w:r w:rsidRPr="001F79CA">
              <w:tab/>
              <w:t>If there is a phone system, the</w:t>
            </w:r>
            <w:r>
              <w:t xml:space="preserve"> caller has</w:t>
            </w:r>
            <w:r w:rsidRPr="001F79CA">
              <w:t xml:space="preserve"> an option to repeat menu items.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4.</w:t>
            </w:r>
            <w:r w:rsidRPr="001F79CA">
              <w:tab/>
              <w:t>Information is offered (either by a person or the phone system) using plain, everyday words.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7F7463" w:rsidRDefault="00C866D5" w:rsidP="00802C90">
            <w:pPr>
              <w:pStyle w:val="TableText"/>
              <w:rPr>
                <w:b/>
              </w:rPr>
            </w:pPr>
            <w:r w:rsidRPr="007F7463">
              <w:rPr>
                <w:b/>
              </w:rPr>
              <w:t>B. Entrance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5.</w:t>
            </w:r>
            <w:r w:rsidRPr="001F79CA">
              <w:tab/>
              <w:t>The name of the organisation/service is clearly shown on the outside of the building.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6.</w:t>
            </w:r>
            <w:r w:rsidRPr="001F79CA">
              <w:tab/>
              <w:t>All entry signs can be seen from the street.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7.</w:t>
            </w:r>
            <w:r w:rsidRPr="001F79CA">
              <w:tab/>
              <w:t>All signs use plain, everyday words.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7F7463" w:rsidRDefault="00C866D5" w:rsidP="00802C90">
            <w:pPr>
              <w:pStyle w:val="TableText"/>
              <w:rPr>
                <w:b/>
              </w:rPr>
            </w:pPr>
            <w:r w:rsidRPr="007F7463">
              <w:rPr>
                <w:b/>
              </w:rPr>
              <w:t>C. Entrance area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8.</w:t>
            </w:r>
            <w:r w:rsidRPr="001F79CA">
              <w:tab/>
              <w:t>There is a map.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9.</w:t>
            </w:r>
            <w:r w:rsidRPr="001F79CA">
              <w:tab/>
              <w:t>The map includes a key.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10.</w:t>
            </w:r>
            <w:r w:rsidRPr="001F79CA">
              <w:tab/>
              <w:t xml:space="preserve">The map shows the present location with a </w:t>
            </w:r>
            <w:r>
              <w:t>‘</w:t>
            </w:r>
            <w:r w:rsidRPr="001F79CA">
              <w:t>you are here</w:t>
            </w:r>
            <w:r>
              <w:t>’</w:t>
            </w:r>
            <w:r w:rsidRPr="001F79CA">
              <w:t xml:space="preserve"> marker.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11.</w:t>
            </w:r>
            <w:r w:rsidRPr="001F79CA">
              <w:tab/>
              <w:t>Maps are available for people to take with them.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12.</w:t>
            </w:r>
            <w:r w:rsidRPr="001F79CA">
              <w:tab/>
            </w:r>
            <w:r>
              <w:t>A</w:t>
            </w:r>
            <w:r w:rsidRPr="001F79CA">
              <w:t>n information desk</w:t>
            </w:r>
            <w:r>
              <w:t xml:space="preserve"> is</w:t>
            </w:r>
            <w:r w:rsidRPr="001F79CA">
              <w:t xml:space="preserve"> near the entrance.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13.</w:t>
            </w:r>
            <w:r w:rsidRPr="001F79CA">
              <w:tab/>
              <w:t>A sign shows where the information desk is.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7F7463" w:rsidRDefault="00C866D5" w:rsidP="00802C90">
            <w:pPr>
              <w:pStyle w:val="TableText"/>
              <w:rPr>
                <w:b/>
              </w:rPr>
            </w:pPr>
            <w:r w:rsidRPr="007F7463">
              <w:rPr>
                <w:b/>
              </w:rPr>
              <w:t>D. Assistance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14.</w:t>
            </w:r>
            <w:r w:rsidRPr="001F79CA">
              <w:tab/>
              <w:t>Staff or volunteers are available at or near the main entrance to help people.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15.</w:t>
            </w:r>
            <w:r w:rsidRPr="001F79CA">
              <w:tab/>
              <w:t>Multilingual staff or volunteers are available at or near the main entrance to help people.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16.</w:t>
            </w:r>
            <w:r w:rsidRPr="001F79CA">
              <w:tab/>
              <w:t>Staff or volunteers wear a uniform or name tag to identify them.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7F7463" w:rsidRDefault="00C866D5" w:rsidP="00802C90">
            <w:pPr>
              <w:pStyle w:val="TableText"/>
              <w:rPr>
                <w:b/>
              </w:rPr>
            </w:pPr>
            <w:r w:rsidRPr="007F7463">
              <w:rPr>
                <w:b/>
              </w:rPr>
              <w:t>E. Signage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1F79CA" w:rsidRDefault="00C866D5" w:rsidP="007F7463">
            <w:pPr>
              <w:pStyle w:val="TableText"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17.</w:t>
            </w:r>
            <w:r w:rsidRPr="001F79CA">
              <w:tab/>
              <w:t>Maps are posted at various places around the building.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18.</w:t>
            </w:r>
            <w:r w:rsidRPr="001F79CA">
              <w:tab/>
              <w:t>Consistent language is used for locations on signs throughout the building.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19.</w:t>
            </w:r>
            <w:r w:rsidRPr="001F79CA">
              <w:tab/>
              <w:t>Consistent symbols/graphics are used on signs throughout the building.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20.</w:t>
            </w:r>
            <w:r w:rsidRPr="001F79CA">
              <w:tab/>
              <w:t>Overhead signs use large, clearly visible lettering.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21.</w:t>
            </w:r>
            <w:r w:rsidRPr="001F79CA">
              <w:tab/>
              <w:t>Wall (eye-level) signs use large, clearly visible lettering.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22.</w:t>
            </w:r>
            <w:r w:rsidRPr="001F79CA">
              <w:tab/>
              <w:t>Signs are written in English as well as in the primary languages of the people being served.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23.</w:t>
            </w:r>
            <w:r w:rsidRPr="001F79CA">
              <w:tab/>
              <w:t>Colour codes are used consistently on the walls or floors throughout the building to mark paths to and from various parts of the building.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C866D5">
            <w:pPr>
              <w:pStyle w:val="TableText"/>
              <w:keepNext/>
              <w:rPr>
                <w:b/>
              </w:rPr>
            </w:pPr>
            <w:r w:rsidRPr="00C866D5">
              <w:rPr>
                <w:b/>
              </w:rPr>
              <w:lastRenderedPageBreak/>
              <w:t>F. Service area/department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C866D5">
            <w:pPr>
              <w:pStyle w:val="TableText"/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C866D5">
            <w:pPr>
              <w:pStyle w:val="TableText"/>
              <w:keepNext/>
              <w:jc w:val="center"/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C866D5">
            <w:pPr>
              <w:pStyle w:val="TableText"/>
              <w:keepNext/>
              <w:jc w:val="center"/>
            </w:pP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24.</w:t>
            </w:r>
            <w:r w:rsidRPr="001F79CA">
              <w:tab/>
              <w:t>The name of the clinic/service area is clearly visible.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25.</w:t>
            </w:r>
            <w:r w:rsidRPr="001F79CA">
              <w:tab/>
              <w:t>Sign-in procedures are clearly visible.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26.</w:t>
            </w:r>
            <w:r w:rsidRPr="001F79CA">
              <w:tab/>
              <w:t xml:space="preserve">Staff </w:t>
            </w:r>
            <w:proofErr w:type="gramStart"/>
            <w:r w:rsidRPr="001F79CA">
              <w:t>offer</w:t>
            </w:r>
            <w:proofErr w:type="gramEnd"/>
            <w:r w:rsidRPr="001F79CA">
              <w:t xml:space="preserve"> to help consumers complete paperwork.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27.</w:t>
            </w:r>
            <w:r w:rsidRPr="001F79CA">
              <w:tab/>
              <w:t xml:space="preserve">Materials </w:t>
            </w:r>
            <w:r>
              <w:t>for</w:t>
            </w:r>
            <w:r w:rsidRPr="001F79CA">
              <w:t xml:space="preserve"> consumers have been developed with consumers.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  <w:tr w:rsidR="00C866D5" w:rsidRPr="001F79CA" w:rsidTr="00C866D5">
        <w:trPr>
          <w:cantSplit/>
        </w:trPr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1F79CA" w:rsidRDefault="00C866D5" w:rsidP="00C866D5">
            <w:pPr>
              <w:pStyle w:val="TableText"/>
              <w:ind w:left="425" w:hanging="425"/>
            </w:pPr>
            <w:r w:rsidRPr="001F79CA">
              <w:t>28.</w:t>
            </w:r>
            <w:r w:rsidRPr="001F79CA">
              <w:tab/>
              <w:t xml:space="preserve">Materials </w:t>
            </w:r>
            <w:r>
              <w:t>for</w:t>
            </w:r>
            <w:r w:rsidRPr="001F79CA">
              <w:t xml:space="preserve"> consumers are written in the primary languages of the people being served.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C866D5" w:rsidRPr="00C866D5" w:rsidRDefault="00C866D5" w:rsidP="004E0E74">
            <w:pPr>
              <w:pStyle w:val="TableText"/>
              <w:jc w:val="center"/>
              <w:rPr>
                <w:sz w:val="20"/>
              </w:rPr>
            </w:pPr>
            <w:r w:rsidRPr="00C866D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D5">
              <w:rPr>
                <w:sz w:val="20"/>
              </w:rPr>
              <w:instrText xml:space="preserve"> FORMCHECKBOX </w:instrText>
            </w:r>
            <w:r w:rsidR="0092014A">
              <w:rPr>
                <w:sz w:val="20"/>
              </w:rPr>
            </w:r>
            <w:r w:rsidR="0092014A">
              <w:rPr>
                <w:sz w:val="20"/>
              </w:rPr>
              <w:fldChar w:fldCharType="separate"/>
            </w:r>
            <w:r w:rsidRPr="00C866D5">
              <w:rPr>
                <w:sz w:val="20"/>
              </w:rPr>
              <w:fldChar w:fldCharType="end"/>
            </w:r>
          </w:p>
        </w:tc>
      </w:tr>
    </w:tbl>
    <w:p w:rsidR="009B7968" w:rsidRPr="001F79CA" w:rsidRDefault="009B7968" w:rsidP="00C866D5">
      <w:pPr>
        <w:pStyle w:val="Note"/>
      </w:pPr>
      <w:r w:rsidRPr="001F79CA">
        <w:t xml:space="preserve">Adapted from Rudd RE, Anderson JE. 2006. </w:t>
      </w:r>
      <w:r w:rsidRPr="00C866D5">
        <w:rPr>
          <w:i/>
        </w:rPr>
        <w:t xml:space="preserve">The Health Literacy Environment of Hospitals and Health </w:t>
      </w:r>
      <w:proofErr w:type="spellStart"/>
      <w:r w:rsidRPr="00C866D5">
        <w:rPr>
          <w:i/>
        </w:rPr>
        <w:t>Centers</w:t>
      </w:r>
      <w:proofErr w:type="spellEnd"/>
      <w:r w:rsidRPr="00C866D5">
        <w:rPr>
          <w:i/>
        </w:rPr>
        <w:t>. Partners for Action: Making your healthcare facility literacy-friendly</w:t>
      </w:r>
      <w:r w:rsidRPr="001F79CA">
        <w:t xml:space="preserve">. Boston, MA: National </w:t>
      </w:r>
      <w:proofErr w:type="spellStart"/>
      <w:r w:rsidRPr="001F79CA">
        <w:t>Center</w:t>
      </w:r>
      <w:proofErr w:type="spellEnd"/>
      <w:r w:rsidRPr="001F79CA">
        <w:t xml:space="preserve"> for the Study of Adult Learning and Literacy.</w:t>
      </w:r>
    </w:p>
    <w:p w:rsidR="00A00EB8" w:rsidRPr="001F79CA" w:rsidRDefault="00A00EB8" w:rsidP="009B7968">
      <w:pPr>
        <w:spacing w:line="240" w:lineRule="auto"/>
      </w:pPr>
    </w:p>
    <w:sectPr w:rsidR="00A00EB8" w:rsidRPr="001F79CA" w:rsidSect="004A2BF8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4A" w:rsidRDefault="0092014A">
      <w:pPr>
        <w:spacing w:line="240" w:lineRule="auto"/>
      </w:pPr>
      <w:r>
        <w:separator/>
      </w:r>
    </w:p>
  </w:endnote>
  <w:endnote w:type="continuationSeparator" w:id="0">
    <w:p w:rsidR="0092014A" w:rsidRDefault="00920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0D" w:rsidRPr="0058780D" w:rsidRDefault="0058780D" w:rsidP="0058780D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466D47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58780D">
      <w:t xml:space="preserve"> – Appendix 13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6D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4A" w:rsidRPr="00E460B6" w:rsidRDefault="0092014A" w:rsidP="007B4D3E"/>
  </w:footnote>
  <w:footnote w:type="continuationSeparator" w:id="0">
    <w:p w:rsidR="0092014A" w:rsidRDefault="00920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216F2"/>
    <w:rsid w:val="00030B26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66D47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1B88"/>
    <w:rsid w:val="005621F2"/>
    <w:rsid w:val="0056313C"/>
    <w:rsid w:val="00567B58"/>
    <w:rsid w:val="005763E0"/>
    <w:rsid w:val="0058780D"/>
    <w:rsid w:val="005A27CA"/>
    <w:rsid w:val="005A43BD"/>
    <w:rsid w:val="005B69EA"/>
    <w:rsid w:val="005E226E"/>
    <w:rsid w:val="005E61C2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C0F4D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2469F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1B98"/>
    <w:rsid w:val="008A3755"/>
    <w:rsid w:val="008B264F"/>
    <w:rsid w:val="008B6F83"/>
    <w:rsid w:val="008B7C97"/>
    <w:rsid w:val="008B7FD8"/>
    <w:rsid w:val="008C2973"/>
    <w:rsid w:val="008C64C4"/>
    <w:rsid w:val="008C76BE"/>
    <w:rsid w:val="008D4BDB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14A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0EB8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4CF1"/>
    <w:rsid w:val="00AD5988"/>
    <w:rsid w:val="00AF7800"/>
    <w:rsid w:val="00B00446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1862"/>
    <w:rsid w:val="00DB39CF"/>
    <w:rsid w:val="00DB74A6"/>
    <w:rsid w:val="00DC6321"/>
    <w:rsid w:val="00DD35B6"/>
    <w:rsid w:val="00DD447A"/>
    <w:rsid w:val="00DE3B20"/>
    <w:rsid w:val="00DE5275"/>
    <w:rsid w:val="00DE598A"/>
    <w:rsid w:val="00DE6C94"/>
    <w:rsid w:val="00DE6FD7"/>
    <w:rsid w:val="00E23271"/>
    <w:rsid w:val="00E24F80"/>
    <w:rsid w:val="00E259F3"/>
    <w:rsid w:val="00E31CD8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777A1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13: Checklist for observing and rating the environment</dc:title>
  <dc:creator>Ministry of Health</dc:creator>
  <cp:lastModifiedBy>Jane Adam</cp:lastModifiedBy>
  <cp:revision>16</cp:revision>
  <cp:lastPrinted>2015-04-16T01:53:00Z</cp:lastPrinted>
  <dcterms:created xsi:type="dcterms:W3CDTF">2015-05-05T07:58:00Z</dcterms:created>
  <dcterms:modified xsi:type="dcterms:W3CDTF">2015-05-06T21:26:00Z</dcterms:modified>
</cp:coreProperties>
</file>