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664018" w:rsidP="00D54D50">
      <w:pPr>
        <w:pStyle w:val="Title"/>
      </w:pPr>
      <w:r>
        <w:t xml:space="preserve">National Criteria for Access to </w:t>
      </w:r>
      <w:r w:rsidR="009373A3">
        <w:t xml:space="preserve">Community </w:t>
      </w:r>
      <w:r>
        <w:t xml:space="preserve">Radiology </w:t>
      </w:r>
    </w:p>
    <w:p w:rsidR="00343365" w:rsidRDefault="00664018" w:rsidP="00343365">
      <w:pPr>
        <w:pStyle w:val="Year"/>
      </w:pPr>
      <w:r>
        <w:t>2015</w:t>
      </w:r>
    </w:p>
    <w:p w:rsidR="00C86248" w:rsidRDefault="00C86248" w:rsidP="00343365">
      <w:pPr>
        <w:pStyle w:val="Subhead"/>
      </w:pPr>
    </w:p>
    <w:p w:rsidR="00142954" w:rsidRPr="00142954" w:rsidRDefault="00142954" w:rsidP="00142954">
      <w:pPr>
        <w:sectPr w:rsidR="00142954" w:rsidRPr="00142954" w:rsidSect="009D3949">
          <w:headerReference w:type="default" r:id="rId7"/>
          <w:footerReference w:type="default" r:id="rId8"/>
          <w:pgSz w:w="11907" w:h="16834" w:code="9"/>
          <w:pgMar w:top="3969" w:right="851" w:bottom="851" w:left="2552" w:header="851" w:footer="851" w:gutter="0"/>
          <w:pgNumType w:fmt="lowerRoman"/>
          <w:cols w:space="720"/>
        </w:sectPr>
      </w:pPr>
    </w:p>
    <w:p w:rsidR="00A80363" w:rsidRPr="00442C1C" w:rsidRDefault="00A80363">
      <w:pPr>
        <w:pStyle w:val="Imprint"/>
      </w:pPr>
      <w:r>
        <w:lastRenderedPageBreak/>
        <w:t xml:space="preserve">Citation: </w:t>
      </w:r>
      <w:r w:rsidR="00442C1C">
        <w:t xml:space="preserve">Ministry of Health. </w:t>
      </w:r>
      <w:r w:rsidR="00664018">
        <w:t>2015</w:t>
      </w:r>
      <w:r w:rsidR="00442C1C">
        <w:t xml:space="preserve">. </w:t>
      </w:r>
      <w:r w:rsidR="00664018">
        <w:rPr>
          <w:i/>
        </w:rPr>
        <w:t xml:space="preserve">National Criteria for Access to </w:t>
      </w:r>
      <w:r w:rsidR="007A423A">
        <w:rPr>
          <w:i/>
        </w:rPr>
        <w:t xml:space="preserve">Community </w:t>
      </w:r>
      <w:r w:rsidR="00664018">
        <w:rPr>
          <w:i/>
        </w:rPr>
        <w:t>Radiology</w:t>
      </w:r>
      <w:r w:rsidR="00442C1C">
        <w:t>. Wellington: Ministry of Health.</w:t>
      </w:r>
    </w:p>
    <w:p w:rsidR="00C86248" w:rsidRDefault="00C86248">
      <w:pPr>
        <w:pStyle w:val="Imprint"/>
      </w:pPr>
      <w:r>
        <w:t xml:space="preserve">Published in </w:t>
      </w:r>
      <w:r w:rsidR="007A423A">
        <w:t>March</w:t>
      </w:r>
      <w:r w:rsidR="00664018">
        <w:t xml:space="preserve"> 2015</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t>ISBN</w:t>
      </w:r>
      <w:r w:rsidR="00442C1C">
        <w:t xml:space="preserve">: </w:t>
      </w:r>
      <w:r w:rsidR="00D53CED">
        <w:t>978-0-478-44481-0</w:t>
      </w:r>
      <w:r w:rsidR="00442C1C">
        <w:t xml:space="preserve"> </w:t>
      </w:r>
      <w:r>
        <w:t>(</w:t>
      </w:r>
      <w:r w:rsidR="00442C1C">
        <w:t>online</w:t>
      </w:r>
      <w:r>
        <w:t>)</w:t>
      </w:r>
      <w:r w:rsidR="00082CD6">
        <w:br/>
      </w:r>
      <w:r w:rsidR="00082CD6" w:rsidRPr="009C0F2D">
        <w:t xml:space="preserve">HP </w:t>
      </w:r>
      <w:r w:rsidR="00D53CED">
        <w:t>6116</w:t>
      </w:r>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22E8206C" wp14:editId="3E3085B5">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bookmarkStart w:id="0" w:name="_GoBack"/>
      <w:bookmarkEnd w:id="0"/>
    </w:p>
    <w:p w:rsidR="00047569" w:rsidRPr="00D535D0" w:rsidRDefault="00047569" w:rsidP="00047569">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9D3949">
          <w:footerReference w:type="even" r:id="rId11"/>
          <w:footerReference w:type="default" r:id="rId12"/>
          <w:pgSz w:w="11907" w:h="16834" w:code="9"/>
          <w:pgMar w:top="1701" w:right="1134" w:bottom="1134" w:left="1985" w:header="0" w:footer="0" w:gutter="0"/>
          <w:pgNumType w:fmt="lowerRoman"/>
          <w:cols w:space="720"/>
          <w:vAlign w:val="bottom"/>
        </w:sectPr>
      </w:pPr>
    </w:p>
    <w:p w:rsidR="0000367D" w:rsidRDefault="0000367D" w:rsidP="0000367D">
      <w:pPr>
        <w:pStyle w:val="IntroHead"/>
      </w:pPr>
      <w:bookmarkStart w:id="1" w:name="_Toc405792991"/>
      <w:bookmarkStart w:id="2" w:name="_Toc405793224"/>
      <w:r>
        <w:lastRenderedPageBreak/>
        <w:t>Contents</w:t>
      </w:r>
    </w:p>
    <w:p w:rsidR="00317B80" w:rsidRDefault="0000367D">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317B80">
        <w:rPr>
          <w:noProof/>
        </w:rPr>
        <w:t>Acknowledgements</w:t>
      </w:r>
      <w:r w:rsidR="00317B80">
        <w:rPr>
          <w:noProof/>
        </w:rPr>
        <w:tab/>
      </w:r>
      <w:r w:rsidR="00317B80">
        <w:rPr>
          <w:noProof/>
        </w:rPr>
        <w:fldChar w:fldCharType="begin"/>
      </w:r>
      <w:r w:rsidR="00317B80">
        <w:rPr>
          <w:noProof/>
        </w:rPr>
        <w:instrText xml:space="preserve"> PAGEREF _Toc408998575 \h </w:instrText>
      </w:r>
      <w:r w:rsidR="00317B80">
        <w:rPr>
          <w:noProof/>
        </w:rPr>
      </w:r>
      <w:r w:rsidR="00317B80">
        <w:rPr>
          <w:noProof/>
        </w:rPr>
        <w:fldChar w:fldCharType="separate"/>
      </w:r>
      <w:r w:rsidR="005D5D6B">
        <w:rPr>
          <w:noProof/>
        </w:rPr>
        <w:t>iv</w:t>
      </w:r>
      <w:r w:rsidR="00317B80">
        <w:rPr>
          <w:noProof/>
        </w:rPr>
        <w:fldChar w:fldCharType="end"/>
      </w:r>
    </w:p>
    <w:p w:rsidR="00317B80" w:rsidRDefault="00317B80">
      <w:pPr>
        <w:pStyle w:val="TOC1"/>
        <w:rPr>
          <w:rFonts w:asciiTheme="minorHAnsi" w:eastAsiaTheme="minorEastAsia" w:hAnsiTheme="minorHAnsi" w:cstheme="minorBidi"/>
          <w:b w:val="0"/>
          <w:noProof/>
          <w:szCs w:val="22"/>
          <w:lang w:eastAsia="en-NZ"/>
        </w:rPr>
      </w:pPr>
      <w:r>
        <w:rPr>
          <w:noProof/>
        </w:rPr>
        <w:t>Background</w:t>
      </w:r>
      <w:r>
        <w:rPr>
          <w:noProof/>
        </w:rPr>
        <w:tab/>
      </w:r>
      <w:r>
        <w:rPr>
          <w:noProof/>
        </w:rPr>
        <w:fldChar w:fldCharType="begin"/>
      </w:r>
      <w:r>
        <w:rPr>
          <w:noProof/>
        </w:rPr>
        <w:instrText xml:space="preserve"> PAGEREF _Toc408998576 \h </w:instrText>
      </w:r>
      <w:r>
        <w:rPr>
          <w:noProof/>
        </w:rPr>
      </w:r>
      <w:r>
        <w:rPr>
          <w:noProof/>
        </w:rPr>
        <w:fldChar w:fldCharType="separate"/>
      </w:r>
      <w:r w:rsidR="005D5D6B">
        <w:rPr>
          <w:noProof/>
        </w:rPr>
        <w:t>1</w:t>
      </w:r>
      <w:r>
        <w:rPr>
          <w:noProof/>
        </w:rPr>
        <w:fldChar w:fldCharType="end"/>
      </w:r>
    </w:p>
    <w:p w:rsidR="00317B80" w:rsidRDefault="00317B80">
      <w:pPr>
        <w:pStyle w:val="TOC1"/>
        <w:rPr>
          <w:rFonts w:asciiTheme="minorHAnsi" w:eastAsiaTheme="minorEastAsia" w:hAnsiTheme="minorHAnsi" w:cstheme="minorBidi"/>
          <w:b w:val="0"/>
          <w:noProof/>
          <w:szCs w:val="22"/>
          <w:lang w:eastAsia="en-NZ"/>
        </w:rPr>
      </w:pPr>
      <w:r>
        <w:rPr>
          <w:noProof/>
        </w:rPr>
        <w:t>Purpose of these criteria</w:t>
      </w:r>
      <w:r>
        <w:rPr>
          <w:noProof/>
        </w:rPr>
        <w:tab/>
      </w:r>
      <w:r>
        <w:rPr>
          <w:noProof/>
        </w:rPr>
        <w:fldChar w:fldCharType="begin"/>
      </w:r>
      <w:r>
        <w:rPr>
          <w:noProof/>
        </w:rPr>
        <w:instrText xml:space="preserve"> PAGEREF _Toc408998577 \h </w:instrText>
      </w:r>
      <w:r>
        <w:rPr>
          <w:noProof/>
        </w:rPr>
      </w:r>
      <w:r>
        <w:rPr>
          <w:noProof/>
        </w:rPr>
        <w:fldChar w:fldCharType="separate"/>
      </w:r>
      <w:r w:rsidR="005D5D6B">
        <w:rPr>
          <w:noProof/>
        </w:rPr>
        <w:t>2</w:t>
      </w:r>
      <w:r>
        <w:rPr>
          <w:noProof/>
        </w:rPr>
        <w:fldChar w:fldCharType="end"/>
      </w:r>
    </w:p>
    <w:p w:rsidR="00317B80" w:rsidRDefault="00317B80">
      <w:pPr>
        <w:pStyle w:val="TOC2"/>
        <w:rPr>
          <w:rFonts w:asciiTheme="minorHAnsi" w:eastAsiaTheme="minorEastAsia" w:hAnsiTheme="minorHAnsi" w:cstheme="minorBidi"/>
          <w:noProof/>
          <w:szCs w:val="22"/>
          <w:lang w:eastAsia="en-NZ"/>
        </w:rPr>
      </w:pPr>
      <w:r>
        <w:rPr>
          <w:noProof/>
        </w:rPr>
        <w:t>Primary and secondary care integration</w:t>
      </w:r>
      <w:r>
        <w:rPr>
          <w:noProof/>
        </w:rPr>
        <w:tab/>
      </w:r>
    </w:p>
    <w:p w:rsidR="00317B80" w:rsidRDefault="00317B80">
      <w:pPr>
        <w:pStyle w:val="TOC1"/>
        <w:rPr>
          <w:rFonts w:asciiTheme="minorHAnsi" w:eastAsiaTheme="minorEastAsia" w:hAnsiTheme="minorHAnsi" w:cstheme="minorBidi"/>
          <w:b w:val="0"/>
          <w:noProof/>
          <w:szCs w:val="22"/>
          <w:lang w:eastAsia="en-NZ"/>
        </w:rPr>
      </w:pPr>
      <w:r>
        <w:rPr>
          <w:noProof/>
        </w:rPr>
        <w:t>Implementing these criteria</w:t>
      </w:r>
      <w:r>
        <w:rPr>
          <w:noProof/>
        </w:rPr>
        <w:tab/>
      </w:r>
      <w:r>
        <w:rPr>
          <w:noProof/>
        </w:rPr>
        <w:fldChar w:fldCharType="begin"/>
      </w:r>
      <w:r>
        <w:rPr>
          <w:noProof/>
        </w:rPr>
        <w:instrText xml:space="preserve"> PAGEREF _Toc408998579 \h </w:instrText>
      </w:r>
      <w:r>
        <w:rPr>
          <w:noProof/>
        </w:rPr>
      </w:r>
      <w:r>
        <w:rPr>
          <w:noProof/>
        </w:rPr>
        <w:fldChar w:fldCharType="separate"/>
      </w:r>
      <w:r w:rsidR="005D5D6B">
        <w:rPr>
          <w:noProof/>
        </w:rPr>
        <w:t>3</w:t>
      </w:r>
      <w:r>
        <w:rPr>
          <w:noProof/>
        </w:rPr>
        <w:fldChar w:fldCharType="end"/>
      </w:r>
    </w:p>
    <w:p w:rsidR="00317B80" w:rsidRDefault="00317B80">
      <w:pPr>
        <w:pStyle w:val="TOC2"/>
        <w:rPr>
          <w:rFonts w:asciiTheme="minorHAnsi" w:eastAsiaTheme="minorEastAsia" w:hAnsiTheme="minorHAnsi" w:cstheme="minorBidi"/>
          <w:noProof/>
          <w:szCs w:val="22"/>
          <w:lang w:eastAsia="en-NZ"/>
        </w:rPr>
      </w:pPr>
      <w:r>
        <w:rPr>
          <w:noProof/>
        </w:rPr>
        <w:t>Scope of these criteria</w:t>
      </w:r>
      <w:r>
        <w:rPr>
          <w:noProof/>
        </w:rPr>
        <w:tab/>
      </w:r>
      <w:r>
        <w:rPr>
          <w:noProof/>
        </w:rPr>
        <w:fldChar w:fldCharType="begin"/>
      </w:r>
      <w:r>
        <w:rPr>
          <w:noProof/>
        </w:rPr>
        <w:instrText xml:space="preserve"> PAGEREF _Toc408998580 \h </w:instrText>
      </w:r>
      <w:r>
        <w:rPr>
          <w:noProof/>
        </w:rPr>
      </w:r>
      <w:r>
        <w:rPr>
          <w:noProof/>
        </w:rPr>
        <w:fldChar w:fldCharType="separate"/>
      </w:r>
      <w:r w:rsidR="005D5D6B">
        <w:rPr>
          <w:noProof/>
        </w:rPr>
        <w:t>3</w:t>
      </w:r>
      <w:r>
        <w:rPr>
          <w:noProof/>
        </w:rPr>
        <w:fldChar w:fldCharType="end"/>
      </w:r>
    </w:p>
    <w:p w:rsidR="00317B80" w:rsidRDefault="00317B80">
      <w:pPr>
        <w:pStyle w:val="TOC2"/>
        <w:rPr>
          <w:rFonts w:asciiTheme="minorHAnsi" w:eastAsiaTheme="minorEastAsia" w:hAnsiTheme="minorHAnsi" w:cstheme="minorBidi"/>
          <w:noProof/>
          <w:szCs w:val="22"/>
          <w:lang w:eastAsia="en-NZ"/>
        </w:rPr>
      </w:pPr>
      <w:r>
        <w:rPr>
          <w:noProof/>
        </w:rPr>
        <w:t>Prioritisation and wait times</w:t>
      </w:r>
      <w:r>
        <w:rPr>
          <w:noProof/>
        </w:rPr>
        <w:tab/>
      </w:r>
      <w:r>
        <w:rPr>
          <w:noProof/>
        </w:rPr>
        <w:fldChar w:fldCharType="begin"/>
      </w:r>
      <w:r>
        <w:rPr>
          <w:noProof/>
        </w:rPr>
        <w:instrText xml:space="preserve"> PAGEREF _Toc408998581 \h </w:instrText>
      </w:r>
      <w:r>
        <w:rPr>
          <w:noProof/>
        </w:rPr>
      </w:r>
      <w:r>
        <w:rPr>
          <w:noProof/>
        </w:rPr>
        <w:fldChar w:fldCharType="separate"/>
      </w:r>
      <w:r w:rsidR="005D5D6B">
        <w:rPr>
          <w:noProof/>
        </w:rPr>
        <w:t>3</w:t>
      </w:r>
      <w:r>
        <w:rPr>
          <w:noProof/>
        </w:rPr>
        <w:fldChar w:fldCharType="end"/>
      </w:r>
    </w:p>
    <w:p w:rsidR="00317B80" w:rsidRDefault="00317B80">
      <w:pPr>
        <w:pStyle w:val="TOC2"/>
        <w:rPr>
          <w:rFonts w:asciiTheme="minorHAnsi" w:eastAsiaTheme="minorEastAsia" w:hAnsiTheme="minorHAnsi" w:cstheme="minorBidi"/>
          <w:noProof/>
          <w:szCs w:val="22"/>
          <w:lang w:eastAsia="en-NZ"/>
        </w:rPr>
      </w:pPr>
      <w:r>
        <w:rPr>
          <w:noProof/>
        </w:rPr>
        <w:t>Managing demand</w:t>
      </w:r>
      <w:r>
        <w:rPr>
          <w:noProof/>
        </w:rPr>
        <w:tab/>
      </w:r>
      <w:r>
        <w:rPr>
          <w:noProof/>
        </w:rPr>
        <w:fldChar w:fldCharType="begin"/>
      </w:r>
      <w:r>
        <w:rPr>
          <w:noProof/>
        </w:rPr>
        <w:instrText xml:space="preserve"> PAGEREF _Toc408998582 \h </w:instrText>
      </w:r>
      <w:r>
        <w:rPr>
          <w:noProof/>
        </w:rPr>
      </w:r>
      <w:r>
        <w:rPr>
          <w:noProof/>
        </w:rPr>
        <w:fldChar w:fldCharType="separate"/>
      </w:r>
      <w:r w:rsidR="005D5D6B">
        <w:rPr>
          <w:noProof/>
        </w:rPr>
        <w:t>4</w:t>
      </w:r>
      <w:r>
        <w:rPr>
          <w:noProof/>
        </w:rPr>
        <w:fldChar w:fldCharType="end"/>
      </w:r>
    </w:p>
    <w:p w:rsidR="00317B80" w:rsidRDefault="00317B80">
      <w:pPr>
        <w:pStyle w:val="TOC1"/>
        <w:rPr>
          <w:rFonts w:asciiTheme="minorHAnsi" w:eastAsiaTheme="minorEastAsia" w:hAnsiTheme="minorHAnsi" w:cstheme="minorBidi"/>
          <w:b w:val="0"/>
          <w:noProof/>
          <w:szCs w:val="22"/>
          <w:lang w:eastAsia="en-NZ"/>
        </w:rPr>
      </w:pPr>
      <w:r>
        <w:rPr>
          <w:noProof/>
        </w:rPr>
        <w:t>Criteria for access to radiology</w:t>
      </w:r>
      <w:r>
        <w:rPr>
          <w:noProof/>
        </w:rPr>
        <w:tab/>
      </w:r>
      <w:r>
        <w:rPr>
          <w:noProof/>
        </w:rPr>
        <w:fldChar w:fldCharType="begin"/>
      </w:r>
      <w:r>
        <w:rPr>
          <w:noProof/>
        </w:rPr>
        <w:instrText xml:space="preserve"> PAGEREF _Toc408998583 \h </w:instrText>
      </w:r>
      <w:r>
        <w:rPr>
          <w:noProof/>
        </w:rPr>
      </w:r>
      <w:r>
        <w:rPr>
          <w:noProof/>
        </w:rPr>
        <w:fldChar w:fldCharType="separate"/>
      </w:r>
      <w:r w:rsidR="005D5D6B">
        <w:rPr>
          <w:noProof/>
        </w:rPr>
        <w:t>7</w:t>
      </w:r>
      <w:r>
        <w:rPr>
          <w:noProof/>
        </w:rPr>
        <w:fldChar w:fldCharType="end"/>
      </w:r>
    </w:p>
    <w:p w:rsidR="00317B80" w:rsidRDefault="00317B80">
      <w:pPr>
        <w:pStyle w:val="TOC2"/>
        <w:rPr>
          <w:rFonts w:asciiTheme="minorHAnsi" w:eastAsiaTheme="minorEastAsia" w:hAnsiTheme="minorHAnsi" w:cstheme="minorBidi"/>
          <w:noProof/>
          <w:szCs w:val="22"/>
          <w:lang w:eastAsia="en-NZ"/>
        </w:rPr>
      </w:pPr>
      <w:r>
        <w:rPr>
          <w:noProof/>
        </w:rPr>
        <w:t>X-ray</w:t>
      </w:r>
      <w:r>
        <w:rPr>
          <w:noProof/>
        </w:rPr>
        <w:tab/>
      </w:r>
      <w:r>
        <w:rPr>
          <w:noProof/>
        </w:rPr>
        <w:fldChar w:fldCharType="begin"/>
      </w:r>
      <w:r>
        <w:rPr>
          <w:noProof/>
        </w:rPr>
        <w:instrText xml:space="preserve"> PAGEREF _Toc408998584 \h </w:instrText>
      </w:r>
      <w:r>
        <w:rPr>
          <w:noProof/>
        </w:rPr>
      </w:r>
      <w:r>
        <w:rPr>
          <w:noProof/>
        </w:rPr>
        <w:fldChar w:fldCharType="separate"/>
      </w:r>
      <w:r w:rsidR="005D5D6B">
        <w:rPr>
          <w:noProof/>
        </w:rPr>
        <w:t>7</w:t>
      </w:r>
      <w:r>
        <w:rPr>
          <w:noProof/>
        </w:rPr>
        <w:fldChar w:fldCharType="end"/>
      </w:r>
    </w:p>
    <w:p w:rsidR="00317B80" w:rsidRDefault="00317B80">
      <w:pPr>
        <w:pStyle w:val="TOC2"/>
        <w:rPr>
          <w:rFonts w:asciiTheme="minorHAnsi" w:eastAsiaTheme="minorEastAsia" w:hAnsiTheme="minorHAnsi" w:cstheme="minorBidi"/>
          <w:noProof/>
          <w:szCs w:val="22"/>
          <w:lang w:eastAsia="en-NZ"/>
        </w:rPr>
      </w:pPr>
      <w:r>
        <w:rPr>
          <w:noProof/>
        </w:rPr>
        <w:t>Ultrasound</w:t>
      </w:r>
      <w:r>
        <w:rPr>
          <w:noProof/>
        </w:rPr>
        <w:tab/>
      </w:r>
      <w:r>
        <w:rPr>
          <w:noProof/>
        </w:rPr>
        <w:fldChar w:fldCharType="begin"/>
      </w:r>
      <w:r>
        <w:rPr>
          <w:noProof/>
        </w:rPr>
        <w:instrText xml:space="preserve"> PAGEREF _Toc408998585 \h </w:instrText>
      </w:r>
      <w:r>
        <w:rPr>
          <w:noProof/>
        </w:rPr>
      </w:r>
      <w:r>
        <w:rPr>
          <w:noProof/>
        </w:rPr>
        <w:fldChar w:fldCharType="separate"/>
      </w:r>
      <w:r w:rsidR="005D5D6B">
        <w:rPr>
          <w:noProof/>
        </w:rPr>
        <w:t>12</w:t>
      </w:r>
      <w:r>
        <w:rPr>
          <w:noProof/>
        </w:rPr>
        <w:fldChar w:fldCharType="end"/>
      </w:r>
    </w:p>
    <w:p w:rsidR="00317B80" w:rsidRDefault="00317B80">
      <w:pPr>
        <w:pStyle w:val="TOC2"/>
        <w:rPr>
          <w:rFonts w:asciiTheme="minorHAnsi" w:eastAsiaTheme="minorEastAsia" w:hAnsiTheme="minorHAnsi" w:cstheme="minorBidi"/>
          <w:noProof/>
          <w:szCs w:val="22"/>
          <w:lang w:eastAsia="en-NZ"/>
        </w:rPr>
      </w:pPr>
      <w:r>
        <w:rPr>
          <w:noProof/>
        </w:rPr>
        <w:t>CT scans</w:t>
      </w:r>
      <w:r>
        <w:rPr>
          <w:noProof/>
        </w:rPr>
        <w:tab/>
      </w:r>
      <w:r>
        <w:rPr>
          <w:noProof/>
        </w:rPr>
        <w:fldChar w:fldCharType="begin"/>
      </w:r>
      <w:r>
        <w:rPr>
          <w:noProof/>
        </w:rPr>
        <w:instrText xml:space="preserve"> PAGEREF _Toc408998586 \h </w:instrText>
      </w:r>
      <w:r>
        <w:rPr>
          <w:noProof/>
        </w:rPr>
      </w:r>
      <w:r>
        <w:rPr>
          <w:noProof/>
        </w:rPr>
        <w:fldChar w:fldCharType="separate"/>
      </w:r>
      <w:r w:rsidR="005D5D6B">
        <w:rPr>
          <w:noProof/>
        </w:rPr>
        <w:t>18</w:t>
      </w:r>
      <w:r>
        <w:rPr>
          <w:noProof/>
        </w:rPr>
        <w:fldChar w:fldCharType="end"/>
      </w:r>
    </w:p>
    <w:p w:rsidR="00317B80" w:rsidRDefault="00317B80">
      <w:pPr>
        <w:pStyle w:val="TOC2"/>
        <w:rPr>
          <w:rFonts w:asciiTheme="minorHAnsi" w:eastAsiaTheme="minorEastAsia" w:hAnsiTheme="minorHAnsi" w:cstheme="minorBidi"/>
          <w:noProof/>
          <w:szCs w:val="22"/>
          <w:lang w:eastAsia="en-NZ"/>
        </w:rPr>
      </w:pPr>
      <w:r>
        <w:rPr>
          <w:noProof/>
        </w:rPr>
        <w:t>Paediatric imaging</w:t>
      </w:r>
      <w:r>
        <w:rPr>
          <w:noProof/>
        </w:rPr>
        <w:tab/>
      </w:r>
      <w:r>
        <w:rPr>
          <w:noProof/>
        </w:rPr>
        <w:fldChar w:fldCharType="begin"/>
      </w:r>
      <w:r>
        <w:rPr>
          <w:noProof/>
        </w:rPr>
        <w:instrText xml:space="preserve"> PAGEREF _Toc408998587 \h </w:instrText>
      </w:r>
      <w:r>
        <w:rPr>
          <w:noProof/>
        </w:rPr>
      </w:r>
      <w:r>
        <w:rPr>
          <w:noProof/>
        </w:rPr>
        <w:fldChar w:fldCharType="separate"/>
      </w:r>
      <w:r w:rsidR="005D5D6B">
        <w:rPr>
          <w:noProof/>
        </w:rPr>
        <w:t>20</w:t>
      </w:r>
      <w:r>
        <w:rPr>
          <w:noProof/>
        </w:rPr>
        <w:fldChar w:fldCharType="end"/>
      </w:r>
    </w:p>
    <w:p w:rsidR="00317B80" w:rsidRDefault="00317B80">
      <w:pPr>
        <w:pStyle w:val="TOC1"/>
        <w:rPr>
          <w:rFonts w:asciiTheme="minorHAnsi" w:eastAsiaTheme="minorEastAsia" w:hAnsiTheme="minorHAnsi" w:cstheme="minorBidi"/>
          <w:b w:val="0"/>
          <w:noProof/>
          <w:szCs w:val="22"/>
          <w:lang w:eastAsia="en-NZ"/>
        </w:rPr>
      </w:pPr>
      <w:r>
        <w:rPr>
          <w:noProof/>
        </w:rPr>
        <w:t>Abbreviations</w:t>
      </w:r>
      <w:r>
        <w:rPr>
          <w:noProof/>
        </w:rPr>
        <w:tab/>
      </w:r>
      <w:r>
        <w:rPr>
          <w:noProof/>
        </w:rPr>
        <w:fldChar w:fldCharType="begin"/>
      </w:r>
      <w:r>
        <w:rPr>
          <w:noProof/>
        </w:rPr>
        <w:instrText xml:space="preserve"> PAGEREF _Toc408998588 \h </w:instrText>
      </w:r>
      <w:r>
        <w:rPr>
          <w:noProof/>
        </w:rPr>
      </w:r>
      <w:r>
        <w:rPr>
          <w:noProof/>
        </w:rPr>
        <w:fldChar w:fldCharType="separate"/>
      </w:r>
      <w:r w:rsidR="005D5D6B">
        <w:rPr>
          <w:noProof/>
        </w:rPr>
        <w:t>22</w:t>
      </w:r>
      <w:r>
        <w:rPr>
          <w:noProof/>
        </w:rPr>
        <w:fldChar w:fldCharType="end"/>
      </w:r>
    </w:p>
    <w:p w:rsidR="00317B80" w:rsidRDefault="00317B80">
      <w:pPr>
        <w:pStyle w:val="TOC1"/>
        <w:rPr>
          <w:rFonts w:asciiTheme="minorHAnsi" w:eastAsiaTheme="minorEastAsia" w:hAnsiTheme="minorHAnsi" w:cstheme="minorBidi"/>
          <w:b w:val="0"/>
          <w:noProof/>
          <w:szCs w:val="22"/>
          <w:lang w:eastAsia="en-NZ"/>
        </w:rPr>
      </w:pPr>
      <w:r w:rsidRPr="00653BC6">
        <w:rPr>
          <w:rFonts w:eastAsiaTheme="minorHAnsi"/>
          <w:noProof/>
          <w:lang w:eastAsia="en-NZ"/>
        </w:rPr>
        <w:t>Endnotes</w:t>
      </w:r>
      <w:r>
        <w:rPr>
          <w:noProof/>
        </w:rPr>
        <w:tab/>
      </w:r>
      <w:r>
        <w:rPr>
          <w:noProof/>
        </w:rPr>
        <w:fldChar w:fldCharType="begin"/>
      </w:r>
      <w:r>
        <w:rPr>
          <w:noProof/>
        </w:rPr>
        <w:instrText xml:space="preserve"> PAGEREF _Toc408998589 \h </w:instrText>
      </w:r>
      <w:r>
        <w:rPr>
          <w:noProof/>
        </w:rPr>
      </w:r>
      <w:r>
        <w:rPr>
          <w:noProof/>
        </w:rPr>
        <w:fldChar w:fldCharType="separate"/>
      </w:r>
      <w:r w:rsidR="005D5D6B">
        <w:rPr>
          <w:noProof/>
        </w:rPr>
        <w:t>23</w:t>
      </w:r>
      <w:r>
        <w:rPr>
          <w:noProof/>
        </w:rPr>
        <w:fldChar w:fldCharType="end"/>
      </w:r>
    </w:p>
    <w:p w:rsidR="0000367D" w:rsidRDefault="0000367D" w:rsidP="0000367D">
      <w:r>
        <w:rPr>
          <w:b/>
        </w:rPr>
        <w:fldChar w:fldCharType="end"/>
      </w:r>
    </w:p>
    <w:p w:rsidR="0000367D" w:rsidRDefault="0000367D" w:rsidP="00F71B9D">
      <w:pPr>
        <w:spacing w:line="240" w:lineRule="auto"/>
        <w:jc w:val="center"/>
      </w:pPr>
      <w:r>
        <w:br w:type="page"/>
      </w:r>
    </w:p>
    <w:p w:rsidR="00DE3B20" w:rsidRDefault="00664018" w:rsidP="0021763B">
      <w:pPr>
        <w:pStyle w:val="Heading1"/>
      </w:pPr>
      <w:bookmarkStart w:id="3" w:name="_Toc408998575"/>
      <w:r>
        <w:lastRenderedPageBreak/>
        <w:t>Acknowledgements</w:t>
      </w:r>
      <w:bookmarkEnd w:id="3"/>
    </w:p>
    <w:p w:rsidR="00377AE5" w:rsidRDefault="00664018" w:rsidP="00621722">
      <w:r w:rsidRPr="005B6943">
        <w:t>The Ministry of Health</w:t>
      </w:r>
      <w:r>
        <w:t xml:space="preserve"> </w:t>
      </w:r>
      <w:r w:rsidRPr="005B6943">
        <w:t xml:space="preserve">wishes to acknowledge and thank the following members of the National Radiology Referral Criteria Review Panel for their participation and contribution in developing the </w:t>
      </w:r>
      <w:r w:rsidRPr="007A423A">
        <w:rPr>
          <w:i/>
        </w:rPr>
        <w:t xml:space="preserve">National Criteria for Access to </w:t>
      </w:r>
      <w:r w:rsidR="007A423A" w:rsidRPr="007A423A">
        <w:rPr>
          <w:i/>
        </w:rPr>
        <w:t xml:space="preserve">Community </w:t>
      </w:r>
      <w:r w:rsidRPr="007A423A">
        <w:rPr>
          <w:i/>
        </w:rPr>
        <w:t>Radiology</w:t>
      </w:r>
      <w:r w:rsidRPr="005B6943">
        <w:t>:</w:t>
      </w:r>
    </w:p>
    <w:p w:rsidR="00377AE5" w:rsidRDefault="00664018" w:rsidP="009D3949">
      <w:pPr>
        <w:pStyle w:val="Bullet"/>
        <w:spacing w:before="120"/>
      </w:pPr>
      <w:r w:rsidRPr="005B6943">
        <w:t>Dr Kate Aitken (</w:t>
      </w:r>
      <w:r>
        <w:t>c</w:t>
      </w:r>
      <w:r w:rsidRPr="005B6943">
        <w:t xml:space="preserve">linical </w:t>
      </w:r>
      <w:r>
        <w:t>l</w:t>
      </w:r>
      <w:r w:rsidRPr="005B6943">
        <w:t xml:space="preserve">eader and </w:t>
      </w:r>
      <w:r>
        <w:t>c</w:t>
      </w:r>
      <w:r w:rsidRPr="005B6943">
        <w:t xml:space="preserve">hair), </w:t>
      </w:r>
      <w:r>
        <w:t>r</w:t>
      </w:r>
      <w:r w:rsidRPr="005B6943">
        <w:t xml:space="preserve">adiology </w:t>
      </w:r>
      <w:r>
        <w:t>general practitioner (</w:t>
      </w:r>
      <w:r w:rsidRPr="005B6943">
        <w:t>GP</w:t>
      </w:r>
      <w:r>
        <w:t>)</w:t>
      </w:r>
      <w:r w:rsidRPr="005B6943">
        <w:t xml:space="preserve"> </w:t>
      </w:r>
      <w:r>
        <w:t>l</w:t>
      </w:r>
      <w:r w:rsidRPr="005B6943">
        <w:t xml:space="preserve">iaison (Waitemata DHB), </w:t>
      </w:r>
      <w:r>
        <w:t>c</w:t>
      </w:r>
      <w:r w:rsidRPr="005B6943">
        <w:t xml:space="preserve">linical </w:t>
      </w:r>
      <w:r>
        <w:t>l</w:t>
      </w:r>
      <w:r w:rsidRPr="005B6943">
        <w:t xml:space="preserve">eader of the Northern Region Radiology Network and </w:t>
      </w:r>
      <w:r>
        <w:t>c</w:t>
      </w:r>
      <w:r w:rsidRPr="005B6943">
        <w:t xml:space="preserve">linical </w:t>
      </w:r>
      <w:r>
        <w:t>c</w:t>
      </w:r>
      <w:r w:rsidRPr="005B6943">
        <w:t>hair of the National Radiology Advisory Group</w:t>
      </w:r>
    </w:p>
    <w:p w:rsidR="00664018" w:rsidRPr="005B6943" w:rsidRDefault="00664018" w:rsidP="009D3949">
      <w:pPr>
        <w:pStyle w:val="Bullet"/>
        <w:spacing w:before="120"/>
      </w:pPr>
      <w:r w:rsidRPr="005B6943">
        <w:t xml:space="preserve">Margaret Colligan, </w:t>
      </w:r>
      <w:r>
        <w:t>n</w:t>
      </w:r>
      <w:r w:rsidRPr="005B6943">
        <w:t xml:space="preserve">urse </w:t>
      </w:r>
      <w:r>
        <w:t>p</w:t>
      </w:r>
      <w:r w:rsidRPr="005B6943">
        <w:t>ractitioner, Auckland DHB</w:t>
      </w:r>
    </w:p>
    <w:p w:rsidR="00664018" w:rsidRPr="005B6943" w:rsidRDefault="00664018" w:rsidP="009D3949">
      <w:pPr>
        <w:pStyle w:val="Bullet"/>
        <w:spacing w:before="120"/>
      </w:pPr>
      <w:r w:rsidRPr="005B6943">
        <w:t xml:space="preserve">Dr Vivienne Coppell, </w:t>
      </w:r>
      <w:r>
        <w:t>GP</w:t>
      </w:r>
    </w:p>
    <w:p w:rsidR="00664018" w:rsidRPr="005B6943" w:rsidRDefault="00664018" w:rsidP="009D3949">
      <w:pPr>
        <w:pStyle w:val="Bullet"/>
        <w:spacing w:before="120"/>
      </w:pPr>
      <w:r w:rsidRPr="005B6943">
        <w:t xml:space="preserve">Dr Dianne Davis, GP </w:t>
      </w:r>
      <w:r>
        <w:t>l</w:t>
      </w:r>
      <w:r w:rsidRPr="005B6943">
        <w:t>iaison, Northland DHB</w:t>
      </w:r>
    </w:p>
    <w:p w:rsidR="00377AE5" w:rsidRDefault="00664018" w:rsidP="009D3949">
      <w:pPr>
        <w:pStyle w:val="Bullet"/>
        <w:spacing w:before="120"/>
      </w:pPr>
      <w:r w:rsidRPr="00E55000">
        <w:t xml:space="preserve">Dr Kieran Holland, Canterbury </w:t>
      </w:r>
      <w:r>
        <w:t xml:space="preserve">DHB </w:t>
      </w:r>
      <w:r w:rsidR="007B165D">
        <w:t xml:space="preserve">Community Referred </w:t>
      </w:r>
      <w:r>
        <w:t>Radiology</w:t>
      </w:r>
      <w:r w:rsidR="007B165D">
        <w:t xml:space="preserve"> Manager, Canterbury Initiative</w:t>
      </w:r>
    </w:p>
    <w:p w:rsidR="00664018" w:rsidRPr="00E55000" w:rsidRDefault="00664018" w:rsidP="009D3949">
      <w:pPr>
        <w:pStyle w:val="Bullet"/>
        <w:spacing w:before="120"/>
      </w:pPr>
      <w:r w:rsidRPr="00E55000">
        <w:t xml:space="preserve">Dr Jim Kriechbaum, GP </w:t>
      </w:r>
      <w:r>
        <w:t>l</w:t>
      </w:r>
      <w:r w:rsidRPr="00E55000">
        <w:t>iaison, Auckland DHB</w:t>
      </w:r>
    </w:p>
    <w:p w:rsidR="00664018" w:rsidRPr="005225EC" w:rsidRDefault="00664018" w:rsidP="009D3949">
      <w:pPr>
        <w:pStyle w:val="Bullet"/>
        <w:spacing w:before="120"/>
      </w:pPr>
      <w:r w:rsidRPr="005B6943">
        <w:t xml:space="preserve">Dr Kim McAnulty, </w:t>
      </w:r>
      <w:r>
        <w:t>r</w:t>
      </w:r>
      <w:r w:rsidRPr="005B6943">
        <w:t>adiologist, Waikato DHB</w:t>
      </w:r>
      <w:r w:rsidRPr="005225EC">
        <w:t xml:space="preserve">, </w:t>
      </w:r>
      <w:r>
        <w:t>n</w:t>
      </w:r>
      <w:r w:rsidRPr="005225EC">
        <w:t xml:space="preserve">ational </w:t>
      </w:r>
      <w:r>
        <w:t>r</w:t>
      </w:r>
      <w:r w:rsidRPr="005225EC">
        <w:t xml:space="preserve">adiology </w:t>
      </w:r>
      <w:r>
        <w:t>c</w:t>
      </w:r>
      <w:r w:rsidRPr="005225EC">
        <w:t xml:space="preserve">linical </w:t>
      </w:r>
      <w:r>
        <w:t>l</w:t>
      </w:r>
      <w:r w:rsidRPr="005225EC">
        <w:t>ead</w:t>
      </w:r>
    </w:p>
    <w:p w:rsidR="00D62F8A" w:rsidRDefault="00664018" w:rsidP="009D3949">
      <w:pPr>
        <w:pStyle w:val="Bullet"/>
        <w:spacing w:before="120"/>
      </w:pPr>
      <w:r w:rsidRPr="005225EC">
        <w:t>Gerard Walker, Director Workwise Christchurch, Accident Compensation Corporation</w:t>
      </w:r>
      <w:r w:rsidR="00621722">
        <w:t>.</w:t>
      </w:r>
    </w:p>
    <w:p w:rsidR="00664018" w:rsidRPr="005225EC" w:rsidRDefault="00664018" w:rsidP="00621722"/>
    <w:p w:rsidR="00AC39B5" w:rsidRDefault="00AC39B5" w:rsidP="0086388B">
      <w:pPr>
        <w:pStyle w:val="Heading1"/>
        <w:sectPr w:rsidR="00AC39B5" w:rsidSect="00AC39B5">
          <w:headerReference w:type="default" r:id="rId13"/>
          <w:footerReference w:type="even" r:id="rId14"/>
          <w:footerReference w:type="default" r:id="rId15"/>
          <w:pgSz w:w="11907" w:h="16834" w:code="9"/>
          <w:pgMar w:top="851" w:right="1134" w:bottom="1134" w:left="1134" w:header="284" w:footer="567" w:gutter="284"/>
          <w:pgNumType w:fmt="lowerRoman"/>
          <w:cols w:space="720"/>
        </w:sectPr>
      </w:pPr>
      <w:bookmarkStart w:id="4" w:name="_Toc408998576"/>
      <w:bookmarkEnd w:id="1"/>
      <w:bookmarkEnd w:id="2"/>
    </w:p>
    <w:p w:rsidR="008C2973" w:rsidRDefault="00664018" w:rsidP="0086388B">
      <w:pPr>
        <w:pStyle w:val="Heading1"/>
      </w:pPr>
      <w:r>
        <w:lastRenderedPageBreak/>
        <w:t>Background</w:t>
      </w:r>
      <w:bookmarkEnd w:id="4"/>
    </w:p>
    <w:p w:rsidR="00377AE5" w:rsidRDefault="00664018" w:rsidP="00621722">
      <w:r w:rsidRPr="005B6943">
        <w:t xml:space="preserve">Radiological investigation is a basic component of primary health care. Improving </w:t>
      </w:r>
      <w:r w:rsidR="006D3ED7">
        <w:t>primary</w:t>
      </w:r>
      <w:r>
        <w:t xml:space="preserve"> </w:t>
      </w:r>
      <w:r w:rsidR="00FA060E">
        <w:t xml:space="preserve">health </w:t>
      </w:r>
      <w:r>
        <w:t>care practitioners</w:t>
      </w:r>
      <w:r w:rsidR="00377AE5">
        <w:t>’</w:t>
      </w:r>
      <w:r>
        <w:t xml:space="preserve"> </w:t>
      </w:r>
      <w:r w:rsidRPr="005B6943">
        <w:t xml:space="preserve">ability to diagnose and manage conditions and to make more appropriate referrals to secondary </w:t>
      </w:r>
      <w:r w:rsidR="00FA060E">
        <w:t xml:space="preserve">health </w:t>
      </w:r>
      <w:r w:rsidRPr="005B6943">
        <w:t>care should lead to better patient outcomes.</w:t>
      </w:r>
    </w:p>
    <w:p w:rsidR="008739A6" w:rsidRDefault="008739A6" w:rsidP="00621722"/>
    <w:p w:rsidR="00377AE5" w:rsidRDefault="00664018" w:rsidP="00621722">
      <w:r w:rsidRPr="005B6943">
        <w:t xml:space="preserve">The </w:t>
      </w:r>
      <w:r>
        <w:t xml:space="preserve">Ministry of Health originally developed the </w:t>
      </w:r>
      <w:r w:rsidRPr="00F71B9D">
        <w:rPr>
          <w:i/>
        </w:rPr>
        <w:t>National Radiology Referral Guidelines</w:t>
      </w:r>
      <w:r w:rsidRPr="005B6943">
        <w:t xml:space="preserve"> in 2001. </w:t>
      </w:r>
      <w:r>
        <w:t xml:space="preserve">As a result of feedback from the sector, </w:t>
      </w:r>
      <w:r w:rsidRPr="005B6943">
        <w:t>the Ministry has replace</w:t>
      </w:r>
      <w:r w:rsidR="008739A6">
        <w:t>d</w:t>
      </w:r>
      <w:r w:rsidRPr="005B6943">
        <w:t xml:space="preserve"> the </w:t>
      </w:r>
      <w:r w:rsidRPr="00F71B9D">
        <w:rPr>
          <w:i/>
        </w:rPr>
        <w:t>National Radiology Referral Guidelines</w:t>
      </w:r>
      <w:r w:rsidRPr="005B6943">
        <w:t xml:space="preserve"> with </w:t>
      </w:r>
      <w:r>
        <w:t>this</w:t>
      </w:r>
      <w:r w:rsidRPr="005B6943">
        <w:t xml:space="preserve"> set of </w:t>
      </w:r>
      <w:r>
        <w:t>c</w:t>
      </w:r>
      <w:r w:rsidRPr="005B6943">
        <w:t xml:space="preserve">riteria. </w:t>
      </w:r>
      <w:r>
        <w:t>The move from guidelines to criteria is carefully considered. G</w:t>
      </w:r>
      <w:r w:rsidRPr="005B6943">
        <w:t xml:space="preserve">uidelines </w:t>
      </w:r>
      <w:r>
        <w:t xml:space="preserve">by definition </w:t>
      </w:r>
      <w:r w:rsidRPr="005B6943">
        <w:t xml:space="preserve">identify the best practice management of a given condition, </w:t>
      </w:r>
      <w:r>
        <w:t xml:space="preserve">but </w:t>
      </w:r>
      <w:r w:rsidRPr="005B6943">
        <w:t xml:space="preserve">do not take into consideration resource limitations </w:t>
      </w:r>
      <w:r>
        <w:t xml:space="preserve">and (in the case of radiology) </w:t>
      </w:r>
      <w:r w:rsidRPr="005B6943">
        <w:t>the need to manage demand for diagnostic imaging or the access of primary care providers to specific types of imaging.</w:t>
      </w:r>
    </w:p>
    <w:p w:rsidR="00621722" w:rsidRDefault="00621722" w:rsidP="00621722"/>
    <w:p w:rsidR="006D3ED7" w:rsidRDefault="006D3ED7" w:rsidP="006D3ED7">
      <w:r w:rsidRPr="005B6943">
        <w:t>The</w:t>
      </w:r>
      <w:r>
        <w:t>se</w:t>
      </w:r>
      <w:r w:rsidRPr="005B6943">
        <w:t xml:space="preserve"> </w:t>
      </w:r>
      <w:r>
        <w:t>c</w:t>
      </w:r>
      <w:r w:rsidRPr="005B6943">
        <w:t xml:space="preserve">riteria were developed by a </w:t>
      </w:r>
      <w:r>
        <w:t>p</w:t>
      </w:r>
      <w:r w:rsidRPr="005B6943">
        <w:t>anel of clinicians comprising primary care, radiology, nursing and occupational health representatives.</w:t>
      </w:r>
    </w:p>
    <w:p w:rsidR="006D3ED7" w:rsidRDefault="006D3ED7" w:rsidP="006D3ED7"/>
    <w:p w:rsidR="006D3ED7" w:rsidRDefault="006D3ED7" w:rsidP="006D3ED7">
      <w:r w:rsidRPr="005B6943">
        <w:t xml:space="preserve">The </w:t>
      </w:r>
      <w:r>
        <w:t>process to develop these criteria included:</w:t>
      </w:r>
    </w:p>
    <w:p w:rsidR="006D3ED7" w:rsidRDefault="006D3ED7" w:rsidP="006D3ED7">
      <w:pPr>
        <w:pStyle w:val="Bullet"/>
      </w:pPr>
      <w:r>
        <w:t>a stocktake of current access criteria across all DHBs</w:t>
      </w:r>
    </w:p>
    <w:p w:rsidR="006D3ED7" w:rsidRDefault="006D3ED7" w:rsidP="006D3ED7">
      <w:pPr>
        <w:pStyle w:val="Bullet"/>
      </w:pPr>
      <w:r>
        <w:t>a review of DHBs’ existing access c</w:t>
      </w:r>
      <w:r w:rsidRPr="001B6F35">
        <w:t>riteria</w:t>
      </w:r>
    </w:p>
    <w:p w:rsidR="006D3ED7" w:rsidRDefault="006D3ED7" w:rsidP="006D3ED7">
      <w:pPr>
        <w:pStyle w:val="Bullet"/>
      </w:pPr>
      <w:r>
        <w:t xml:space="preserve">expert input and advice from </w:t>
      </w:r>
      <w:r w:rsidRPr="001B6F35">
        <w:t>specialists</w:t>
      </w:r>
      <w:r>
        <w:t>, particularly across primary care and radiology services</w:t>
      </w:r>
    </w:p>
    <w:p w:rsidR="006D3ED7" w:rsidRPr="009A075A" w:rsidRDefault="006D3ED7" w:rsidP="006D3ED7">
      <w:pPr>
        <w:pStyle w:val="Bullet"/>
      </w:pPr>
      <w:r>
        <w:t xml:space="preserve">a review of </w:t>
      </w:r>
      <w:r w:rsidRPr="009A075A">
        <w:t>international literature</w:t>
      </w:r>
      <w:r>
        <w:t xml:space="preserve"> on </w:t>
      </w:r>
      <w:r w:rsidRPr="001B6F35">
        <w:t xml:space="preserve">best </w:t>
      </w:r>
      <w:r w:rsidRPr="009A075A">
        <w:t>practice</w:t>
      </w:r>
      <w:r w:rsidR="007A0E56">
        <w:t>.</w:t>
      </w:r>
    </w:p>
    <w:p w:rsidR="006D3ED7" w:rsidRDefault="006D3ED7" w:rsidP="006D3ED7"/>
    <w:p w:rsidR="006D3ED7" w:rsidRPr="00377AE5" w:rsidRDefault="008739A6" w:rsidP="006D3ED7">
      <w:r>
        <w:t>These criteria will be updated, to consider new technology and changing clinical practice.</w:t>
      </w:r>
    </w:p>
    <w:p w:rsidR="006D3ED7" w:rsidRDefault="006D3ED7" w:rsidP="00621722"/>
    <w:p w:rsidR="009A729A" w:rsidRPr="009A075A" w:rsidRDefault="009A729A" w:rsidP="009A729A">
      <w:pPr>
        <w:pStyle w:val="Heading2"/>
      </w:pPr>
      <w:r w:rsidRPr="009A075A">
        <w:t>Primary and secondary care integration</w:t>
      </w:r>
    </w:p>
    <w:p w:rsidR="009A729A" w:rsidRDefault="00C70E85" w:rsidP="009A729A">
      <w:r>
        <w:t xml:space="preserve">These </w:t>
      </w:r>
      <w:r w:rsidR="009A729A">
        <w:t>criteria support</w:t>
      </w:r>
      <w:r w:rsidR="009A729A" w:rsidRPr="005B6943">
        <w:t xml:space="preserve"> the </w:t>
      </w:r>
      <w:r w:rsidR="009A729A">
        <w:t xml:space="preserve">Ministry of Health’s strategic </w:t>
      </w:r>
      <w:r w:rsidR="009A729A" w:rsidRPr="005B6943">
        <w:t xml:space="preserve">intent to provide better integrated care </w:t>
      </w:r>
      <w:r w:rsidR="009A729A">
        <w:t xml:space="preserve">between primary and secondary care. </w:t>
      </w:r>
      <w:r w:rsidR="009A729A" w:rsidRPr="005B6943">
        <w:t xml:space="preserve">An integrated health system supports </w:t>
      </w:r>
      <w:r w:rsidR="009A729A">
        <w:t>greater clinical integration and the use of clinical networks.</w:t>
      </w:r>
    </w:p>
    <w:p w:rsidR="009A729A" w:rsidRDefault="009A729A" w:rsidP="009A729A"/>
    <w:p w:rsidR="009A729A" w:rsidRDefault="009A729A" w:rsidP="009A729A">
      <w:r>
        <w:t xml:space="preserve">Clinical pathways </w:t>
      </w:r>
      <w:r w:rsidRPr="00CB6882">
        <w:t>assist clinicians to choose the most appropriate diagnostic examinations in the correct sequence</w:t>
      </w:r>
      <w:r>
        <w:t>, and are preferable to stand</w:t>
      </w:r>
      <w:r w:rsidRPr="00CB6882">
        <w:t>alone access criteria.</w:t>
      </w:r>
      <w:r>
        <w:t xml:space="preserve"> District health boards need to develop and implement </w:t>
      </w:r>
      <w:r w:rsidRPr="00CB6882">
        <w:t xml:space="preserve">appropriate locally agreed clinical pathways for common conditions presenting to primary and secondary care. </w:t>
      </w:r>
      <w:r>
        <w:t>The Ministry expects DHBs to develop</w:t>
      </w:r>
      <w:r w:rsidRPr="00CB6882">
        <w:t xml:space="preserve"> </w:t>
      </w:r>
      <w:r>
        <w:t>p</w:t>
      </w:r>
      <w:r w:rsidRPr="00CB6882">
        <w:t>athways according to broad clinical consensus and through primary and secondary care partnerships</w:t>
      </w:r>
      <w:r>
        <w:t>.</w:t>
      </w:r>
    </w:p>
    <w:p w:rsidR="009A729A" w:rsidRDefault="009A729A" w:rsidP="009A729A"/>
    <w:p w:rsidR="009A729A" w:rsidRDefault="009A729A" w:rsidP="009A729A">
      <w:r>
        <w:t>The Ministry has developed these c</w:t>
      </w:r>
      <w:r w:rsidRPr="00CB6882">
        <w:t xml:space="preserve">riteria </w:t>
      </w:r>
      <w:r w:rsidRPr="009A075A">
        <w:t xml:space="preserve">in the absence of a full set of clinical </w:t>
      </w:r>
      <w:r w:rsidRPr="00CB6882">
        <w:t>pathways</w:t>
      </w:r>
      <w:r w:rsidR="002F67AF">
        <w:t>,</w:t>
      </w:r>
      <w:r>
        <w:t xml:space="preserve"> which include imaging steps</w:t>
      </w:r>
      <w:r w:rsidRPr="00CB6882">
        <w:t>.</w:t>
      </w:r>
      <w:r>
        <w:t xml:space="preserve"> </w:t>
      </w:r>
      <w:r w:rsidRPr="00CB6882">
        <w:t xml:space="preserve">Locally agreed </w:t>
      </w:r>
      <w:r>
        <w:t xml:space="preserve">clinical </w:t>
      </w:r>
      <w:r w:rsidRPr="00CB6882">
        <w:t xml:space="preserve">pathways supersede these </w:t>
      </w:r>
      <w:r>
        <w:t>c</w:t>
      </w:r>
      <w:r w:rsidRPr="00CB6882">
        <w:t>riteria</w:t>
      </w:r>
      <w:r>
        <w:t>.</w:t>
      </w:r>
    </w:p>
    <w:p w:rsidR="007A0E56" w:rsidRDefault="007A0E56">
      <w:pPr>
        <w:spacing w:line="240" w:lineRule="auto"/>
      </w:pPr>
      <w:r>
        <w:br w:type="page"/>
      </w:r>
    </w:p>
    <w:p w:rsidR="008739A6" w:rsidRPr="009A075A" w:rsidRDefault="008739A6" w:rsidP="008739A6">
      <w:pPr>
        <w:pStyle w:val="Heading1"/>
      </w:pPr>
      <w:bookmarkStart w:id="5" w:name="_Toc408998577"/>
      <w:r w:rsidRPr="009A075A">
        <w:t xml:space="preserve">Purpose </w:t>
      </w:r>
      <w:r>
        <w:t>of these criteria</w:t>
      </w:r>
      <w:bookmarkEnd w:id="5"/>
    </w:p>
    <w:p w:rsidR="008739A6" w:rsidRDefault="008739A6" w:rsidP="008739A6">
      <w:r>
        <w:t xml:space="preserve">The </w:t>
      </w:r>
      <w:r w:rsidRPr="00621C8D">
        <w:rPr>
          <w:i/>
        </w:rPr>
        <w:t xml:space="preserve">National Criteria for Access to </w:t>
      </w:r>
      <w:r w:rsidR="007A423A">
        <w:rPr>
          <w:i/>
        </w:rPr>
        <w:t xml:space="preserve">Community </w:t>
      </w:r>
      <w:r w:rsidRPr="00621C8D">
        <w:rPr>
          <w:i/>
        </w:rPr>
        <w:t xml:space="preserve">Radiology </w:t>
      </w:r>
      <w:r w:rsidRPr="009A075A">
        <w:t>ha</w:t>
      </w:r>
      <w:r>
        <w:t>s</w:t>
      </w:r>
      <w:r w:rsidRPr="009A075A">
        <w:t xml:space="preserve"> been developed</w:t>
      </w:r>
      <w:r>
        <w:t xml:space="preserve"> </w:t>
      </w:r>
      <w:r w:rsidRPr="005B6943">
        <w:t>to</w:t>
      </w:r>
      <w:r>
        <w:t>:</w:t>
      </w:r>
    </w:p>
    <w:p w:rsidR="008739A6" w:rsidRDefault="008739A6" w:rsidP="008739A6">
      <w:pPr>
        <w:pStyle w:val="Bullet"/>
      </w:pPr>
      <w:r w:rsidRPr="009A075A">
        <w:t xml:space="preserve">assist primary care practitioners to manage </w:t>
      </w:r>
      <w:r>
        <w:t xml:space="preserve">radiology </w:t>
      </w:r>
      <w:r w:rsidRPr="009A075A">
        <w:t xml:space="preserve">patients effectively in the community </w:t>
      </w:r>
      <w:r>
        <w:t xml:space="preserve">by ensuring they get </w:t>
      </w:r>
      <w:r w:rsidRPr="009A075A">
        <w:t>appropriate access to diagnostics</w:t>
      </w:r>
    </w:p>
    <w:p w:rsidR="008739A6" w:rsidRDefault="008739A6" w:rsidP="008739A6">
      <w:pPr>
        <w:pStyle w:val="Bullet"/>
      </w:pPr>
      <w:r w:rsidRPr="009A075A">
        <w:t xml:space="preserve">provide </w:t>
      </w:r>
      <w:r>
        <w:t>district health boards (</w:t>
      </w:r>
      <w:r w:rsidRPr="009A075A">
        <w:t>DHBs</w:t>
      </w:r>
      <w:r>
        <w:t>)</w:t>
      </w:r>
      <w:r w:rsidRPr="009A075A">
        <w:t xml:space="preserve"> with a minimum benchmark</w:t>
      </w:r>
      <w:r>
        <w:t xml:space="preserve"> of service provision.</w:t>
      </w:r>
    </w:p>
    <w:p w:rsidR="008739A6" w:rsidRPr="009A075A" w:rsidRDefault="008739A6" w:rsidP="008739A6"/>
    <w:p w:rsidR="008739A6" w:rsidRDefault="008739A6" w:rsidP="008739A6">
      <w:r w:rsidRPr="005B6943">
        <w:t xml:space="preserve">The </w:t>
      </w:r>
      <w:r>
        <w:t>c</w:t>
      </w:r>
      <w:r w:rsidRPr="005B6943">
        <w:t>riteria provide:</w:t>
      </w:r>
    </w:p>
    <w:p w:rsidR="008739A6" w:rsidRPr="005B6943" w:rsidRDefault="008739A6" w:rsidP="008739A6">
      <w:pPr>
        <w:pStyle w:val="Bullet"/>
      </w:pPr>
      <w:r>
        <w:t>a</w:t>
      </w:r>
      <w:r w:rsidRPr="005B6943">
        <w:t xml:space="preserve"> nationally recommended minimum level of radiology access to </w:t>
      </w:r>
      <w:r w:rsidR="009F5FE1">
        <w:t>help</w:t>
      </w:r>
      <w:r w:rsidRPr="005B6943">
        <w:t xml:space="preserve"> </w:t>
      </w:r>
      <w:r>
        <w:t xml:space="preserve">primary care </w:t>
      </w:r>
      <w:r w:rsidR="00442016">
        <w:t xml:space="preserve">practitioners </w:t>
      </w:r>
      <w:r w:rsidR="009F5FE1">
        <w:t xml:space="preserve">to </w:t>
      </w:r>
      <w:r w:rsidRPr="005B6943">
        <w:t>manage patients in the community</w:t>
      </w:r>
    </w:p>
    <w:p w:rsidR="008739A6" w:rsidRPr="005B6943" w:rsidRDefault="008739A6" w:rsidP="008739A6">
      <w:pPr>
        <w:pStyle w:val="Bullet"/>
      </w:pPr>
      <w:r>
        <w:t xml:space="preserve">a </w:t>
      </w:r>
      <w:r w:rsidRPr="005B6943">
        <w:t>practical guid</w:t>
      </w:r>
      <w:r>
        <w:t>e</w:t>
      </w:r>
      <w:r w:rsidRPr="005B6943">
        <w:t xml:space="preserve"> on radiology referral</w:t>
      </w:r>
      <w:r>
        <w:t xml:space="preserve"> for p</w:t>
      </w:r>
      <w:r w:rsidRPr="005B6943">
        <w:t xml:space="preserve">rimary care </w:t>
      </w:r>
      <w:r w:rsidR="00C70E85">
        <w:t xml:space="preserve">practitioners </w:t>
      </w:r>
      <w:r w:rsidRPr="005B6943">
        <w:t xml:space="preserve">(including </w:t>
      </w:r>
      <w:r>
        <w:t>n</w:t>
      </w:r>
      <w:r w:rsidRPr="005B6943">
        <w:t xml:space="preserve">urse </w:t>
      </w:r>
      <w:r>
        <w:t>p</w:t>
      </w:r>
      <w:r w:rsidRPr="005B6943">
        <w:t>ractitioners)</w:t>
      </w:r>
    </w:p>
    <w:p w:rsidR="008739A6" w:rsidRDefault="008739A6" w:rsidP="000A754D">
      <w:pPr>
        <w:pStyle w:val="Bullet"/>
      </w:pPr>
      <w:r w:rsidRPr="005B6943">
        <w:t xml:space="preserve">a basis for </w:t>
      </w:r>
      <w:r>
        <w:t xml:space="preserve">DHBs to </w:t>
      </w:r>
      <w:r w:rsidRPr="005B6943">
        <w:t xml:space="preserve">develop local access criteria to prioritise resources to those with </w:t>
      </w:r>
      <w:r>
        <w:t xml:space="preserve">the </w:t>
      </w:r>
      <w:r w:rsidRPr="005B6943">
        <w:t>greatest clinical need and most potential to benefit</w:t>
      </w:r>
      <w:r w:rsidR="006811C1">
        <w:t>.</w:t>
      </w:r>
    </w:p>
    <w:p w:rsidR="009D3949" w:rsidRDefault="009D3949" w:rsidP="008739A6"/>
    <w:p w:rsidR="008739A6" w:rsidRDefault="008739A6" w:rsidP="008739A6">
      <w:r w:rsidRPr="005B6943">
        <w:t>The</w:t>
      </w:r>
      <w:r>
        <w:t>se</w:t>
      </w:r>
      <w:r w:rsidRPr="005B6943">
        <w:t xml:space="preserve"> </w:t>
      </w:r>
      <w:r>
        <w:t>c</w:t>
      </w:r>
      <w:r w:rsidRPr="005B6943">
        <w:t xml:space="preserve">riteria are not mandatory. </w:t>
      </w:r>
      <w:r>
        <w:t>Some</w:t>
      </w:r>
      <w:r w:rsidRPr="005B6943">
        <w:t xml:space="preserve"> DHBs have already developed, or are in the process of developing, their own criteria for </w:t>
      </w:r>
      <w:r>
        <w:t xml:space="preserve">access to </w:t>
      </w:r>
      <w:r w:rsidRPr="005B6943">
        <w:t xml:space="preserve">radiology. </w:t>
      </w:r>
      <w:r>
        <w:t xml:space="preserve">In this case, DHBs can use the criteria </w:t>
      </w:r>
      <w:r w:rsidRPr="005225EC">
        <w:t xml:space="preserve">to check and update their own criteria. </w:t>
      </w:r>
      <w:r>
        <w:t>Other DHBs</w:t>
      </w:r>
      <w:r w:rsidRPr="005225EC">
        <w:t xml:space="preserve"> may find the</w:t>
      </w:r>
      <w:r>
        <w:t>se</w:t>
      </w:r>
      <w:r w:rsidRPr="005225EC">
        <w:t xml:space="preserve"> </w:t>
      </w:r>
      <w:r>
        <w:t>c</w:t>
      </w:r>
      <w:r w:rsidRPr="005225EC">
        <w:t xml:space="preserve">riteria useful to </w:t>
      </w:r>
      <w:r>
        <w:t>help develop</w:t>
      </w:r>
      <w:r w:rsidRPr="005225EC">
        <w:t xml:space="preserve"> their own </w:t>
      </w:r>
      <w:r>
        <w:t>c</w:t>
      </w:r>
      <w:r w:rsidRPr="005225EC">
        <w:t>riteria.</w:t>
      </w:r>
    </w:p>
    <w:p w:rsidR="00FE10D9" w:rsidRDefault="00FE10D9">
      <w:pPr>
        <w:spacing w:line="240" w:lineRule="auto"/>
      </w:pPr>
      <w:r>
        <w:br w:type="page"/>
      </w:r>
    </w:p>
    <w:p w:rsidR="00FE10D9" w:rsidRPr="00377AE5" w:rsidRDefault="00FE10D9" w:rsidP="00FE10D9">
      <w:pPr>
        <w:pStyle w:val="Heading1"/>
      </w:pPr>
      <w:bookmarkStart w:id="6" w:name="_Toc408998579"/>
      <w:r w:rsidRPr="00377AE5">
        <w:t>Implement</w:t>
      </w:r>
      <w:r>
        <w:t>ing</w:t>
      </w:r>
      <w:r w:rsidRPr="00377AE5">
        <w:t xml:space="preserve"> these </w:t>
      </w:r>
      <w:r>
        <w:t>c</w:t>
      </w:r>
      <w:r w:rsidRPr="00377AE5">
        <w:t>riteria</w:t>
      </w:r>
      <w:bookmarkEnd w:id="6"/>
    </w:p>
    <w:p w:rsidR="00FE10D9" w:rsidRDefault="00FE10D9" w:rsidP="00FE10D9">
      <w:r w:rsidRPr="005B6943">
        <w:t>Successful implementation of the</w:t>
      </w:r>
      <w:r>
        <w:t>se</w:t>
      </w:r>
      <w:r w:rsidRPr="005B6943">
        <w:t xml:space="preserve"> </w:t>
      </w:r>
      <w:r>
        <w:t>c</w:t>
      </w:r>
      <w:r w:rsidRPr="005B6943">
        <w:t>riteria will be dependent on</w:t>
      </w:r>
      <w:r>
        <w:t>:</w:t>
      </w:r>
    </w:p>
    <w:p w:rsidR="00FE10D9" w:rsidRDefault="00FE10D9" w:rsidP="00F71B9D">
      <w:pPr>
        <w:pStyle w:val="Bullet"/>
      </w:pPr>
      <w:r w:rsidRPr="005B6943">
        <w:t xml:space="preserve">local engagement between primary and secondary care </w:t>
      </w:r>
      <w:r w:rsidR="009D3949">
        <w:t>clinicians</w:t>
      </w:r>
    </w:p>
    <w:p w:rsidR="00FE10D9" w:rsidRDefault="00FE10D9" w:rsidP="00F71B9D">
      <w:pPr>
        <w:pStyle w:val="Bullet"/>
      </w:pPr>
      <w:r w:rsidRPr="005B6943">
        <w:t>integration with clinical pathways and processes for triage and/or retrospective feedback on referrals</w:t>
      </w:r>
      <w:r w:rsidR="009D3949">
        <w:t>.</w:t>
      </w:r>
    </w:p>
    <w:p w:rsidR="00FE10D9" w:rsidRDefault="00FE10D9" w:rsidP="00FE10D9"/>
    <w:p w:rsidR="00FE10D9" w:rsidRPr="005B6943" w:rsidRDefault="00FE10D9" w:rsidP="00FE10D9">
      <w:r>
        <w:t xml:space="preserve">As a general guide, </w:t>
      </w:r>
      <w:r w:rsidRPr="00F71B9D">
        <w:t>service providers</w:t>
      </w:r>
      <w:r>
        <w:t xml:space="preserve"> should implement these criteria by:</w:t>
      </w:r>
    </w:p>
    <w:p w:rsidR="00FE10D9" w:rsidRPr="00C56234" w:rsidRDefault="00FE10D9" w:rsidP="00FE10D9">
      <w:pPr>
        <w:spacing w:before="90"/>
        <w:ind w:left="567" w:hanging="567"/>
      </w:pPr>
      <w:r>
        <w:t>1.</w:t>
      </w:r>
      <w:r>
        <w:tab/>
        <w:t>e</w:t>
      </w:r>
      <w:r w:rsidRPr="00C56234">
        <w:t xml:space="preserve">mbedding the </w:t>
      </w:r>
      <w:r>
        <w:t>c</w:t>
      </w:r>
      <w:r w:rsidRPr="00C56234">
        <w:t>riteria into clinical workflow</w:t>
      </w:r>
      <w:r>
        <w:t>; for example,</w:t>
      </w:r>
      <w:r w:rsidRPr="00C56234">
        <w:t xml:space="preserve"> through </w:t>
      </w:r>
      <w:r>
        <w:t>an</w:t>
      </w:r>
      <w:r w:rsidRPr="00C56234">
        <w:t xml:space="preserve"> electronic referral system. This saves </w:t>
      </w:r>
      <w:r>
        <w:t xml:space="preserve">the </w:t>
      </w:r>
      <w:r w:rsidRPr="00C56234">
        <w:t>time required to link to paper guidelines or other electronic versions</w:t>
      </w:r>
      <w:r>
        <w:t>,</w:t>
      </w:r>
      <w:r w:rsidRPr="00C56234">
        <w:t xml:space="preserve"> and improves the timeliness of information sharing</w:t>
      </w:r>
    </w:p>
    <w:p w:rsidR="00FE10D9" w:rsidRDefault="00FE10D9" w:rsidP="00FE10D9">
      <w:pPr>
        <w:spacing w:before="90"/>
        <w:ind w:left="567" w:hanging="567"/>
      </w:pPr>
      <w:r>
        <w:t>2.</w:t>
      </w:r>
      <w:r>
        <w:tab/>
        <w:t>s</w:t>
      </w:r>
      <w:r w:rsidRPr="00C56234">
        <w:t>mart functionality</w:t>
      </w:r>
      <w:r>
        <w:t>,</w:t>
      </w:r>
      <w:r w:rsidRPr="00C56234">
        <w:t xml:space="preserve"> to alert referrers to provide necessary prerequisite information</w:t>
      </w:r>
    </w:p>
    <w:p w:rsidR="00FE10D9" w:rsidRDefault="00FE10D9" w:rsidP="00FE10D9">
      <w:pPr>
        <w:spacing w:before="90"/>
        <w:ind w:left="567" w:hanging="567"/>
      </w:pPr>
      <w:r>
        <w:t>3.</w:t>
      </w:r>
      <w:r>
        <w:tab/>
        <w:t>r</w:t>
      </w:r>
      <w:r w:rsidRPr="00313295">
        <w:t>eserving clinical prior authorisation for complex, or very high cost, or unusual cases, or when a clinician has a history of not following the agreed recommended clinical guidelines.</w:t>
      </w:r>
    </w:p>
    <w:p w:rsidR="00FE10D9" w:rsidRDefault="00FE10D9" w:rsidP="00FE10D9"/>
    <w:p w:rsidR="00FE10D9" w:rsidRDefault="00FE10D9" w:rsidP="00FE10D9">
      <w:r w:rsidRPr="009A075A">
        <w:t xml:space="preserve">If a condition is on the list of exclusions but </w:t>
      </w:r>
      <w:r>
        <w:t xml:space="preserve">a primary care practitioner </w:t>
      </w:r>
      <w:r w:rsidRPr="009A075A">
        <w:t>consider</w:t>
      </w:r>
      <w:r>
        <w:t>s</w:t>
      </w:r>
      <w:r w:rsidRPr="009A075A">
        <w:t xml:space="preserve"> the patient would benefit from imaging, </w:t>
      </w:r>
      <w:r>
        <w:t xml:space="preserve">the practitioner should </w:t>
      </w:r>
      <w:r w:rsidRPr="009A075A">
        <w:t>consult with a specialist.</w:t>
      </w:r>
      <w:r>
        <w:t xml:space="preserve"> To this end, r</w:t>
      </w:r>
      <w:r w:rsidRPr="00C56234">
        <w:t xml:space="preserve">adiology departments should ensure </w:t>
      </w:r>
      <w:r>
        <w:t xml:space="preserve">that specialists are </w:t>
      </w:r>
      <w:r w:rsidRPr="00C56234">
        <w:t xml:space="preserve">readily contactable by phone and </w:t>
      </w:r>
      <w:r>
        <w:t xml:space="preserve">their </w:t>
      </w:r>
      <w:r w:rsidRPr="00C56234">
        <w:t>contact details</w:t>
      </w:r>
      <w:r w:rsidR="009F5FE1">
        <w:t>,</w:t>
      </w:r>
      <w:r w:rsidRPr="00C56234">
        <w:t xml:space="preserve"> along with criteria</w:t>
      </w:r>
      <w:r>
        <w:t xml:space="preserve"> for accessing their services</w:t>
      </w:r>
      <w:r w:rsidR="009F5FE1">
        <w:t>,</w:t>
      </w:r>
      <w:r w:rsidR="009F5FE1" w:rsidRPr="009F5FE1">
        <w:t xml:space="preserve"> </w:t>
      </w:r>
      <w:r w:rsidR="009F5FE1">
        <w:t>easy to find</w:t>
      </w:r>
      <w:r w:rsidRPr="00C56234">
        <w:t>.</w:t>
      </w:r>
    </w:p>
    <w:p w:rsidR="00FE10D9" w:rsidRDefault="00FE10D9" w:rsidP="00FE10D9"/>
    <w:p w:rsidR="00FE10D9" w:rsidRDefault="00FE10D9" w:rsidP="00FE10D9">
      <w:pPr>
        <w:pStyle w:val="Heading2"/>
      </w:pPr>
      <w:bookmarkStart w:id="7" w:name="_Toc408998580"/>
      <w:r w:rsidRPr="00721F27">
        <w:t>Scope</w:t>
      </w:r>
      <w:r>
        <w:t xml:space="preserve"> of these criteria</w:t>
      </w:r>
      <w:bookmarkEnd w:id="7"/>
    </w:p>
    <w:p w:rsidR="00FE10D9" w:rsidRDefault="00FE10D9" w:rsidP="00FE10D9">
      <w:r w:rsidRPr="00267561">
        <w:t xml:space="preserve">The scope of community radiology is set out in the </w:t>
      </w:r>
      <w:r>
        <w:t>National Community Radiology S</w:t>
      </w:r>
      <w:r w:rsidRPr="00267561">
        <w:t xml:space="preserve">ervice </w:t>
      </w:r>
      <w:r>
        <w:t>S</w:t>
      </w:r>
      <w:r w:rsidRPr="00267561">
        <w:t>pecification</w:t>
      </w:r>
      <w:r>
        <w:t>s.</w:t>
      </w:r>
      <w:r w:rsidRPr="00267561">
        <w:t xml:space="preserve"> </w:t>
      </w:r>
      <w:r>
        <w:t>For the purposes of these criteria, however, providers should note the following facts.</w:t>
      </w:r>
    </w:p>
    <w:p w:rsidR="00FE10D9" w:rsidRDefault="00FE10D9" w:rsidP="00FE10D9">
      <w:pPr>
        <w:spacing w:before="90"/>
        <w:ind w:left="567" w:hanging="567"/>
      </w:pPr>
      <w:r w:rsidRPr="00267561">
        <w:t>1.</w:t>
      </w:r>
      <w:r>
        <w:tab/>
        <w:t>I</w:t>
      </w:r>
      <w:r w:rsidRPr="00267561">
        <w:t xml:space="preserve">maging covered by ACC or other funding streams, including </w:t>
      </w:r>
      <w:r>
        <w:t xml:space="preserve">under the </w:t>
      </w:r>
      <w:r w:rsidRPr="00267561">
        <w:t xml:space="preserve">Section 88 </w:t>
      </w:r>
      <w:r w:rsidRPr="00CC6B6D">
        <w:t xml:space="preserve">Primary </w:t>
      </w:r>
      <w:r w:rsidRPr="00267561">
        <w:t xml:space="preserve">Maternity </w:t>
      </w:r>
      <w:r w:rsidRPr="00CC6B6D">
        <w:t xml:space="preserve">Services </w:t>
      </w:r>
      <w:r w:rsidRPr="00267561">
        <w:t>Notice</w:t>
      </w:r>
      <w:r>
        <w:t>,</w:t>
      </w:r>
      <w:r w:rsidRPr="00267561">
        <w:t xml:space="preserve"> is outside the scope</w:t>
      </w:r>
      <w:r>
        <w:t xml:space="preserve"> of these criteria.</w:t>
      </w:r>
    </w:p>
    <w:p w:rsidR="00FE10D9" w:rsidRDefault="00FE10D9" w:rsidP="00FE10D9">
      <w:pPr>
        <w:spacing w:before="90"/>
        <w:ind w:left="567" w:hanging="567"/>
      </w:pPr>
      <w:r w:rsidRPr="00267561">
        <w:t>2.</w:t>
      </w:r>
      <w:r>
        <w:tab/>
      </w:r>
      <w:r w:rsidRPr="00267561">
        <w:t xml:space="preserve">Imaging </w:t>
      </w:r>
      <w:r>
        <w:t xml:space="preserve">that </w:t>
      </w:r>
      <w:r w:rsidRPr="00267561">
        <w:t xml:space="preserve">is part of screening or surveillance programmes is outside the scope of these </w:t>
      </w:r>
      <w:r>
        <w:t>c</w:t>
      </w:r>
      <w:r w:rsidRPr="00267561">
        <w:t>riteria.</w:t>
      </w:r>
    </w:p>
    <w:p w:rsidR="00FE10D9" w:rsidRDefault="00FE10D9" w:rsidP="00FE10D9">
      <w:pPr>
        <w:spacing w:before="90"/>
        <w:ind w:left="567" w:hanging="567"/>
        <w:rPr>
          <w:rFonts w:cs="Arial"/>
        </w:rPr>
      </w:pPr>
      <w:r>
        <w:rPr>
          <w:rFonts w:cs="Arial"/>
        </w:rPr>
        <w:t>3.</w:t>
      </w:r>
      <w:r>
        <w:rPr>
          <w:rFonts w:cs="Arial"/>
        </w:rPr>
        <w:tab/>
      </w:r>
      <w:r w:rsidRPr="00267561">
        <w:rPr>
          <w:rFonts w:cs="Arial"/>
        </w:rPr>
        <w:t>The age band covered by the paediatric criteria has not been specified, acknowledging local p</w:t>
      </w:r>
      <w:r>
        <w:rPr>
          <w:rFonts w:cs="Arial"/>
        </w:rPr>
        <w:t>a</w:t>
      </w:r>
      <w:r w:rsidRPr="00267561">
        <w:rPr>
          <w:rFonts w:cs="Arial"/>
        </w:rPr>
        <w:t>ediatric service age group variation.</w:t>
      </w:r>
    </w:p>
    <w:p w:rsidR="00FE10D9" w:rsidRDefault="00FE10D9" w:rsidP="00FE10D9"/>
    <w:p w:rsidR="00FE10D9" w:rsidRPr="004C6123" w:rsidRDefault="00FE10D9" w:rsidP="00FE10D9">
      <w:pPr>
        <w:pStyle w:val="Heading2"/>
      </w:pPr>
      <w:bookmarkStart w:id="8" w:name="_Toc408998581"/>
      <w:r w:rsidRPr="004C6123">
        <w:t>Prioritisation and wait times</w:t>
      </w:r>
      <w:bookmarkEnd w:id="8"/>
    </w:p>
    <w:p w:rsidR="00FE10D9" w:rsidRDefault="00FE10D9" w:rsidP="00FE10D9">
      <w:r>
        <w:t>The Ministry suggests p</w:t>
      </w:r>
      <w:r w:rsidRPr="005225EC">
        <w:t>rioritis</w:t>
      </w:r>
      <w:r>
        <w:t>ing</w:t>
      </w:r>
      <w:r w:rsidRPr="005225EC">
        <w:t xml:space="preserve"> re</w:t>
      </w:r>
      <w:r>
        <w:t>ferrals based on clinical need</w:t>
      </w:r>
      <w:r w:rsidR="00F16EEE">
        <w:t>:</w:t>
      </w:r>
    </w:p>
    <w:p w:rsidR="00FE10D9" w:rsidRDefault="00F16EEE" w:rsidP="00FE10D9">
      <w:pPr>
        <w:pStyle w:val="Bullet"/>
      </w:pPr>
      <w:r>
        <w:rPr>
          <w:b/>
        </w:rPr>
        <w:t>a</w:t>
      </w:r>
      <w:r w:rsidR="00FE10D9" w:rsidRPr="005225EC">
        <w:rPr>
          <w:b/>
        </w:rPr>
        <w:t>cute</w:t>
      </w:r>
      <w:r w:rsidR="00FE10D9" w:rsidRPr="005225EC">
        <w:t xml:space="preserve"> – same day</w:t>
      </w:r>
    </w:p>
    <w:p w:rsidR="00FE10D9" w:rsidRDefault="00FE10D9" w:rsidP="00FE10D9">
      <w:pPr>
        <w:pStyle w:val="Bullet"/>
        <w:rPr>
          <w:rFonts w:cs="Arial"/>
        </w:rPr>
      </w:pPr>
      <w:r>
        <w:rPr>
          <w:rFonts w:cs="Arial"/>
          <w:b/>
        </w:rPr>
        <w:t>u</w:t>
      </w:r>
      <w:r w:rsidRPr="005225EC">
        <w:rPr>
          <w:rFonts w:cs="Arial"/>
          <w:b/>
        </w:rPr>
        <w:t>rgent</w:t>
      </w:r>
      <w:r w:rsidRPr="005225EC">
        <w:rPr>
          <w:rFonts w:cs="Arial"/>
        </w:rPr>
        <w:t xml:space="preserve"> – within 1</w:t>
      </w:r>
      <w:r>
        <w:rPr>
          <w:rFonts w:cs="Arial"/>
        </w:rPr>
        <w:t>–</w:t>
      </w:r>
      <w:r w:rsidRPr="005225EC">
        <w:rPr>
          <w:rFonts w:cs="Arial"/>
        </w:rPr>
        <w:t>2 weeks</w:t>
      </w:r>
    </w:p>
    <w:p w:rsidR="00FE10D9" w:rsidRDefault="00F16EEE" w:rsidP="00FE10D9">
      <w:pPr>
        <w:pStyle w:val="Bullet"/>
        <w:rPr>
          <w:rFonts w:cs="Arial"/>
        </w:rPr>
      </w:pPr>
      <w:r>
        <w:rPr>
          <w:rFonts w:cs="Arial"/>
          <w:b/>
        </w:rPr>
        <w:t>r</w:t>
      </w:r>
      <w:r w:rsidR="00FE10D9" w:rsidRPr="00C56234">
        <w:rPr>
          <w:rFonts w:cs="Arial"/>
          <w:b/>
        </w:rPr>
        <w:t xml:space="preserve">outine </w:t>
      </w:r>
      <w:r w:rsidR="00FE10D9" w:rsidRPr="00C56234">
        <w:rPr>
          <w:rFonts w:cs="Arial"/>
        </w:rPr>
        <w:t xml:space="preserve">– within </w:t>
      </w:r>
      <w:r w:rsidR="00FE10D9">
        <w:rPr>
          <w:rFonts w:cs="Arial"/>
        </w:rPr>
        <w:t>six</w:t>
      </w:r>
      <w:r w:rsidR="00FE10D9" w:rsidRPr="00C56234">
        <w:rPr>
          <w:rFonts w:cs="Arial"/>
        </w:rPr>
        <w:t xml:space="preserve"> weeks.</w:t>
      </w:r>
    </w:p>
    <w:p w:rsidR="00FE10D9" w:rsidRDefault="00FE10D9" w:rsidP="00FE10D9"/>
    <w:p w:rsidR="00FE10D9" w:rsidRDefault="00FE10D9" w:rsidP="00FE10D9">
      <w:r w:rsidRPr="00C56234">
        <w:t>In many DHBs</w:t>
      </w:r>
      <w:r>
        <w:t>,</w:t>
      </w:r>
      <w:r w:rsidRPr="00C56234">
        <w:t xml:space="preserve"> acute imaging requests are provided through a primary options or acute care scheme</w:t>
      </w:r>
      <w:r>
        <w:t xml:space="preserve">; the Ministry expects that </w:t>
      </w:r>
      <w:r w:rsidRPr="00C56234">
        <w:t>local pathways</w:t>
      </w:r>
      <w:r>
        <w:t xml:space="preserve"> will define the process for these</w:t>
      </w:r>
      <w:r w:rsidRPr="00C56234">
        <w:t>.</w:t>
      </w:r>
    </w:p>
    <w:p w:rsidR="00FE10D9" w:rsidRPr="00C56234" w:rsidRDefault="00FE10D9" w:rsidP="00FE10D9"/>
    <w:p w:rsidR="00FE10D9" w:rsidRDefault="00FE10D9" w:rsidP="00FE10D9">
      <w:pPr>
        <w:keepNext/>
      </w:pPr>
      <w:r>
        <w:t>The Ministry encourages referrers to communicate expect</w:t>
      </w:r>
      <w:r w:rsidR="007A0E56">
        <w:t>ed wait times to their patients</w:t>
      </w:r>
      <w:r>
        <w:t xml:space="preserve"> and communicate with radiology services where they feel a referral is other than routine.</w:t>
      </w:r>
    </w:p>
    <w:p w:rsidR="00FE10D9" w:rsidRPr="00C56234" w:rsidRDefault="00FE10D9" w:rsidP="00FE10D9">
      <w:pPr>
        <w:keepNext/>
      </w:pPr>
    </w:p>
    <w:p w:rsidR="00FE10D9" w:rsidRDefault="00FE10D9" w:rsidP="00FE10D9">
      <w:r w:rsidRPr="00C56234">
        <w:t xml:space="preserve">Provision of all routine imaging within six weeks is a </w:t>
      </w:r>
      <w:r>
        <w:t>‘</w:t>
      </w:r>
      <w:r w:rsidRPr="00C56234">
        <w:t>working towards</w:t>
      </w:r>
      <w:r>
        <w:t>’</w:t>
      </w:r>
      <w:r w:rsidRPr="00C56234">
        <w:t xml:space="preserve"> benchmark in DHB</w:t>
      </w:r>
      <w:r>
        <w:t xml:space="preserve"> radiology departments.</w:t>
      </w:r>
    </w:p>
    <w:p w:rsidR="00FE10D9" w:rsidRDefault="00FE10D9" w:rsidP="00FE10D9"/>
    <w:p w:rsidR="00FE10D9" w:rsidRDefault="00FE10D9" w:rsidP="00FE10D9">
      <w:r>
        <w:t xml:space="preserve">The Ministry expects that reporting of all procedures </w:t>
      </w:r>
      <w:r w:rsidR="009F5FE1">
        <w:t xml:space="preserve">will </w:t>
      </w:r>
      <w:r>
        <w:t>be completed within 24</w:t>
      </w:r>
      <w:r w:rsidR="007A0E56">
        <w:t xml:space="preserve"> to </w:t>
      </w:r>
      <w:r>
        <w:t>48 hours, and strongly recommends electronic distribution of reports. Radiology departments should telephone significant findings to referrers on the day of imaging. All referrers should include telephone numbers on the request form, to ensure ready contact.</w:t>
      </w:r>
    </w:p>
    <w:p w:rsidR="00FE10D9" w:rsidRDefault="00FE10D9" w:rsidP="00FE10D9"/>
    <w:p w:rsidR="00664018" w:rsidRPr="009A075A" w:rsidRDefault="00F16EEE" w:rsidP="00621722">
      <w:pPr>
        <w:pStyle w:val="Heading2"/>
      </w:pPr>
      <w:bookmarkStart w:id="9" w:name="_Toc408998582"/>
      <w:r>
        <w:t>Managing demand</w:t>
      </w:r>
      <w:bookmarkEnd w:id="9"/>
    </w:p>
    <w:p w:rsidR="00664018" w:rsidRPr="005225EC" w:rsidRDefault="00F16EEE" w:rsidP="00621722">
      <w:bookmarkStart w:id="10" w:name="_Toc352577943"/>
      <w:bookmarkStart w:id="11" w:name="_Toc354575920"/>
      <w:r>
        <w:t>Managing the d</w:t>
      </w:r>
      <w:r w:rsidR="00664018" w:rsidRPr="005225EC">
        <w:t xml:space="preserve">emand </w:t>
      </w:r>
      <w:r w:rsidR="00664018">
        <w:t xml:space="preserve">for diagnostic imaging </w:t>
      </w:r>
      <w:r w:rsidR="00664018" w:rsidRPr="005225EC">
        <w:t>is essential to:</w:t>
      </w:r>
    </w:p>
    <w:p w:rsidR="00664018" w:rsidRPr="005B6943" w:rsidRDefault="00664018" w:rsidP="00621722">
      <w:pPr>
        <w:pStyle w:val="Bullet"/>
      </w:pPr>
      <w:r>
        <w:t>e</w:t>
      </w:r>
      <w:r w:rsidRPr="005B6943">
        <w:t>nsure services are safe, efficient, effective and sustainable</w:t>
      </w:r>
    </w:p>
    <w:p w:rsidR="00664018" w:rsidRPr="005B6943" w:rsidRDefault="00664018" w:rsidP="00621722">
      <w:pPr>
        <w:pStyle w:val="Bullet"/>
      </w:pPr>
      <w:r>
        <w:t>m</w:t>
      </w:r>
      <w:r w:rsidRPr="005B6943">
        <w:t xml:space="preserve">anage radiology volumes </w:t>
      </w:r>
      <w:r>
        <w:t xml:space="preserve">and </w:t>
      </w:r>
      <w:r w:rsidRPr="005B6943">
        <w:t>budgets, and reduc</w:t>
      </w:r>
      <w:r>
        <w:t>e</w:t>
      </w:r>
      <w:r w:rsidRPr="005B6943">
        <w:t xml:space="preserve"> the wait time for patients in the community</w:t>
      </w:r>
      <w:r>
        <w:t>.</w:t>
      </w:r>
    </w:p>
    <w:p w:rsidR="00664018" w:rsidRPr="005225EC" w:rsidRDefault="00664018" w:rsidP="00621722"/>
    <w:p w:rsidR="00F16EEE" w:rsidRDefault="00F16EEE" w:rsidP="00621722">
      <w:r>
        <w:t>Some f</w:t>
      </w:r>
      <w:r w:rsidR="00664018">
        <w:t xml:space="preserve">actors </w:t>
      </w:r>
      <w:r>
        <w:t xml:space="preserve">that can impact on </w:t>
      </w:r>
      <w:r w:rsidR="00664018">
        <w:t>demand include</w:t>
      </w:r>
      <w:r>
        <w:t>:</w:t>
      </w:r>
    </w:p>
    <w:p w:rsidR="00F16EEE" w:rsidRDefault="00664018" w:rsidP="00F71B9D">
      <w:pPr>
        <w:pStyle w:val="Bullet"/>
      </w:pPr>
      <w:r>
        <w:t>lack of access to previous imaging reports or other clinical information</w:t>
      </w:r>
    </w:p>
    <w:p w:rsidR="00F16EEE" w:rsidRDefault="00664018" w:rsidP="00F71B9D">
      <w:pPr>
        <w:pStyle w:val="Bullet"/>
      </w:pPr>
      <w:r>
        <w:t>pressure from patients</w:t>
      </w:r>
    </w:p>
    <w:p w:rsidR="00664018" w:rsidRDefault="00664018" w:rsidP="00F71B9D">
      <w:pPr>
        <w:pStyle w:val="Bullet"/>
      </w:pPr>
      <w:r>
        <w:t>factors affecting the clinician, such as inexperience.</w:t>
      </w:r>
    </w:p>
    <w:p w:rsidR="00664018" w:rsidRDefault="00664018" w:rsidP="00621722"/>
    <w:p w:rsidR="00377AE5" w:rsidRDefault="00F16EEE" w:rsidP="00621722">
      <w:r>
        <w:t>Managing d</w:t>
      </w:r>
      <w:r w:rsidRPr="005225EC">
        <w:t>emand</w:t>
      </w:r>
      <w:r w:rsidR="00664018" w:rsidRPr="005225EC">
        <w:t xml:space="preserve"> focuses on ensuring </w:t>
      </w:r>
      <w:r w:rsidR="00664018">
        <w:t xml:space="preserve">referrals are </w:t>
      </w:r>
      <w:r w:rsidR="00664018" w:rsidRPr="005225EC">
        <w:t>appropriate</w:t>
      </w:r>
      <w:r w:rsidR="00664018" w:rsidRPr="00927D2B">
        <w:t xml:space="preserve">. The term </w:t>
      </w:r>
      <w:r w:rsidR="00377AE5">
        <w:t>‘</w:t>
      </w:r>
      <w:r w:rsidR="00664018" w:rsidRPr="00927D2B">
        <w:t>appropriate</w:t>
      </w:r>
      <w:r w:rsidR="00377AE5">
        <w:t>’</w:t>
      </w:r>
      <w:r w:rsidR="00664018" w:rsidRPr="00927D2B">
        <w:t xml:space="preserve"> here refers to a way of working based on agreed guidance: typically access criteria or clinical pathways.</w:t>
      </w:r>
    </w:p>
    <w:p w:rsidR="00621722" w:rsidRDefault="00621722" w:rsidP="00621722"/>
    <w:p w:rsidR="00664018" w:rsidRPr="00927D2B" w:rsidRDefault="00F16EEE" w:rsidP="00F71B9D">
      <w:pPr>
        <w:pStyle w:val="Heading3"/>
      </w:pPr>
      <w:r>
        <w:t>B</w:t>
      </w:r>
      <w:r w:rsidR="00664018" w:rsidRPr="00927D2B">
        <w:t>est practice</w:t>
      </w:r>
      <w:r>
        <w:t xml:space="preserve"> for referrals</w:t>
      </w:r>
    </w:p>
    <w:p w:rsidR="00377AE5" w:rsidRDefault="00664018" w:rsidP="00621722">
      <w:r w:rsidRPr="005225EC">
        <w:t>Referrals may be inappropriate because</w:t>
      </w:r>
      <w:r w:rsidR="009F5FE1">
        <w:t xml:space="preserve"> a health practitioner</w:t>
      </w:r>
      <w:r>
        <w:t xml:space="preserve"> refers a patient</w:t>
      </w:r>
      <w:r w:rsidRPr="005225EC">
        <w:t>:</w:t>
      </w:r>
    </w:p>
    <w:p w:rsidR="00664018" w:rsidRDefault="00664018" w:rsidP="00621722">
      <w:pPr>
        <w:pStyle w:val="Bullet"/>
      </w:pPr>
      <w:r>
        <w:t>for a</w:t>
      </w:r>
      <w:r w:rsidRPr="005B6943">
        <w:t xml:space="preserve"> particular investigation when an alternative would have been preferable</w:t>
      </w:r>
      <w:r>
        <w:t xml:space="preserve"> as it had greater benefit and less risk</w:t>
      </w:r>
    </w:p>
    <w:p w:rsidR="00664018" w:rsidRDefault="00664018" w:rsidP="00621722">
      <w:pPr>
        <w:pStyle w:val="Bullet"/>
      </w:pPr>
      <w:r>
        <w:t>for an i</w:t>
      </w:r>
      <w:r w:rsidRPr="005225EC">
        <w:t>nvestigation at the wrong time</w:t>
      </w:r>
    </w:p>
    <w:p w:rsidR="00621722" w:rsidRDefault="00664018" w:rsidP="00621722">
      <w:pPr>
        <w:pStyle w:val="Bullet"/>
      </w:pPr>
      <w:r>
        <w:t>for an i</w:t>
      </w:r>
      <w:r w:rsidRPr="005225EC">
        <w:t xml:space="preserve">nvestigation when none </w:t>
      </w:r>
      <w:r>
        <w:t>was</w:t>
      </w:r>
      <w:r w:rsidRPr="005225EC">
        <w:t xml:space="preserve"> needed (either </w:t>
      </w:r>
      <w:r>
        <w:t xml:space="preserve">there was </w:t>
      </w:r>
      <w:r w:rsidRPr="005225EC">
        <w:t xml:space="preserve">no relevant question to be </w:t>
      </w:r>
      <w:r>
        <w:t>a</w:t>
      </w:r>
      <w:r w:rsidRPr="005225EC">
        <w:t xml:space="preserve">nswered, </w:t>
      </w:r>
      <w:r>
        <w:t xml:space="preserve">there was </w:t>
      </w:r>
      <w:r w:rsidRPr="005225EC">
        <w:t xml:space="preserve">no change in diagnosis </w:t>
      </w:r>
      <w:r>
        <w:t xml:space="preserve">or </w:t>
      </w:r>
      <w:r w:rsidRPr="005225EC">
        <w:t>no management change would result)</w:t>
      </w:r>
      <w:r>
        <w:t>.</w:t>
      </w:r>
    </w:p>
    <w:p w:rsidR="00664018" w:rsidRPr="00927D2B" w:rsidRDefault="00664018" w:rsidP="00621722"/>
    <w:p w:rsidR="00664018" w:rsidRPr="00927D2B" w:rsidRDefault="00664018" w:rsidP="00621722">
      <w:r w:rsidRPr="00927D2B">
        <w:t>It is also inappropriate not to refer a patient for an investigation when they need one.</w:t>
      </w:r>
    </w:p>
    <w:p w:rsidR="00621722" w:rsidRDefault="00621722" w:rsidP="00621722"/>
    <w:p w:rsidR="00377AE5" w:rsidRDefault="00664018" w:rsidP="00621722">
      <w:pPr>
        <w:rPr>
          <w:highlight w:val="yellow"/>
        </w:rPr>
      </w:pPr>
      <w:r w:rsidRPr="00927D2B">
        <w:t xml:space="preserve">Indications for diagnostic imaging may not always be clear-cut; </w:t>
      </w:r>
      <w:r w:rsidR="00F16EEE">
        <w:t xml:space="preserve">primary </w:t>
      </w:r>
      <w:r w:rsidRPr="00927D2B">
        <w:t>health practitioners</w:t>
      </w:r>
      <w:r w:rsidR="00377AE5">
        <w:t xml:space="preserve"> </w:t>
      </w:r>
      <w:r w:rsidRPr="00927D2B">
        <w:t>should discuss</w:t>
      </w:r>
      <w:r w:rsidR="00377AE5">
        <w:t xml:space="preserve"> </w:t>
      </w:r>
      <w:r w:rsidRPr="00927D2B">
        <w:t>with radiologists or refer for clinical review relevant specialists where appropriate.</w:t>
      </w:r>
    </w:p>
    <w:p w:rsidR="00621722" w:rsidRDefault="00621722" w:rsidP="00621722">
      <w:pPr>
        <w:rPr>
          <w:rFonts w:eastAsia="Calibri"/>
        </w:rPr>
      </w:pPr>
    </w:p>
    <w:p w:rsidR="00377AE5" w:rsidRPr="00621722" w:rsidRDefault="00664018" w:rsidP="00621722">
      <w:pPr>
        <w:rPr>
          <w:rFonts w:eastAsia="Calibri"/>
        </w:rPr>
      </w:pPr>
      <w:r w:rsidRPr="00EA3602">
        <w:rPr>
          <w:rFonts w:eastAsia="Calibri"/>
        </w:rPr>
        <w:t>A useful investigation is one in which the result – positive or negative</w:t>
      </w:r>
      <w:r>
        <w:rPr>
          <w:rFonts w:eastAsia="Calibri"/>
        </w:rPr>
        <w:t xml:space="preserve"> </w:t>
      </w:r>
      <w:r w:rsidRPr="00EA3602">
        <w:rPr>
          <w:rFonts w:eastAsia="Calibri"/>
        </w:rPr>
        <w:t>– may alter management and improve the outcome for the patient. A significant number of radiological investigations do not fulfil these aims</w:t>
      </w:r>
      <w:r>
        <w:rPr>
          <w:rFonts w:eastAsia="Calibri"/>
        </w:rPr>
        <w:t>,</w:t>
      </w:r>
      <w:r w:rsidRPr="00EA3602">
        <w:rPr>
          <w:rFonts w:eastAsia="Calibri"/>
        </w:rPr>
        <w:t xml:space="preserve"> and may add unnecessarily to patient irradiation.</w:t>
      </w:r>
    </w:p>
    <w:p w:rsidR="00621722" w:rsidRDefault="00621722" w:rsidP="00621722">
      <w:pPr>
        <w:rPr>
          <w:rFonts w:eastAsia="Calibri"/>
        </w:rPr>
      </w:pPr>
    </w:p>
    <w:p w:rsidR="00621722" w:rsidRDefault="00664018" w:rsidP="00621722">
      <w:pPr>
        <w:rPr>
          <w:rFonts w:eastAsia="Calibri"/>
        </w:rPr>
      </w:pPr>
      <w:r w:rsidRPr="00927D2B">
        <w:rPr>
          <w:rFonts w:eastAsia="Calibri"/>
        </w:rPr>
        <w:t>Health practitioners should take particular care in considering whether to order tests that involve ionising radiation, especially in younger people.</w:t>
      </w:r>
    </w:p>
    <w:p w:rsidR="00621722" w:rsidRDefault="00621722" w:rsidP="00621722"/>
    <w:p w:rsidR="00621722" w:rsidRDefault="00664018" w:rsidP="00621722">
      <w:r w:rsidRPr="00EA3602">
        <w:t xml:space="preserve">A chest </w:t>
      </w:r>
      <w:r>
        <w:t>X</w:t>
      </w:r>
      <w:r w:rsidRPr="00EA3602">
        <w:t>-ray delivers approximately 0.04</w:t>
      </w:r>
      <w:r w:rsidR="00621722">
        <w:t> </w:t>
      </w:r>
      <w:r w:rsidRPr="00EA3602">
        <w:t xml:space="preserve">mSv </w:t>
      </w:r>
      <w:r>
        <w:t xml:space="preserve">– the equivalent of eight </w:t>
      </w:r>
      <w:r w:rsidRPr="00EA3602">
        <w:t>days of natural background radiation</w:t>
      </w:r>
      <w:r>
        <w:t>,</w:t>
      </w:r>
      <w:r w:rsidRPr="00EA3602">
        <w:t xml:space="preserve"> while a CT of the abdomen and pelvis is approximately 14</w:t>
      </w:r>
      <w:r w:rsidR="00621722">
        <w:t> </w:t>
      </w:r>
      <w:r w:rsidRPr="00EA3602">
        <w:t>mSv</w:t>
      </w:r>
      <w:r>
        <w:t>,</w:t>
      </w:r>
      <w:r w:rsidRPr="00EA3602">
        <w:t xml:space="preserve"> or </w:t>
      </w:r>
      <w:r>
        <w:t>ei</w:t>
      </w:r>
      <w:r w:rsidRPr="00EA3602">
        <w:t>ght years</w:t>
      </w:r>
      <w:r>
        <w:t xml:space="preserve"> of natural background radiation</w:t>
      </w:r>
      <w:r w:rsidRPr="00EA3602">
        <w:t>.</w:t>
      </w:r>
      <w:r>
        <w:t xml:space="preserve"> The Ministry expects all radiology providers to ensure their equipment and imaging protocols are kept up to date, to deliver radiation doses that are as low as practicably achievable.</w:t>
      </w:r>
    </w:p>
    <w:p w:rsidR="00621722" w:rsidRDefault="00621722" w:rsidP="00621722"/>
    <w:p w:rsidR="00621722" w:rsidRDefault="00664018" w:rsidP="00621722">
      <w:r>
        <w:t>The Ministry has developed the following principles to assist DHBs to establish effective demand management processes.</w:t>
      </w:r>
    </w:p>
    <w:p w:rsidR="00621722" w:rsidRDefault="00621722" w:rsidP="00621722"/>
    <w:p w:rsidR="00621722" w:rsidRDefault="00664018" w:rsidP="00F71B9D">
      <w:pPr>
        <w:pStyle w:val="Heading3"/>
      </w:pPr>
      <w:r w:rsidRPr="009A075A">
        <w:t>Local governance</w:t>
      </w:r>
    </w:p>
    <w:p w:rsidR="00621722" w:rsidRDefault="00664018" w:rsidP="00621722">
      <w:r>
        <w:t>District health boards should establish f</w:t>
      </w:r>
      <w:r w:rsidRPr="009A075A">
        <w:t xml:space="preserve">ormal local governance processes so that </w:t>
      </w:r>
      <w:r>
        <w:t xml:space="preserve">accountability for </w:t>
      </w:r>
      <w:r w:rsidRPr="009A075A">
        <w:t xml:space="preserve">managing the demand for community radiology referrals </w:t>
      </w:r>
      <w:r>
        <w:t xml:space="preserve">is clear and so that services can </w:t>
      </w:r>
      <w:r w:rsidRPr="009A075A">
        <w:t xml:space="preserve">maintain capacity and capability within budgets to the highest possible quality. </w:t>
      </w:r>
      <w:r>
        <w:t>The governance process should allow for f</w:t>
      </w:r>
      <w:r w:rsidRPr="009A075A">
        <w:t xml:space="preserve">eedback on </w:t>
      </w:r>
      <w:r>
        <w:t xml:space="preserve">performance </w:t>
      </w:r>
      <w:r w:rsidRPr="009A075A">
        <w:t xml:space="preserve">against the established guidelines and </w:t>
      </w:r>
      <w:r w:rsidR="00377AE5">
        <w:t>‘</w:t>
      </w:r>
      <w:r w:rsidRPr="009A075A">
        <w:t>fair</w:t>
      </w:r>
      <w:r w:rsidR="00377AE5">
        <w:t>’</w:t>
      </w:r>
      <w:r w:rsidRPr="009A075A">
        <w:t xml:space="preserve"> usage expectations.</w:t>
      </w:r>
    </w:p>
    <w:p w:rsidR="00621722" w:rsidRDefault="00621722" w:rsidP="00621722"/>
    <w:p w:rsidR="00621722" w:rsidRDefault="00F16EEE" w:rsidP="00F71B9D">
      <w:pPr>
        <w:pStyle w:val="Heading3"/>
      </w:pPr>
      <w:r>
        <w:t>M</w:t>
      </w:r>
      <w:r w:rsidR="00664018" w:rsidRPr="009A075A">
        <w:t>anag</w:t>
      </w:r>
      <w:r>
        <w:t>ing</w:t>
      </w:r>
      <w:r w:rsidR="00664018" w:rsidRPr="009A075A">
        <w:t xml:space="preserve"> </w:t>
      </w:r>
      <w:r w:rsidR="00664018">
        <w:t>b</w:t>
      </w:r>
      <w:r w:rsidR="00664018" w:rsidRPr="009A075A">
        <w:t>udgets</w:t>
      </w:r>
    </w:p>
    <w:p w:rsidR="00664018" w:rsidRPr="009A075A" w:rsidRDefault="00664018" w:rsidP="00621722">
      <w:r w:rsidRPr="009A075A">
        <w:t xml:space="preserve">All decision-makers (funders, providers and referrers) should </w:t>
      </w:r>
      <w:r>
        <w:t xml:space="preserve">regularly </w:t>
      </w:r>
      <w:r w:rsidRPr="009A075A">
        <w:t xml:space="preserve">assess budgets and volumes of referrals. </w:t>
      </w:r>
      <w:r>
        <w:t xml:space="preserve">In managing </w:t>
      </w:r>
      <w:r w:rsidRPr="009A075A">
        <w:t xml:space="preserve">community radiology </w:t>
      </w:r>
      <w:r>
        <w:t>budgets, DHBs should make use of a</w:t>
      </w:r>
      <w:r w:rsidRPr="009A075A">
        <w:t xml:space="preserve">lliancing arrangements, and </w:t>
      </w:r>
      <w:r>
        <w:t xml:space="preserve">make sure professions </w:t>
      </w:r>
      <w:r w:rsidRPr="009A075A">
        <w:t>formal</w:t>
      </w:r>
      <w:r>
        <w:t>ly</w:t>
      </w:r>
      <w:r w:rsidRPr="009A075A">
        <w:t xml:space="preserve"> shar</w:t>
      </w:r>
      <w:r>
        <w:t>e</w:t>
      </w:r>
      <w:r w:rsidRPr="009A075A">
        <w:t xml:space="preserve"> information on clinical management and budget decisions</w:t>
      </w:r>
      <w:r>
        <w:t>.</w:t>
      </w:r>
    </w:p>
    <w:p w:rsidR="00664018" w:rsidRDefault="00664018" w:rsidP="00621722"/>
    <w:p w:rsidR="00621722" w:rsidRDefault="00664018" w:rsidP="00F71B9D">
      <w:pPr>
        <w:pStyle w:val="Heading3"/>
      </w:pPr>
      <w:r w:rsidRPr="00927D2B">
        <w:t>Prior authorisation</w:t>
      </w:r>
    </w:p>
    <w:p w:rsidR="00621722" w:rsidRDefault="00664018" w:rsidP="00621722">
      <w:r>
        <w:t>Prior authorisation from a DHB radiologist or relevant clinical specialist should only be required for complex, or very high cost, or unusual cases, or when a referrer has a history of not following the agreed recommended clinical pathways.</w:t>
      </w:r>
    </w:p>
    <w:p w:rsidR="00621722" w:rsidRDefault="00621722" w:rsidP="00621722"/>
    <w:p w:rsidR="00621722" w:rsidRDefault="00664018" w:rsidP="00621722">
      <w:r>
        <w:t>District health boards should make nominated consultants available to provide primary care practitioners</w:t>
      </w:r>
      <w:r w:rsidR="00377AE5">
        <w:t xml:space="preserve"> </w:t>
      </w:r>
      <w:r>
        <w:t>with advice on case management.</w:t>
      </w:r>
    </w:p>
    <w:p w:rsidR="00621722" w:rsidRDefault="00621722" w:rsidP="00621722"/>
    <w:p w:rsidR="00621722" w:rsidRDefault="00664018" w:rsidP="00F71B9D">
      <w:pPr>
        <w:pStyle w:val="Heading3"/>
      </w:pPr>
      <w:r w:rsidRPr="00927D2B">
        <w:t>Clinical practice and ongoing education</w:t>
      </w:r>
    </w:p>
    <w:p w:rsidR="00621722" w:rsidRDefault="00664018" w:rsidP="00621722">
      <w:r w:rsidRPr="00B54820">
        <w:t xml:space="preserve">District health boards should undertake regular clinical audit, to facilitate a shared understanding of </w:t>
      </w:r>
      <w:r w:rsidR="00377AE5">
        <w:t>‘</w:t>
      </w:r>
      <w:r w:rsidRPr="00B54820">
        <w:t>reasonable practice</w:t>
      </w:r>
      <w:r w:rsidR="00377AE5">
        <w:t>’</w:t>
      </w:r>
      <w:r w:rsidRPr="00B54820">
        <w:t xml:space="preserve"> between all decision-makers. </w:t>
      </w:r>
      <w:r w:rsidRPr="0041502C">
        <w:t xml:space="preserve">They should offer </w:t>
      </w:r>
      <w:r w:rsidRPr="00B54820">
        <w:t>clinical education on the outcome of audits.</w:t>
      </w:r>
    </w:p>
    <w:p w:rsidR="00621722" w:rsidRDefault="00621722" w:rsidP="00621722"/>
    <w:p w:rsidR="00621722" w:rsidRDefault="00F16EEE" w:rsidP="007A0E56">
      <w:pPr>
        <w:pStyle w:val="Heading2"/>
      </w:pPr>
      <w:r>
        <w:t>L</w:t>
      </w:r>
      <w:r w:rsidR="00664018" w:rsidRPr="00927D2B">
        <w:t>egislative requirements of DHBs</w:t>
      </w:r>
    </w:p>
    <w:p w:rsidR="00621722" w:rsidRDefault="00664018" w:rsidP="00621722">
      <w:r>
        <w:t xml:space="preserve">The Ministry of Health requires </w:t>
      </w:r>
      <w:r w:rsidRPr="005B6943">
        <w:t>DHB</w:t>
      </w:r>
      <w:r>
        <w:t>s</w:t>
      </w:r>
      <w:r w:rsidR="00377AE5">
        <w:t>’</w:t>
      </w:r>
      <w:r w:rsidRPr="005B6943">
        <w:t xml:space="preserve"> </w:t>
      </w:r>
      <w:r>
        <w:t>a</w:t>
      </w:r>
      <w:r w:rsidRPr="005B6943">
        <w:t xml:space="preserve">nnual </w:t>
      </w:r>
      <w:r>
        <w:t>p</w:t>
      </w:r>
      <w:r w:rsidRPr="005B6943">
        <w:t>lan</w:t>
      </w:r>
      <w:r>
        <w:t xml:space="preserve">s </w:t>
      </w:r>
      <w:r w:rsidRPr="005B6943">
        <w:t xml:space="preserve">to ensure primary care services have direct access to a complete suite of X-rays and ultrasound </w:t>
      </w:r>
      <w:r>
        <w:t xml:space="preserve">services </w:t>
      </w:r>
      <w:r w:rsidRPr="005B6943">
        <w:t>(</w:t>
      </w:r>
      <w:r>
        <w:t xml:space="preserve">that is, </w:t>
      </w:r>
      <w:r w:rsidRPr="005B6943">
        <w:t>abdom</w:t>
      </w:r>
      <w:r>
        <w:t>en, pelvis, renal, small parts</w:t>
      </w:r>
      <w:r w:rsidR="009F5FE1">
        <w:t>,</w:t>
      </w:r>
      <w:r>
        <w:t xml:space="preserve"> d</w:t>
      </w:r>
      <w:r w:rsidRPr="009A075A">
        <w:t>eep venous thrombosis</w:t>
      </w:r>
      <w:r w:rsidRPr="005B6943">
        <w:t xml:space="preserve"> and musculoskeletal).</w:t>
      </w:r>
    </w:p>
    <w:p w:rsidR="00621722" w:rsidRDefault="00621722" w:rsidP="00621722"/>
    <w:p w:rsidR="00377AE5" w:rsidRDefault="00664018" w:rsidP="00621722">
      <w:r>
        <w:t xml:space="preserve">The Ministry also </w:t>
      </w:r>
      <w:r w:rsidRPr="005B6943">
        <w:t>expect</w:t>
      </w:r>
      <w:r>
        <w:t>s</w:t>
      </w:r>
      <w:r w:rsidRPr="005B6943">
        <w:t xml:space="preserve"> DHBs </w:t>
      </w:r>
      <w:r w:rsidR="009F5FE1">
        <w:t xml:space="preserve">to </w:t>
      </w:r>
      <w:r w:rsidRPr="005B6943">
        <w:t xml:space="preserve">provide </w:t>
      </w:r>
      <w:r>
        <w:t>mammography and fluoroscopy services; h</w:t>
      </w:r>
      <w:r w:rsidRPr="005B6943">
        <w:t>owever</w:t>
      </w:r>
      <w:r>
        <w:t>,</w:t>
      </w:r>
      <w:r w:rsidRPr="005B6943">
        <w:t xml:space="preserve"> these </w:t>
      </w:r>
      <w:r w:rsidR="00621722">
        <w:t>c</w:t>
      </w:r>
      <w:r>
        <w:t xml:space="preserve">riteria do not apply to those services </w:t>
      </w:r>
      <w:r w:rsidRPr="005B6943">
        <w:t xml:space="preserve">as service models and resource availability </w:t>
      </w:r>
      <w:r>
        <w:t>for them vary across the country</w:t>
      </w:r>
      <w:r w:rsidRPr="005B6943">
        <w:t>.</w:t>
      </w:r>
      <w:r>
        <w:t xml:space="preserve"> Service provision of local nuclear medicine, double energy X-ray absorption and magnetic resonance imaging currently varies. This document does not specify minimum access criteria for these modalities; however, subsequent versions may do so.</w:t>
      </w:r>
    </w:p>
    <w:p w:rsidR="00621722" w:rsidRDefault="00621722" w:rsidP="00621722"/>
    <w:p w:rsidR="00664018" w:rsidRDefault="00664018" w:rsidP="00621722">
      <w:r>
        <w:t xml:space="preserve">These </w:t>
      </w:r>
      <w:r w:rsidR="00621722">
        <w:t>c</w:t>
      </w:r>
      <w:r>
        <w:t xml:space="preserve">riteria </w:t>
      </w:r>
      <w:r w:rsidRPr="000B21D5">
        <w:t xml:space="preserve">fulfil the requirements </w:t>
      </w:r>
      <w:r>
        <w:t>of</w:t>
      </w:r>
      <w:r w:rsidRPr="000B21D5">
        <w:t xml:space="preserve"> the National Community Radiology </w:t>
      </w:r>
      <w:r>
        <w:t xml:space="preserve">Service </w:t>
      </w:r>
      <w:r w:rsidRPr="000B21D5">
        <w:t>Specifications</w:t>
      </w:r>
      <w:r>
        <w:t>, which require</w:t>
      </w:r>
      <w:r w:rsidRPr="000B21D5">
        <w:t xml:space="preserve"> DHBs to </w:t>
      </w:r>
      <w:r>
        <w:t xml:space="preserve">define access criteria </w:t>
      </w:r>
      <w:r w:rsidRPr="000B21D5">
        <w:t xml:space="preserve">and </w:t>
      </w:r>
      <w:r>
        <w:t xml:space="preserve">expected </w:t>
      </w:r>
      <w:r w:rsidRPr="000B21D5">
        <w:t>waiting times for diagnostic imaging</w:t>
      </w:r>
      <w:r>
        <w:t xml:space="preserve">. (These </w:t>
      </w:r>
      <w:r w:rsidR="00F44B87">
        <w:t>s</w:t>
      </w:r>
      <w:r>
        <w:t xml:space="preserve">ervice </w:t>
      </w:r>
      <w:r w:rsidR="00F44B87">
        <w:t>s</w:t>
      </w:r>
      <w:r>
        <w:t>pecifications are due to be updated, but this requirement is expected to remain.)</w:t>
      </w:r>
    </w:p>
    <w:p w:rsidR="00621722" w:rsidRDefault="00621722" w:rsidP="00F44B87"/>
    <w:p w:rsidR="00621722" w:rsidRDefault="00621722" w:rsidP="00F44B87">
      <w:r>
        <w:br w:type="page"/>
      </w:r>
    </w:p>
    <w:p w:rsidR="00377AE5" w:rsidRDefault="00F16EEE" w:rsidP="00FD5C06">
      <w:pPr>
        <w:pStyle w:val="Heading1"/>
      </w:pPr>
      <w:bookmarkStart w:id="12" w:name="_Toc408998583"/>
      <w:bookmarkEnd w:id="10"/>
      <w:bookmarkEnd w:id="11"/>
      <w:r>
        <w:t>C</w:t>
      </w:r>
      <w:r w:rsidR="00664018" w:rsidRPr="00EC4623">
        <w:t>riteria</w:t>
      </w:r>
      <w:r>
        <w:t xml:space="preserve"> for access to radiology</w:t>
      </w:r>
      <w:bookmarkEnd w:id="12"/>
    </w:p>
    <w:p w:rsidR="00664018" w:rsidRDefault="00664018" w:rsidP="00FD5C06">
      <w:r>
        <w:t>The following pages outline community radiology access criteria. The criteria indicate when imaging is indicated and when it is not indicated, and provide guidance for referrers, under the following headings:</w:t>
      </w:r>
    </w:p>
    <w:p w:rsidR="00664018" w:rsidRDefault="00664018" w:rsidP="00FD5C06">
      <w:pPr>
        <w:pStyle w:val="Bullet"/>
      </w:pPr>
      <w:r>
        <w:t>X-ray</w:t>
      </w:r>
    </w:p>
    <w:p w:rsidR="00664018" w:rsidRDefault="00664018" w:rsidP="00FD5C06">
      <w:pPr>
        <w:pStyle w:val="Bullet"/>
      </w:pPr>
      <w:r>
        <w:t>ultrasound</w:t>
      </w:r>
    </w:p>
    <w:p w:rsidR="00664018" w:rsidRDefault="00664018" w:rsidP="00FD5C06">
      <w:pPr>
        <w:pStyle w:val="Bullet"/>
      </w:pPr>
      <w:r>
        <w:t>CT scans</w:t>
      </w:r>
    </w:p>
    <w:p w:rsidR="00FD5C06" w:rsidRDefault="00664018" w:rsidP="00FD5C06">
      <w:pPr>
        <w:pStyle w:val="Bullet"/>
      </w:pPr>
      <w:r>
        <w:t>paediatric imaging.</w:t>
      </w:r>
    </w:p>
    <w:p w:rsidR="00664018" w:rsidRDefault="00664018" w:rsidP="00FD5C06"/>
    <w:p w:rsidR="00FD5C06" w:rsidRDefault="00FD5C06" w:rsidP="00FD5C06">
      <w:pPr>
        <w:pStyle w:val="Heading2"/>
      </w:pPr>
      <w:bookmarkStart w:id="13" w:name="_Toc408998584"/>
      <w:r>
        <w:t>X-ray</w:t>
      </w:r>
      <w:bookmarkEnd w:id="13"/>
    </w:p>
    <w:p w:rsidR="00664018" w:rsidRPr="002C5E2B" w:rsidRDefault="00664018" w:rsidP="00FD5C06">
      <w:pPr>
        <w:pStyle w:val="Heading3"/>
      </w:pPr>
      <w:r w:rsidRPr="002C5E2B">
        <w:t>Abdomen</w:t>
      </w:r>
    </w:p>
    <w:p w:rsidR="00664018" w:rsidRPr="00EC4623" w:rsidRDefault="00664018" w:rsidP="00FD5C06">
      <w:r w:rsidRPr="00EC4623">
        <w:t xml:space="preserve">Standard indications for </w:t>
      </w:r>
      <w:r>
        <w:t>X</w:t>
      </w:r>
      <w:r w:rsidRPr="00EC4623">
        <w:t>-ray referral</w:t>
      </w:r>
      <w:r>
        <w:t>:</w:t>
      </w:r>
    </w:p>
    <w:p w:rsidR="00664018" w:rsidRPr="00EC4623" w:rsidRDefault="00664018" w:rsidP="00FD5C06">
      <w:pPr>
        <w:pStyle w:val="Bullet"/>
      </w:pPr>
      <w:r>
        <w:t>d</w:t>
      </w:r>
      <w:r w:rsidRPr="00EC4623">
        <w:t xml:space="preserve">iagnosis of constipation where patient history is unobtainable </w:t>
      </w:r>
      <w:r>
        <w:t>(</w:t>
      </w:r>
      <w:r w:rsidRPr="00EC4623">
        <w:t>eg</w:t>
      </w:r>
      <w:r>
        <w:t>,</w:t>
      </w:r>
      <w:r w:rsidR="00223DAB">
        <w:t xml:space="preserve"> </w:t>
      </w:r>
      <w:r>
        <w:t>patient with</w:t>
      </w:r>
      <w:r w:rsidR="00377AE5">
        <w:t xml:space="preserve"> </w:t>
      </w:r>
      <w:r w:rsidRPr="00EC4623">
        <w:t>autism</w:t>
      </w:r>
      <w:r>
        <w:t xml:space="preserve"> or</w:t>
      </w:r>
      <w:r w:rsidR="00377AE5">
        <w:t xml:space="preserve"> </w:t>
      </w:r>
      <w:r w:rsidRPr="00EC4623">
        <w:t>special needs</w:t>
      </w:r>
      <w:r>
        <w:t>)</w:t>
      </w:r>
    </w:p>
    <w:p w:rsidR="00377AE5" w:rsidRDefault="00664018" w:rsidP="00FD5C06">
      <w:pPr>
        <w:pStyle w:val="Bullet"/>
      </w:pPr>
      <w:r>
        <w:t>f</w:t>
      </w:r>
      <w:r w:rsidRPr="009A075A">
        <w:t>ollow</w:t>
      </w:r>
      <w:r>
        <w:t>-</w:t>
      </w:r>
      <w:r w:rsidRPr="009A075A">
        <w:t xml:space="preserve">up of </w:t>
      </w:r>
      <w:r>
        <w:t xml:space="preserve">radio-opaque (ie, evident on CT scout view) </w:t>
      </w:r>
      <w:r w:rsidRPr="00EC4623">
        <w:t>renal</w:t>
      </w:r>
      <w:r>
        <w:t xml:space="preserve"> tract</w:t>
      </w:r>
      <w:r w:rsidRPr="00EC4623">
        <w:t xml:space="preserve"> stones with a </w:t>
      </w:r>
      <w:r>
        <w:t>k</w:t>
      </w:r>
      <w:r w:rsidRPr="009A075A">
        <w:t xml:space="preserve">idney, </w:t>
      </w:r>
      <w:r>
        <w:t>u</w:t>
      </w:r>
      <w:r w:rsidRPr="009A075A">
        <w:t xml:space="preserve">reter, </w:t>
      </w:r>
      <w:r>
        <w:t>b</w:t>
      </w:r>
      <w:r w:rsidRPr="009A075A">
        <w:t xml:space="preserve">ladder </w:t>
      </w:r>
      <w:r>
        <w:t>(</w:t>
      </w:r>
      <w:r w:rsidRPr="00EC4623">
        <w:t>KUB</w:t>
      </w:r>
      <w:r>
        <w:t>)</w:t>
      </w:r>
      <w:r w:rsidRPr="00EC4623">
        <w:t xml:space="preserve"> </w:t>
      </w:r>
      <w:r>
        <w:t>X</w:t>
      </w:r>
      <w:r w:rsidRPr="00EC4623">
        <w:t>-ray</w:t>
      </w:r>
    </w:p>
    <w:p w:rsidR="00377AE5" w:rsidRDefault="00664018" w:rsidP="00FD5C06">
      <w:pPr>
        <w:pStyle w:val="Bullet"/>
        <w:rPr>
          <w:color w:val="000000"/>
        </w:rPr>
      </w:pPr>
      <w:r>
        <w:rPr>
          <w:color w:val="000000"/>
        </w:rPr>
        <w:t>s</w:t>
      </w:r>
      <w:r w:rsidRPr="00EC4623">
        <w:rPr>
          <w:color w:val="000000"/>
        </w:rPr>
        <w:t>uspected renal tract stone according to local renal colic pathway criteria, where CT KUB is unavailable.</w:t>
      </w:r>
    </w:p>
    <w:p w:rsidR="00664018" w:rsidRDefault="00664018" w:rsidP="00FD5C06"/>
    <w:p w:rsidR="00664018" w:rsidRPr="00EC4623" w:rsidRDefault="00664018" w:rsidP="00FD5C06">
      <w:r w:rsidRPr="00EC4623">
        <w:t xml:space="preserve">Referral for community </w:t>
      </w:r>
      <w:r>
        <w:t>X</w:t>
      </w:r>
      <w:r w:rsidRPr="00EC4623">
        <w:t>-ray not typically indicated</w:t>
      </w:r>
      <w:r>
        <w:t>:</w:t>
      </w:r>
    </w:p>
    <w:p w:rsidR="00377AE5" w:rsidRDefault="00664018" w:rsidP="00FD5C06">
      <w:pPr>
        <w:pStyle w:val="Bullet"/>
      </w:pPr>
      <w:r>
        <w:t>a</w:t>
      </w:r>
      <w:r w:rsidRPr="00EC4623">
        <w:t xml:space="preserve">cute abdomen: </w:t>
      </w:r>
      <w:r>
        <w:t>d</w:t>
      </w:r>
      <w:r w:rsidRPr="00EC4623">
        <w:t xml:space="preserve">iscuss </w:t>
      </w:r>
      <w:r w:rsidRPr="009A075A">
        <w:t>with acute surgical services or emergency services</w:t>
      </w:r>
    </w:p>
    <w:p w:rsidR="00664018" w:rsidRPr="009A075A" w:rsidRDefault="00664018" w:rsidP="00FD5C06">
      <w:pPr>
        <w:pStyle w:val="Bullet"/>
      </w:pPr>
      <w:r>
        <w:t>v</w:t>
      </w:r>
      <w:r w:rsidRPr="009A075A">
        <w:t>ague central abdominal pain</w:t>
      </w:r>
    </w:p>
    <w:p w:rsidR="00664018" w:rsidRPr="009A075A" w:rsidRDefault="00664018" w:rsidP="00FD5C06">
      <w:pPr>
        <w:pStyle w:val="Bullet"/>
      </w:pPr>
      <w:r>
        <w:t>s</w:t>
      </w:r>
      <w:r w:rsidRPr="009A075A">
        <w:t>uspected colorectal neoplasm (refer to colorectal cancer guidelines)</w:t>
      </w:r>
    </w:p>
    <w:p w:rsidR="00664018" w:rsidRPr="00FD5C06" w:rsidRDefault="00664018" w:rsidP="00FD5C06">
      <w:pPr>
        <w:pStyle w:val="Bullet"/>
      </w:pPr>
      <w:r>
        <w:t>s</w:t>
      </w:r>
      <w:r w:rsidRPr="009A075A">
        <w:t>uspected constipation (other than in specific patient groups as above).</w:t>
      </w:r>
    </w:p>
    <w:p w:rsidR="00664018" w:rsidRPr="009A075A" w:rsidRDefault="00664018" w:rsidP="00FD5C06"/>
    <w:p w:rsidR="00664018" w:rsidRPr="002C5E2B" w:rsidRDefault="00664018" w:rsidP="00FD5C06">
      <w:pPr>
        <w:pStyle w:val="Heading3"/>
      </w:pPr>
      <w:r w:rsidRPr="009A075A">
        <w:t>Ankle</w:t>
      </w:r>
    </w:p>
    <w:p w:rsidR="00664018" w:rsidRPr="009A075A" w:rsidRDefault="00664018" w:rsidP="00FD5C06">
      <w:r w:rsidRPr="009A075A">
        <w:t xml:space="preserve">Standard indications for </w:t>
      </w:r>
      <w:r>
        <w:t>X</w:t>
      </w:r>
      <w:r w:rsidRPr="009A075A">
        <w:t>-ray referral</w:t>
      </w:r>
      <w:r>
        <w:t>:</w:t>
      </w:r>
    </w:p>
    <w:p w:rsidR="00664018" w:rsidRPr="009A075A" w:rsidRDefault="00664018" w:rsidP="00FD5C06">
      <w:pPr>
        <w:pStyle w:val="Bullet"/>
      </w:pPr>
      <w:r>
        <w:t>u</w:t>
      </w:r>
      <w:r w:rsidRPr="009A075A">
        <w:t xml:space="preserve">ndiagnosed pain present </w:t>
      </w:r>
      <w:r w:rsidR="00DA7367">
        <w:t xml:space="preserve">more </w:t>
      </w:r>
      <w:r w:rsidR="00FD5C06">
        <w:t xml:space="preserve">than four </w:t>
      </w:r>
      <w:r w:rsidRPr="009A075A">
        <w:t xml:space="preserve">weeks where the </w:t>
      </w:r>
      <w:r>
        <w:t>X</w:t>
      </w:r>
      <w:r w:rsidRPr="009A075A">
        <w:t>-ray is expected to change management</w:t>
      </w:r>
    </w:p>
    <w:p w:rsidR="00664018" w:rsidRPr="009A075A" w:rsidRDefault="00664018" w:rsidP="00FD5C06">
      <w:pPr>
        <w:pStyle w:val="Bullet"/>
      </w:pPr>
      <w:r>
        <w:t>a</w:t>
      </w:r>
      <w:r w:rsidRPr="009A075A">
        <w:t>nkle pain with red flags</w:t>
      </w:r>
    </w:p>
    <w:p w:rsidR="00664018" w:rsidRPr="009A075A" w:rsidRDefault="00664018" w:rsidP="00FD5C06">
      <w:pPr>
        <w:pStyle w:val="Bullet"/>
      </w:pPr>
      <w:r>
        <w:t>k</w:t>
      </w:r>
      <w:r w:rsidRPr="009A075A">
        <w:t xml:space="preserve">nown osteoarthritis with symptoms meeting local criteria for surgical consideration (not required if previously </w:t>
      </w:r>
      <w:r>
        <w:t>X</w:t>
      </w:r>
      <w:r w:rsidRPr="009A075A">
        <w:t xml:space="preserve">-rayed within </w:t>
      </w:r>
      <w:r>
        <w:t>six</w:t>
      </w:r>
      <w:r w:rsidRPr="009A075A">
        <w:t xml:space="preserve"> months)</w:t>
      </w:r>
    </w:p>
    <w:p w:rsidR="00664018" w:rsidRDefault="00664018" w:rsidP="00FD5C06">
      <w:pPr>
        <w:pStyle w:val="Bullet"/>
      </w:pPr>
      <w:r>
        <w:t>p</w:t>
      </w:r>
      <w:r w:rsidRPr="009A075A">
        <w:t>ain in previous arth</w:t>
      </w:r>
      <w:r>
        <w:t>r</w:t>
      </w:r>
      <w:r w:rsidRPr="009A075A">
        <w:t>oplasty</w:t>
      </w:r>
    </w:p>
    <w:p w:rsidR="00664018" w:rsidRDefault="00664018" w:rsidP="00FD5C06">
      <w:pPr>
        <w:pStyle w:val="Bullet"/>
      </w:pPr>
      <w:r>
        <w:t>swelling, deformity or mass near the joint</w:t>
      </w:r>
      <w:r w:rsidRPr="009A075A">
        <w:t>.</w:t>
      </w:r>
    </w:p>
    <w:p w:rsidR="00FD5C06" w:rsidRDefault="00FD5C06" w:rsidP="00FD5C06"/>
    <w:p w:rsidR="00664018" w:rsidRPr="009A075A" w:rsidRDefault="00664018" w:rsidP="00FD5C06">
      <w:pPr>
        <w:keepNext/>
      </w:pPr>
      <w:r w:rsidRPr="009A075A">
        <w:t>Red flags include:</w:t>
      </w:r>
    </w:p>
    <w:p w:rsidR="00664018" w:rsidRPr="009A075A" w:rsidRDefault="00664018" w:rsidP="00FD5C06">
      <w:pPr>
        <w:pStyle w:val="Bullet"/>
        <w:keepNext/>
      </w:pPr>
      <w:r>
        <w:t>p</w:t>
      </w:r>
      <w:r w:rsidRPr="009A075A">
        <w:t>ersistent deep pain unrelated to activity</w:t>
      </w:r>
    </w:p>
    <w:p w:rsidR="00664018" w:rsidRPr="009A075A" w:rsidRDefault="00664018" w:rsidP="00FD5C06">
      <w:pPr>
        <w:pStyle w:val="Bullet"/>
      </w:pPr>
      <w:r>
        <w:t>n</w:t>
      </w:r>
      <w:r w:rsidRPr="009A075A">
        <w:t xml:space="preserve">ight pain in the absence of </w:t>
      </w:r>
      <w:r>
        <w:t xml:space="preserve">an </w:t>
      </w:r>
      <w:r w:rsidRPr="009A075A">
        <w:t>obvious cause</w:t>
      </w:r>
      <w:r>
        <w:t>.</w:t>
      </w:r>
    </w:p>
    <w:p w:rsidR="00664018" w:rsidRDefault="00664018" w:rsidP="00FD5C06"/>
    <w:p w:rsidR="00664018" w:rsidRPr="009A075A" w:rsidRDefault="00664018" w:rsidP="00FD5C06">
      <w:r w:rsidRPr="009A075A">
        <w:t xml:space="preserve">Referral for community </w:t>
      </w:r>
      <w:r>
        <w:t>X</w:t>
      </w:r>
      <w:r w:rsidRPr="009A075A">
        <w:t>-ray not typically indicated</w:t>
      </w:r>
      <w:r>
        <w:t>:</w:t>
      </w:r>
    </w:p>
    <w:p w:rsidR="00664018" w:rsidRPr="009A075A" w:rsidRDefault="00664018" w:rsidP="00FD5C06">
      <w:pPr>
        <w:pStyle w:val="Bullet"/>
        <w:rPr>
          <w:rFonts w:cs="Arial"/>
        </w:rPr>
      </w:pPr>
      <w:r>
        <w:rPr>
          <w:rFonts w:cs="Arial"/>
        </w:rPr>
        <w:t>s</w:t>
      </w:r>
      <w:r w:rsidRPr="009A075A">
        <w:rPr>
          <w:rFonts w:cs="Arial"/>
        </w:rPr>
        <w:t>uspected septic joint: refer for acute review</w:t>
      </w:r>
      <w:r w:rsidR="00377AE5">
        <w:rPr>
          <w:rFonts w:cs="Arial"/>
        </w:rPr>
        <w:t xml:space="preserve"> </w:t>
      </w:r>
      <w:r>
        <w:t>at emergency department or orthopaedic department</w:t>
      </w:r>
    </w:p>
    <w:p w:rsidR="00664018" w:rsidRPr="009A075A" w:rsidRDefault="00664018" w:rsidP="00FD5C06">
      <w:pPr>
        <w:pStyle w:val="Bullet"/>
        <w:rPr>
          <w:rFonts w:cs="Arial"/>
        </w:rPr>
      </w:pPr>
      <w:r>
        <w:rPr>
          <w:rFonts w:cs="Arial"/>
        </w:rPr>
        <w:t>a</w:t>
      </w:r>
      <w:r w:rsidRPr="009A075A">
        <w:rPr>
          <w:rFonts w:cs="Arial"/>
        </w:rPr>
        <w:t>cute gout.</w:t>
      </w:r>
    </w:p>
    <w:p w:rsidR="00664018" w:rsidRDefault="00664018" w:rsidP="00FD5C06"/>
    <w:p w:rsidR="00664018" w:rsidRPr="00FD5C06" w:rsidRDefault="00664018" w:rsidP="00FD5C06">
      <w:pPr>
        <w:pStyle w:val="Heading3"/>
      </w:pPr>
      <w:r w:rsidRPr="009A075A">
        <w:t>Chest</w:t>
      </w:r>
    </w:p>
    <w:p w:rsidR="00664018" w:rsidRPr="009A075A" w:rsidRDefault="00664018" w:rsidP="00FD5C06">
      <w:r w:rsidRPr="009A075A">
        <w:t xml:space="preserve">Standard indications for </w:t>
      </w:r>
      <w:r>
        <w:t>X</w:t>
      </w:r>
      <w:r w:rsidRPr="009A075A">
        <w:t>-ray referral</w:t>
      </w:r>
      <w:r>
        <w:t>:</w:t>
      </w:r>
    </w:p>
    <w:p w:rsidR="00664018" w:rsidRPr="00FD5C06" w:rsidRDefault="00664018" w:rsidP="00FD5C06">
      <w:pPr>
        <w:pStyle w:val="Bullet"/>
      </w:pPr>
      <w:r>
        <w:t>X</w:t>
      </w:r>
      <w:r w:rsidRPr="009A075A">
        <w:t>-ray result will change patient management.</w:t>
      </w:r>
    </w:p>
    <w:p w:rsidR="00FD5C06" w:rsidRDefault="00FD5C06" w:rsidP="00FD5C06"/>
    <w:p w:rsidR="00664018" w:rsidRPr="009A075A" w:rsidRDefault="00664018" w:rsidP="00FD5C06">
      <w:r w:rsidRPr="009A075A">
        <w:t xml:space="preserve">Referral for community </w:t>
      </w:r>
      <w:r>
        <w:t>X</w:t>
      </w:r>
      <w:r w:rsidRPr="009A075A">
        <w:t>-ray not typically indicated</w:t>
      </w:r>
      <w:r>
        <w:t>:</w:t>
      </w:r>
    </w:p>
    <w:p w:rsidR="00377AE5" w:rsidRDefault="00664018" w:rsidP="00FD5C06">
      <w:pPr>
        <w:pStyle w:val="Bullet"/>
      </w:pPr>
      <w:r>
        <w:t>screening for lung cancer in asymptomatic patient</w:t>
      </w:r>
    </w:p>
    <w:p w:rsidR="00377AE5" w:rsidRDefault="00664018" w:rsidP="00FD5C06">
      <w:pPr>
        <w:pStyle w:val="Bullet"/>
      </w:pPr>
      <w:r>
        <w:t>p</w:t>
      </w:r>
      <w:r w:rsidRPr="009A075A">
        <w:t>neumonia doesn</w:t>
      </w:r>
      <w:r w:rsidR="00377AE5">
        <w:t>’</w:t>
      </w:r>
      <w:r w:rsidRPr="009A075A">
        <w:t xml:space="preserve">t require routine </w:t>
      </w:r>
      <w:r>
        <w:t>chest X-ray (</w:t>
      </w:r>
      <w:r w:rsidRPr="009A075A">
        <w:t>CXR</w:t>
      </w:r>
      <w:r>
        <w:t>)</w:t>
      </w:r>
      <w:r w:rsidRPr="009A075A">
        <w:t xml:space="preserve"> follow</w:t>
      </w:r>
      <w:r>
        <w:t>-</w:t>
      </w:r>
      <w:r w:rsidRPr="009A075A">
        <w:t>up unless there are risk factors or red flags</w:t>
      </w:r>
      <w:r>
        <w:t>,</w:t>
      </w:r>
      <w:r w:rsidRPr="009A075A">
        <w:t xml:space="preserve"> including age</w:t>
      </w:r>
      <w:r>
        <w:t xml:space="preserve"> </w:t>
      </w:r>
      <w:r w:rsidRPr="009A075A">
        <w:t>&gt;</w:t>
      </w:r>
      <w:r w:rsidR="00FD5C06">
        <w:t> </w:t>
      </w:r>
      <w:r w:rsidRPr="009A075A">
        <w:t>50</w:t>
      </w:r>
      <w:r w:rsidR="00FD5C06">
        <w:t> </w:t>
      </w:r>
      <w:r w:rsidRPr="009A075A">
        <w:t xml:space="preserve">years, </w:t>
      </w:r>
      <w:r>
        <w:t xml:space="preserve">significant smoking history, </w:t>
      </w:r>
      <w:r w:rsidRPr="009A075A">
        <w:t xml:space="preserve">suspicious radiologic findings on initial CXR or incomplete clinical resolution at </w:t>
      </w:r>
      <w:r>
        <w:t>six</w:t>
      </w:r>
      <w:r w:rsidRPr="009A075A">
        <w:t xml:space="preserve"> weeks (this is a guideline only </w:t>
      </w:r>
      <w:r>
        <w:t xml:space="preserve">– </w:t>
      </w:r>
      <w:r w:rsidRPr="009A075A">
        <w:t xml:space="preserve">there may be local pathways </w:t>
      </w:r>
      <w:r>
        <w:t xml:space="preserve">that </w:t>
      </w:r>
      <w:r w:rsidRPr="009A075A">
        <w:t>apply)</w:t>
      </w:r>
      <w:r w:rsidR="008902E2" w:rsidRPr="00910A28">
        <w:rPr>
          <w:vertAlign w:val="superscript"/>
        </w:rPr>
        <w:t xml:space="preserve"> </w:t>
      </w:r>
      <w:r w:rsidRPr="00910A28">
        <w:rPr>
          <w:vertAlign w:val="superscript"/>
        </w:rPr>
        <w:t>1</w:t>
      </w:r>
    </w:p>
    <w:p w:rsidR="00664018" w:rsidRPr="009A075A" w:rsidRDefault="00664018" w:rsidP="00FD5C06">
      <w:pPr>
        <w:pStyle w:val="Bullet"/>
      </w:pPr>
      <w:r>
        <w:t>r</w:t>
      </w:r>
      <w:r w:rsidRPr="009A075A">
        <w:t>outine assessment of hypertension</w:t>
      </w:r>
    </w:p>
    <w:p w:rsidR="00664018" w:rsidRPr="009A075A" w:rsidRDefault="00664018" w:rsidP="00FD5C06">
      <w:pPr>
        <w:pStyle w:val="Bullet"/>
      </w:pPr>
      <w:r>
        <w:t>r</w:t>
      </w:r>
      <w:r w:rsidRPr="009A075A">
        <w:t>outine monitoring of known pulmonary sarcoidosis</w:t>
      </w:r>
    </w:p>
    <w:p w:rsidR="00664018" w:rsidRPr="009A075A" w:rsidRDefault="00664018" w:rsidP="00FD5C06">
      <w:pPr>
        <w:pStyle w:val="Bullet"/>
      </w:pPr>
      <w:r>
        <w:t>r</w:t>
      </w:r>
      <w:r w:rsidRPr="009A075A">
        <w:t xml:space="preserve">outine </w:t>
      </w:r>
      <w:r>
        <w:t>X</w:t>
      </w:r>
      <w:r w:rsidRPr="009A075A">
        <w:t>-ray for asbestos exposure surveillance</w:t>
      </w:r>
    </w:p>
    <w:p w:rsidR="00664018" w:rsidRPr="009A075A" w:rsidRDefault="00664018" w:rsidP="00FD5C06">
      <w:pPr>
        <w:pStyle w:val="Bullet"/>
      </w:pPr>
      <w:r>
        <w:t>f</w:t>
      </w:r>
      <w:r w:rsidRPr="009A075A">
        <w:t xml:space="preserve">ollow-up of nodules detected on chest </w:t>
      </w:r>
      <w:r>
        <w:t>X</w:t>
      </w:r>
      <w:r w:rsidRPr="009A075A">
        <w:t>-ray or CT other than where recommended by reporting or reviewing specialist (consider referral for respiratory specialist review)</w:t>
      </w:r>
    </w:p>
    <w:p w:rsidR="00664018" w:rsidRPr="009A075A" w:rsidRDefault="00664018" w:rsidP="00FD5C06">
      <w:pPr>
        <w:pStyle w:val="Bullet"/>
      </w:pPr>
      <w:r>
        <w:t>i</w:t>
      </w:r>
      <w:r w:rsidRPr="009A075A">
        <w:t>nitial investigation of heart murmur, unless signs of complications such as heart failure</w:t>
      </w:r>
    </w:p>
    <w:p w:rsidR="00664018" w:rsidRPr="00E55000" w:rsidRDefault="00664018" w:rsidP="00FD5C06">
      <w:pPr>
        <w:pStyle w:val="Bullet"/>
      </w:pPr>
      <w:r>
        <w:t>r</w:t>
      </w:r>
      <w:r w:rsidRPr="00E55000">
        <w:t>outine follow-up of asymptomatic patients on amiodarone.</w:t>
      </w:r>
    </w:p>
    <w:p w:rsidR="00664018" w:rsidRDefault="00664018" w:rsidP="00FD5C06"/>
    <w:p w:rsidR="00377AE5" w:rsidRDefault="00664018" w:rsidP="00FD5C06">
      <w:pPr>
        <w:pStyle w:val="Heading3"/>
      </w:pPr>
      <w:r w:rsidRPr="009A075A">
        <w:t>Elbow</w:t>
      </w:r>
    </w:p>
    <w:p w:rsidR="00664018" w:rsidRPr="009A075A" w:rsidRDefault="00664018" w:rsidP="00FD5C06">
      <w:r w:rsidRPr="009A075A">
        <w:t xml:space="preserve">Standard indications for </w:t>
      </w:r>
      <w:r>
        <w:t>X</w:t>
      </w:r>
      <w:r w:rsidRPr="009A075A">
        <w:t>-ray referral</w:t>
      </w:r>
      <w:r>
        <w:t>:</w:t>
      </w:r>
    </w:p>
    <w:p w:rsidR="00664018" w:rsidRPr="009A075A" w:rsidRDefault="00664018" w:rsidP="00FD5C06">
      <w:pPr>
        <w:pStyle w:val="Bullet"/>
      </w:pPr>
      <w:r>
        <w:t>u</w:t>
      </w:r>
      <w:r w:rsidRPr="009A075A">
        <w:t xml:space="preserve">ndiagnosed pain present </w:t>
      </w:r>
      <w:r w:rsidR="00DA7367">
        <w:t xml:space="preserve">more </w:t>
      </w:r>
      <w:r w:rsidR="00FD5C06">
        <w:t xml:space="preserve">than </w:t>
      </w:r>
      <w:r>
        <w:t>four</w:t>
      </w:r>
      <w:r w:rsidRPr="009A075A">
        <w:t xml:space="preserve"> weeks where the </w:t>
      </w:r>
      <w:r>
        <w:t>X</w:t>
      </w:r>
      <w:r w:rsidRPr="009A075A">
        <w:t>-ray is expected to change management</w:t>
      </w:r>
    </w:p>
    <w:p w:rsidR="00664018" w:rsidRPr="009A075A" w:rsidRDefault="00664018" w:rsidP="00FD5C06">
      <w:pPr>
        <w:pStyle w:val="Bullet"/>
      </w:pPr>
      <w:r>
        <w:t>e</w:t>
      </w:r>
      <w:r w:rsidRPr="009A075A">
        <w:t>lbow pain with red flags</w:t>
      </w:r>
    </w:p>
    <w:p w:rsidR="00664018" w:rsidRPr="009A075A" w:rsidRDefault="00664018" w:rsidP="00FD5C06">
      <w:pPr>
        <w:pStyle w:val="Bullet"/>
      </w:pPr>
      <w:r>
        <w:t>k</w:t>
      </w:r>
      <w:r w:rsidRPr="009A075A">
        <w:t xml:space="preserve">nown osteoarthritis with symptoms meeting local criteria for surgical consideration (not required if previously </w:t>
      </w:r>
      <w:r>
        <w:t>X</w:t>
      </w:r>
      <w:r w:rsidRPr="009A075A">
        <w:t xml:space="preserve">-rayed within </w:t>
      </w:r>
      <w:r>
        <w:t>six</w:t>
      </w:r>
      <w:r w:rsidRPr="009A075A">
        <w:t xml:space="preserve"> months)</w:t>
      </w:r>
    </w:p>
    <w:p w:rsidR="00664018" w:rsidRDefault="00664018" w:rsidP="00FD5C06">
      <w:pPr>
        <w:pStyle w:val="Bullet"/>
      </w:pPr>
      <w:r>
        <w:t>pain in previous arthroplasty</w:t>
      </w:r>
    </w:p>
    <w:p w:rsidR="00664018" w:rsidRPr="00267561" w:rsidRDefault="00664018" w:rsidP="00FD5C06">
      <w:pPr>
        <w:pStyle w:val="Bullet"/>
      </w:pPr>
      <w:r>
        <w:t>s</w:t>
      </w:r>
      <w:r w:rsidRPr="00721F27">
        <w:t>welling, deformity or mass near the joint.</w:t>
      </w:r>
    </w:p>
    <w:p w:rsidR="00664018" w:rsidRDefault="00664018" w:rsidP="00FD5C06"/>
    <w:p w:rsidR="00664018" w:rsidRPr="009A075A" w:rsidRDefault="00664018" w:rsidP="00FD5C06">
      <w:r w:rsidRPr="009A075A">
        <w:t>Red flags include:</w:t>
      </w:r>
    </w:p>
    <w:p w:rsidR="00664018" w:rsidRPr="009A075A" w:rsidRDefault="00664018" w:rsidP="00FD5C06">
      <w:pPr>
        <w:pStyle w:val="Bullet"/>
      </w:pPr>
      <w:r>
        <w:t>p</w:t>
      </w:r>
      <w:r w:rsidRPr="009A075A">
        <w:t>ersistent deep pain unrelated to activity</w:t>
      </w:r>
    </w:p>
    <w:p w:rsidR="00664018" w:rsidRPr="009A075A" w:rsidRDefault="00664018" w:rsidP="00FD5C06">
      <w:pPr>
        <w:pStyle w:val="Bullet"/>
      </w:pPr>
      <w:r>
        <w:t>n</w:t>
      </w:r>
      <w:r w:rsidRPr="009A075A">
        <w:t xml:space="preserve">ight pain in the absence of </w:t>
      </w:r>
      <w:r>
        <w:t xml:space="preserve">an </w:t>
      </w:r>
      <w:r w:rsidRPr="009A075A">
        <w:t>obvious cause</w:t>
      </w:r>
      <w:r>
        <w:t>.</w:t>
      </w:r>
    </w:p>
    <w:p w:rsidR="00664018" w:rsidRDefault="00664018" w:rsidP="00FD5C06"/>
    <w:p w:rsidR="00664018" w:rsidRPr="009A075A" w:rsidRDefault="00664018" w:rsidP="00FD5C06">
      <w:pPr>
        <w:rPr>
          <w:color w:val="44546A"/>
        </w:rPr>
      </w:pPr>
      <w:r w:rsidRPr="009A075A">
        <w:t xml:space="preserve">Referral for community </w:t>
      </w:r>
      <w:r>
        <w:t>X</w:t>
      </w:r>
      <w:r w:rsidRPr="009A075A">
        <w:t>-ray not typically indicated</w:t>
      </w:r>
      <w:r>
        <w:t>:</w:t>
      </w:r>
    </w:p>
    <w:p w:rsidR="00377AE5" w:rsidRDefault="00664018" w:rsidP="00FD5C06">
      <w:pPr>
        <w:pStyle w:val="Bullet"/>
      </w:pPr>
      <w:r>
        <w:t>s</w:t>
      </w:r>
      <w:r w:rsidRPr="009A075A">
        <w:t>uspected septic joint: refer for acute review</w:t>
      </w:r>
    </w:p>
    <w:p w:rsidR="00664018" w:rsidRPr="009A075A" w:rsidRDefault="00664018" w:rsidP="00FD5C06">
      <w:pPr>
        <w:pStyle w:val="Bullet"/>
      </w:pPr>
      <w:r>
        <w:t>a</w:t>
      </w:r>
      <w:r w:rsidRPr="009A075A">
        <w:t>cute gout.</w:t>
      </w:r>
    </w:p>
    <w:p w:rsidR="00377AE5" w:rsidRDefault="00664018" w:rsidP="00FD5C06">
      <w:pPr>
        <w:pStyle w:val="Heading3"/>
        <w:spacing w:before="360"/>
      </w:pPr>
      <w:r w:rsidRPr="009A075A">
        <w:t>Hand/wrist</w:t>
      </w:r>
    </w:p>
    <w:p w:rsidR="00664018" w:rsidRPr="009A075A" w:rsidRDefault="00664018" w:rsidP="00FD5C06">
      <w:r w:rsidRPr="009A075A">
        <w:t xml:space="preserve">Standard indications for </w:t>
      </w:r>
      <w:r>
        <w:t>X</w:t>
      </w:r>
      <w:r w:rsidRPr="009A075A">
        <w:t>-ray referral</w:t>
      </w:r>
      <w:r>
        <w:t>:</w:t>
      </w:r>
    </w:p>
    <w:p w:rsidR="00664018" w:rsidRPr="009A075A" w:rsidRDefault="00664018" w:rsidP="00FD5C06">
      <w:pPr>
        <w:pStyle w:val="Bullet"/>
      </w:pPr>
      <w:r>
        <w:t>u</w:t>
      </w:r>
      <w:r w:rsidRPr="009A075A">
        <w:t xml:space="preserve">ndiagnosed hand/wrist pain present </w:t>
      </w:r>
      <w:r w:rsidR="00DA7367">
        <w:t xml:space="preserve">more </w:t>
      </w:r>
      <w:r w:rsidR="00FD5C06">
        <w:t xml:space="preserve">than </w:t>
      </w:r>
      <w:r>
        <w:t>four</w:t>
      </w:r>
      <w:r w:rsidRPr="009A075A">
        <w:t xml:space="preserve"> weeks where the </w:t>
      </w:r>
      <w:r>
        <w:t>X</w:t>
      </w:r>
      <w:r w:rsidRPr="009A075A">
        <w:t>-ray is expected to change management</w:t>
      </w:r>
    </w:p>
    <w:p w:rsidR="00377AE5" w:rsidRDefault="00664018" w:rsidP="00FD5C06">
      <w:pPr>
        <w:pStyle w:val="Bullet"/>
      </w:pPr>
      <w:r>
        <w:t>h</w:t>
      </w:r>
      <w:r w:rsidRPr="009A075A">
        <w:t>and/wrist pain with red flags</w:t>
      </w:r>
    </w:p>
    <w:p w:rsidR="00377AE5" w:rsidRDefault="00664018" w:rsidP="00FD5C06">
      <w:pPr>
        <w:pStyle w:val="Bullet"/>
      </w:pPr>
      <w:r>
        <w:t>k</w:t>
      </w:r>
      <w:r w:rsidRPr="009A075A">
        <w:t xml:space="preserve">nown osteoarthritis with symptoms meeting local criteria for surgical consideration (not required if previously </w:t>
      </w:r>
      <w:r>
        <w:t>X</w:t>
      </w:r>
      <w:r w:rsidRPr="009A075A">
        <w:t xml:space="preserve">-rayed within </w:t>
      </w:r>
      <w:r>
        <w:t>six</w:t>
      </w:r>
      <w:r w:rsidRPr="009A075A">
        <w:t xml:space="preserve"> months)</w:t>
      </w:r>
    </w:p>
    <w:p w:rsidR="00664018" w:rsidRDefault="00664018" w:rsidP="00FD5C06">
      <w:pPr>
        <w:pStyle w:val="Bullet"/>
      </w:pPr>
      <w:r>
        <w:t>pain in previous arthroplasty</w:t>
      </w:r>
    </w:p>
    <w:p w:rsidR="00664018" w:rsidRPr="003E68FF" w:rsidRDefault="00664018" w:rsidP="00FD5C06">
      <w:pPr>
        <w:pStyle w:val="Bullet"/>
      </w:pPr>
      <w:r>
        <w:t>s</w:t>
      </w:r>
      <w:r w:rsidRPr="00721F27">
        <w:t>welling, deformity or mass near the joint.</w:t>
      </w:r>
    </w:p>
    <w:p w:rsidR="00FD5C06" w:rsidRDefault="00FD5C06" w:rsidP="00FD5C06"/>
    <w:p w:rsidR="00664018" w:rsidRPr="009A075A" w:rsidRDefault="00664018" w:rsidP="00FD5C06">
      <w:r w:rsidRPr="009A075A">
        <w:t>Red flags include:</w:t>
      </w:r>
    </w:p>
    <w:p w:rsidR="00664018" w:rsidRPr="009A075A" w:rsidRDefault="00664018" w:rsidP="00FD5C06">
      <w:pPr>
        <w:pStyle w:val="Bullet"/>
      </w:pPr>
      <w:r>
        <w:t>p</w:t>
      </w:r>
      <w:r w:rsidRPr="009A075A">
        <w:t>ersistent deep pain unrelated to activity</w:t>
      </w:r>
    </w:p>
    <w:p w:rsidR="00377AE5" w:rsidRPr="00FD5C06" w:rsidRDefault="00664018" w:rsidP="00FD5C06">
      <w:pPr>
        <w:pStyle w:val="Bullet"/>
      </w:pPr>
      <w:r>
        <w:t>n</w:t>
      </w:r>
      <w:r w:rsidRPr="009A075A">
        <w:t xml:space="preserve">ight pain in the absence of </w:t>
      </w:r>
      <w:r>
        <w:t xml:space="preserve">an </w:t>
      </w:r>
      <w:r w:rsidRPr="009A075A">
        <w:t>obvious cause</w:t>
      </w:r>
      <w:r>
        <w:t>.</w:t>
      </w:r>
    </w:p>
    <w:p w:rsidR="00664018" w:rsidRDefault="00664018" w:rsidP="00FD5C06"/>
    <w:p w:rsidR="00664018" w:rsidRPr="009A075A" w:rsidRDefault="00664018" w:rsidP="00FD5C06">
      <w:pPr>
        <w:rPr>
          <w:color w:val="44546A"/>
        </w:rPr>
      </w:pPr>
      <w:r w:rsidRPr="009A075A">
        <w:t xml:space="preserve">Referral for community </w:t>
      </w:r>
      <w:r>
        <w:t>X</w:t>
      </w:r>
      <w:r w:rsidRPr="009A075A">
        <w:t>-ray not typically indicated</w:t>
      </w:r>
      <w:r>
        <w:t>:</w:t>
      </w:r>
    </w:p>
    <w:p w:rsidR="00664018" w:rsidRPr="009A075A" w:rsidRDefault="00664018" w:rsidP="00FD5C06">
      <w:pPr>
        <w:pStyle w:val="Bullet"/>
      </w:pPr>
      <w:r>
        <w:t>s</w:t>
      </w:r>
      <w:r w:rsidRPr="009A075A">
        <w:t>uspected septic joint: refer for acute review</w:t>
      </w:r>
    </w:p>
    <w:p w:rsidR="00664018" w:rsidRDefault="00664018" w:rsidP="00FD5C06">
      <w:pPr>
        <w:pStyle w:val="Bullet"/>
      </w:pPr>
      <w:r>
        <w:t>acute gout.</w:t>
      </w:r>
    </w:p>
    <w:p w:rsidR="00664018" w:rsidRPr="009A075A" w:rsidRDefault="00664018" w:rsidP="00FD5C06"/>
    <w:p w:rsidR="00FD5C06" w:rsidRPr="009A075A" w:rsidRDefault="00FD5C06" w:rsidP="00FD5C06">
      <w:pPr>
        <w:pStyle w:val="BoxHeading"/>
      </w:pPr>
      <w:r w:rsidRPr="009A075A">
        <w:t>Guidance</w:t>
      </w:r>
    </w:p>
    <w:p w:rsidR="00FD5C06" w:rsidRPr="009A075A" w:rsidRDefault="00FD5C06" w:rsidP="00FD5C06">
      <w:pPr>
        <w:pStyle w:val="Box"/>
      </w:pPr>
      <w:r w:rsidRPr="009A075A">
        <w:t>Dedicated wrist views do not typically provide additional information to</w:t>
      </w:r>
      <w:r>
        <w:t xml:space="preserve"> that obtained via</w:t>
      </w:r>
      <w:r w:rsidRPr="009A075A">
        <w:t xml:space="preserve"> single </w:t>
      </w:r>
      <w:r>
        <w:t>p</w:t>
      </w:r>
      <w:r w:rsidRPr="009A075A">
        <w:t>ostero-</w:t>
      </w:r>
      <w:r>
        <w:t>a</w:t>
      </w:r>
      <w:r w:rsidRPr="009A075A">
        <w:t>nterior</w:t>
      </w:r>
      <w:r>
        <w:t xml:space="preserve"> (PA) </w:t>
      </w:r>
      <w:r w:rsidRPr="009A075A">
        <w:t>hand view. Where inflammatory arthritis is suspected</w:t>
      </w:r>
      <w:r>
        <w:t>,</w:t>
      </w:r>
      <w:r w:rsidRPr="009A075A">
        <w:t xml:space="preserve"> consider requesting an </w:t>
      </w:r>
      <w:r>
        <w:t>a</w:t>
      </w:r>
      <w:r w:rsidRPr="009A075A">
        <w:t>ntero</w:t>
      </w:r>
      <w:r>
        <w:t>-p</w:t>
      </w:r>
      <w:r w:rsidRPr="009A075A">
        <w:t>osterior</w:t>
      </w:r>
      <w:r>
        <w:t xml:space="preserve"> (AP)</w:t>
      </w:r>
      <w:r w:rsidRPr="009A075A">
        <w:t xml:space="preserve"> feet </w:t>
      </w:r>
      <w:r>
        <w:t>X</w:t>
      </w:r>
      <w:r w:rsidRPr="009A075A">
        <w:t>-ray as well.</w:t>
      </w:r>
    </w:p>
    <w:p w:rsidR="00664018" w:rsidRDefault="00664018" w:rsidP="00FD5C06"/>
    <w:p w:rsidR="00664018" w:rsidRPr="002C5E2B" w:rsidRDefault="00664018" w:rsidP="00FD5C06">
      <w:pPr>
        <w:pStyle w:val="Heading3"/>
      </w:pPr>
      <w:r w:rsidRPr="009A075A">
        <w:t>Hip</w:t>
      </w:r>
    </w:p>
    <w:p w:rsidR="00377AE5" w:rsidRDefault="00664018" w:rsidP="00FD5C06">
      <w:r w:rsidRPr="009A075A">
        <w:t>Standard indications for imaging referral</w:t>
      </w:r>
      <w:r>
        <w:t>:</w:t>
      </w:r>
    </w:p>
    <w:p w:rsidR="00664018" w:rsidRPr="009A075A" w:rsidRDefault="00664018" w:rsidP="00FD5C06">
      <w:pPr>
        <w:pStyle w:val="Bullet"/>
      </w:pPr>
      <w:r>
        <w:t>u</w:t>
      </w:r>
      <w:r w:rsidRPr="009A075A">
        <w:t xml:space="preserve">ndiagnosed hip pain present for </w:t>
      </w:r>
      <w:r w:rsidR="00DA7367">
        <w:t xml:space="preserve">more </w:t>
      </w:r>
      <w:r w:rsidR="00FD5C06">
        <w:t xml:space="preserve">than </w:t>
      </w:r>
      <w:r>
        <w:t xml:space="preserve">four </w:t>
      </w:r>
      <w:r w:rsidRPr="009A075A">
        <w:t xml:space="preserve">weeks where the </w:t>
      </w:r>
      <w:r>
        <w:t>X</w:t>
      </w:r>
      <w:r w:rsidRPr="009A075A">
        <w:t>-ray is expected to change management</w:t>
      </w:r>
    </w:p>
    <w:p w:rsidR="00377AE5" w:rsidRDefault="00664018" w:rsidP="00FD5C06">
      <w:pPr>
        <w:pStyle w:val="Bullet"/>
      </w:pPr>
      <w:r>
        <w:t>h</w:t>
      </w:r>
      <w:r w:rsidRPr="009A075A">
        <w:t>ip pain with red flags</w:t>
      </w:r>
    </w:p>
    <w:p w:rsidR="00377AE5" w:rsidRDefault="00664018" w:rsidP="00FD5C06">
      <w:pPr>
        <w:pStyle w:val="Bullet"/>
      </w:pPr>
      <w:r>
        <w:t>k</w:t>
      </w:r>
      <w:r w:rsidRPr="009A075A">
        <w:t xml:space="preserve">nown osteoarthritis where symptoms meet local criteria for surgical consideration (not required if previously </w:t>
      </w:r>
      <w:r>
        <w:t>X</w:t>
      </w:r>
      <w:r w:rsidRPr="009A075A">
        <w:t xml:space="preserve">-rayed within </w:t>
      </w:r>
      <w:r>
        <w:t xml:space="preserve">six </w:t>
      </w:r>
      <w:r w:rsidRPr="009A075A">
        <w:t>months)</w:t>
      </w:r>
    </w:p>
    <w:p w:rsidR="00664018" w:rsidRDefault="00664018" w:rsidP="00FD5C06">
      <w:pPr>
        <w:pStyle w:val="Bullet"/>
      </w:pPr>
      <w:r>
        <w:t>p</w:t>
      </w:r>
      <w:r w:rsidRPr="009A075A">
        <w:t>ain in previous arthroplasty</w:t>
      </w:r>
    </w:p>
    <w:p w:rsidR="00664018" w:rsidRPr="003E68FF" w:rsidRDefault="00664018" w:rsidP="00FD5C06">
      <w:pPr>
        <w:pStyle w:val="Bullet"/>
      </w:pPr>
      <w:r>
        <w:t>s</w:t>
      </w:r>
      <w:r w:rsidRPr="00721F27">
        <w:t>welling, deformity or mass near the joint.</w:t>
      </w:r>
    </w:p>
    <w:p w:rsidR="00664018" w:rsidRPr="009A075A" w:rsidRDefault="00664018" w:rsidP="00FD5C06"/>
    <w:p w:rsidR="00664018" w:rsidRPr="009A075A" w:rsidRDefault="00664018" w:rsidP="00FD5C06">
      <w:r w:rsidRPr="009A075A">
        <w:t>Red flags include:</w:t>
      </w:r>
    </w:p>
    <w:p w:rsidR="00664018" w:rsidRPr="009A075A" w:rsidRDefault="00664018" w:rsidP="00FD5C06">
      <w:pPr>
        <w:pStyle w:val="Bullet"/>
      </w:pPr>
      <w:r>
        <w:t>p</w:t>
      </w:r>
      <w:r w:rsidRPr="009A075A">
        <w:t>ersistent deep pain unrelated to activity</w:t>
      </w:r>
    </w:p>
    <w:p w:rsidR="00377AE5" w:rsidRPr="00FD5C06" w:rsidRDefault="00664018" w:rsidP="00FD5C06">
      <w:pPr>
        <w:pStyle w:val="Bullet"/>
      </w:pPr>
      <w:r>
        <w:t>n</w:t>
      </w:r>
      <w:r w:rsidRPr="009A075A">
        <w:t xml:space="preserve">ight pain in the absence of </w:t>
      </w:r>
      <w:r>
        <w:t xml:space="preserve">an </w:t>
      </w:r>
      <w:r w:rsidRPr="009A075A">
        <w:t>obvious cause</w:t>
      </w:r>
      <w:r>
        <w:t>.</w:t>
      </w:r>
    </w:p>
    <w:p w:rsidR="00664018" w:rsidRDefault="00664018" w:rsidP="00FD5C06"/>
    <w:p w:rsidR="00664018" w:rsidRPr="009A075A" w:rsidRDefault="00664018" w:rsidP="00FD5C06">
      <w:r w:rsidRPr="009A075A">
        <w:t xml:space="preserve">Referral for community </w:t>
      </w:r>
      <w:r>
        <w:t>X</w:t>
      </w:r>
      <w:r w:rsidRPr="009A075A">
        <w:t>-ray not typically indicated</w:t>
      </w:r>
      <w:r>
        <w:t>:</w:t>
      </w:r>
    </w:p>
    <w:p w:rsidR="00664018" w:rsidRPr="009A075A" w:rsidRDefault="00664018" w:rsidP="00FD5C06">
      <w:pPr>
        <w:pStyle w:val="Bullet"/>
      </w:pPr>
      <w:r>
        <w:t>s</w:t>
      </w:r>
      <w:r w:rsidRPr="009A075A">
        <w:t xml:space="preserve">uspected septic arthritis: refer for acute review at </w:t>
      </w:r>
      <w:r>
        <w:t>e</w:t>
      </w:r>
      <w:r w:rsidRPr="009A075A">
        <w:t xml:space="preserve">mergency </w:t>
      </w:r>
      <w:r>
        <w:t>d</w:t>
      </w:r>
      <w:r w:rsidRPr="009A075A">
        <w:t>epartment</w:t>
      </w:r>
      <w:r w:rsidR="00377AE5">
        <w:t xml:space="preserve"> </w:t>
      </w:r>
      <w:r>
        <w:t>or o</w:t>
      </w:r>
      <w:r w:rsidRPr="009A075A">
        <w:t xml:space="preserve">rthopaedic </w:t>
      </w:r>
      <w:r>
        <w:t>d</w:t>
      </w:r>
      <w:r w:rsidRPr="009A075A">
        <w:t>epartment</w:t>
      </w:r>
    </w:p>
    <w:p w:rsidR="00664018" w:rsidRPr="009A075A" w:rsidRDefault="00664018" w:rsidP="00FD5C06">
      <w:pPr>
        <w:pStyle w:val="Bullet"/>
      </w:pPr>
      <w:r>
        <w:t>m</w:t>
      </w:r>
      <w:r w:rsidRPr="009A075A">
        <w:t>ild symptoms and normal examination findings</w:t>
      </w:r>
    </w:p>
    <w:p w:rsidR="00377AE5" w:rsidRDefault="00664018" w:rsidP="00FD5C06">
      <w:pPr>
        <w:pStyle w:val="Bullet"/>
      </w:pPr>
      <w:r>
        <w:t>f</w:t>
      </w:r>
      <w:r w:rsidRPr="009A075A">
        <w:t>ollow</w:t>
      </w:r>
      <w:r>
        <w:t>-</w:t>
      </w:r>
      <w:r w:rsidRPr="009A075A">
        <w:t xml:space="preserve">up of known or suspected osteoarthritis unless red flags </w:t>
      </w:r>
      <w:r>
        <w:t xml:space="preserve">develop </w:t>
      </w:r>
      <w:r w:rsidRPr="009A075A">
        <w:t xml:space="preserve">or </w:t>
      </w:r>
      <w:r>
        <w:t xml:space="preserve">patient </w:t>
      </w:r>
      <w:r w:rsidRPr="009A075A">
        <w:t>meets local criteria for surgery.</w:t>
      </w:r>
    </w:p>
    <w:p w:rsidR="00664018" w:rsidRPr="002C5E2B" w:rsidRDefault="00664018" w:rsidP="00FD5C06">
      <w:pPr>
        <w:pStyle w:val="Heading3"/>
        <w:spacing w:before="360"/>
      </w:pPr>
      <w:r w:rsidRPr="009A075A">
        <w:t>Knee</w:t>
      </w:r>
    </w:p>
    <w:p w:rsidR="00664018" w:rsidRPr="009A075A" w:rsidRDefault="00664018" w:rsidP="00FD5C06">
      <w:r w:rsidRPr="009A075A">
        <w:t xml:space="preserve">Standard indications for </w:t>
      </w:r>
      <w:r>
        <w:t>X</w:t>
      </w:r>
      <w:r w:rsidRPr="009A075A">
        <w:t>-ray referral</w:t>
      </w:r>
      <w:r>
        <w:t>:</w:t>
      </w:r>
    </w:p>
    <w:p w:rsidR="00664018" w:rsidRPr="009A075A" w:rsidRDefault="00664018" w:rsidP="00FD5C06">
      <w:pPr>
        <w:pStyle w:val="Bullet"/>
      </w:pPr>
      <w:r>
        <w:t>u</w:t>
      </w:r>
      <w:r w:rsidRPr="009A075A">
        <w:t xml:space="preserve">ndiagnosed knee pain present </w:t>
      </w:r>
      <w:r w:rsidR="00DA7367">
        <w:t xml:space="preserve">more </w:t>
      </w:r>
      <w:r w:rsidR="00FD5C06">
        <w:t xml:space="preserve">than </w:t>
      </w:r>
      <w:r>
        <w:t>four</w:t>
      </w:r>
      <w:r w:rsidRPr="009A075A">
        <w:t xml:space="preserve"> weeks where the </w:t>
      </w:r>
      <w:r>
        <w:t>X</w:t>
      </w:r>
      <w:r w:rsidRPr="009A075A">
        <w:t>-ray is expected to change management</w:t>
      </w:r>
    </w:p>
    <w:p w:rsidR="00377AE5" w:rsidRDefault="00664018" w:rsidP="00FD5C06">
      <w:pPr>
        <w:pStyle w:val="Bullet"/>
      </w:pPr>
      <w:r>
        <w:t>k</w:t>
      </w:r>
      <w:r w:rsidRPr="009A075A">
        <w:t>nee pain with red flags</w:t>
      </w:r>
    </w:p>
    <w:p w:rsidR="00377AE5" w:rsidRDefault="00664018" w:rsidP="00FD5C06">
      <w:pPr>
        <w:pStyle w:val="Bullet"/>
      </w:pPr>
      <w:r>
        <w:t>k</w:t>
      </w:r>
      <w:r w:rsidRPr="009A075A">
        <w:t xml:space="preserve">nown osteoarthritis with symptoms meeting local criteria for surgical consideration (not required if previously </w:t>
      </w:r>
      <w:r>
        <w:t>X</w:t>
      </w:r>
      <w:r w:rsidRPr="009A075A">
        <w:t xml:space="preserve">-rayed within </w:t>
      </w:r>
      <w:r>
        <w:t xml:space="preserve">six </w:t>
      </w:r>
      <w:r w:rsidRPr="009A075A">
        <w:t>months)</w:t>
      </w:r>
    </w:p>
    <w:p w:rsidR="00664018" w:rsidRDefault="00664018" w:rsidP="00FD5C06">
      <w:pPr>
        <w:pStyle w:val="Bullet"/>
      </w:pPr>
      <w:r>
        <w:t>pain in previous arthroplasty</w:t>
      </w:r>
    </w:p>
    <w:p w:rsidR="00664018" w:rsidRPr="00721F27" w:rsidRDefault="00664018" w:rsidP="00FD5C06">
      <w:pPr>
        <w:pStyle w:val="Bullet"/>
      </w:pPr>
      <w:r>
        <w:t>s</w:t>
      </w:r>
      <w:r w:rsidRPr="00721F27">
        <w:t>welling, deformity or mass near the joint.</w:t>
      </w:r>
    </w:p>
    <w:p w:rsidR="00664018" w:rsidRPr="009A075A" w:rsidRDefault="00664018" w:rsidP="00FD5C06"/>
    <w:p w:rsidR="00664018" w:rsidRPr="009A075A" w:rsidRDefault="00664018" w:rsidP="00FD5C06">
      <w:r w:rsidRPr="009A075A">
        <w:t>Red flags include:</w:t>
      </w:r>
    </w:p>
    <w:p w:rsidR="00664018" w:rsidRPr="009A075A" w:rsidRDefault="00664018" w:rsidP="00FD5C06">
      <w:pPr>
        <w:pStyle w:val="Bullet"/>
      </w:pPr>
      <w:r>
        <w:t>p</w:t>
      </w:r>
      <w:r w:rsidRPr="009A075A">
        <w:t>ersistent deep pain unrelated to activity</w:t>
      </w:r>
    </w:p>
    <w:p w:rsidR="00664018" w:rsidRPr="009A075A" w:rsidRDefault="00664018" w:rsidP="00FD5C06">
      <w:pPr>
        <w:pStyle w:val="Bullet"/>
      </w:pPr>
      <w:r>
        <w:t>n</w:t>
      </w:r>
      <w:r w:rsidRPr="009A075A">
        <w:t xml:space="preserve">ight pain in </w:t>
      </w:r>
      <w:r w:rsidRPr="005E2E28">
        <w:t xml:space="preserve">the absence of </w:t>
      </w:r>
      <w:r>
        <w:t xml:space="preserve">an </w:t>
      </w:r>
      <w:r w:rsidRPr="005E2E28">
        <w:t>obvious cause</w:t>
      </w:r>
      <w:r>
        <w:t>.</w:t>
      </w:r>
    </w:p>
    <w:p w:rsidR="00664018" w:rsidRDefault="00664018" w:rsidP="00FD5C06"/>
    <w:p w:rsidR="00664018" w:rsidRPr="009A075A" w:rsidRDefault="00664018" w:rsidP="00FD5C06">
      <w:r w:rsidRPr="009A075A">
        <w:t xml:space="preserve">Referral for community </w:t>
      </w:r>
      <w:r>
        <w:t>X</w:t>
      </w:r>
      <w:r w:rsidRPr="009A075A">
        <w:t>-ray not typically indicated</w:t>
      </w:r>
      <w:r>
        <w:t>:</w:t>
      </w:r>
    </w:p>
    <w:p w:rsidR="00664018" w:rsidRPr="009A075A" w:rsidRDefault="00664018" w:rsidP="00FD5C06">
      <w:pPr>
        <w:pStyle w:val="Bullet"/>
      </w:pPr>
      <w:r>
        <w:t>s</w:t>
      </w:r>
      <w:r w:rsidRPr="009A075A">
        <w:t xml:space="preserve">uspected septic arthritis: refer for acute review at </w:t>
      </w:r>
      <w:r>
        <w:t>e</w:t>
      </w:r>
      <w:r w:rsidRPr="009A075A">
        <w:t xml:space="preserve">mergency </w:t>
      </w:r>
      <w:r>
        <w:t>d</w:t>
      </w:r>
      <w:r w:rsidRPr="009A075A">
        <w:t xml:space="preserve">epartment </w:t>
      </w:r>
      <w:r>
        <w:t>or o</w:t>
      </w:r>
      <w:r w:rsidRPr="009A075A">
        <w:t xml:space="preserve">rthopaedic </w:t>
      </w:r>
      <w:r>
        <w:t>d</w:t>
      </w:r>
      <w:r w:rsidRPr="009A075A">
        <w:t>epartment</w:t>
      </w:r>
    </w:p>
    <w:p w:rsidR="00664018" w:rsidRPr="009A075A" w:rsidRDefault="00664018" w:rsidP="00FD5C06">
      <w:pPr>
        <w:pStyle w:val="Bullet"/>
      </w:pPr>
      <w:r>
        <w:t>m</w:t>
      </w:r>
      <w:r w:rsidRPr="009A075A">
        <w:t>ild symptoms and normal examination finding</w:t>
      </w:r>
    </w:p>
    <w:p w:rsidR="00664018" w:rsidRPr="009A075A" w:rsidRDefault="00664018" w:rsidP="00FD5C06">
      <w:pPr>
        <w:pStyle w:val="Bullet"/>
      </w:pPr>
      <w:r>
        <w:t>f</w:t>
      </w:r>
      <w:r w:rsidRPr="009A075A">
        <w:t>ollow</w:t>
      </w:r>
      <w:r>
        <w:t>-</w:t>
      </w:r>
      <w:r w:rsidRPr="009A075A">
        <w:t xml:space="preserve">up of suspected or known osteoarthritis unless red flags develop or </w:t>
      </w:r>
      <w:r>
        <w:t xml:space="preserve">patient now </w:t>
      </w:r>
      <w:r w:rsidRPr="009A075A">
        <w:t xml:space="preserve">meets local </w:t>
      </w:r>
      <w:r>
        <w:t xml:space="preserve">clinical </w:t>
      </w:r>
      <w:r w:rsidRPr="009A075A">
        <w:t>criteria for surgery</w:t>
      </w:r>
    </w:p>
    <w:p w:rsidR="00664018" w:rsidRDefault="00664018" w:rsidP="00FD5C06">
      <w:pPr>
        <w:pStyle w:val="Bullet"/>
      </w:pPr>
      <w:r>
        <w:t>s</w:t>
      </w:r>
      <w:r w:rsidRPr="009A075A">
        <w:t>uspect</w:t>
      </w:r>
      <w:r>
        <w:t>ed meniscal and ligament injury.</w:t>
      </w:r>
    </w:p>
    <w:p w:rsidR="00664018" w:rsidRPr="009A075A" w:rsidRDefault="00664018" w:rsidP="00FD5C06"/>
    <w:p w:rsidR="00FD5C06" w:rsidRPr="009A075A" w:rsidRDefault="00FD5C06" w:rsidP="00FD5C06">
      <w:pPr>
        <w:pStyle w:val="BoxHeading"/>
      </w:pPr>
      <w:r w:rsidRPr="009A075A">
        <w:t>Guidance</w:t>
      </w:r>
    </w:p>
    <w:p w:rsidR="00FD5C06" w:rsidRPr="009A075A" w:rsidRDefault="00FD5C06" w:rsidP="00FD5C06">
      <w:pPr>
        <w:pStyle w:val="Box"/>
      </w:pPr>
      <w:r>
        <w:t>Routinely request s</w:t>
      </w:r>
      <w:r w:rsidRPr="009A075A">
        <w:t xml:space="preserve">tanding knee </w:t>
      </w:r>
      <w:r>
        <w:t>X</w:t>
      </w:r>
      <w:r w:rsidRPr="009A075A">
        <w:t>-rays. Such views demonstrate the magnitude of any cartilage loss</w:t>
      </w:r>
      <w:r>
        <w:t>,</w:t>
      </w:r>
      <w:r w:rsidRPr="009A075A">
        <w:t xml:space="preserve"> which reflects the severity of any osteoarthritis.</w:t>
      </w:r>
    </w:p>
    <w:p w:rsidR="00FD5C06" w:rsidRDefault="00FD5C06" w:rsidP="00FD5C06"/>
    <w:p w:rsidR="00664018" w:rsidRPr="00FD5C06" w:rsidRDefault="00664018" w:rsidP="00FD5C06">
      <w:pPr>
        <w:pStyle w:val="Heading3"/>
      </w:pPr>
      <w:r w:rsidRPr="009A075A">
        <w:t>Shoulder</w:t>
      </w:r>
    </w:p>
    <w:p w:rsidR="00664018" w:rsidRPr="009A075A" w:rsidRDefault="00664018" w:rsidP="00FD5C06">
      <w:r w:rsidRPr="009A075A">
        <w:t xml:space="preserve">Standard indications for </w:t>
      </w:r>
      <w:r>
        <w:t>X</w:t>
      </w:r>
      <w:r w:rsidRPr="009A075A">
        <w:t>-ray referral</w:t>
      </w:r>
      <w:r>
        <w:t>:</w:t>
      </w:r>
    </w:p>
    <w:p w:rsidR="00664018" w:rsidRPr="009A075A" w:rsidRDefault="00664018" w:rsidP="00FD5C06">
      <w:pPr>
        <w:pStyle w:val="Bullet"/>
      </w:pPr>
      <w:r>
        <w:t>u</w:t>
      </w:r>
      <w:r w:rsidRPr="009A075A">
        <w:t xml:space="preserve">ndiagnosed shoulder pain present </w:t>
      </w:r>
      <w:r w:rsidR="00DA7367">
        <w:t xml:space="preserve">more </w:t>
      </w:r>
      <w:r w:rsidR="00FD5C06">
        <w:t xml:space="preserve">than </w:t>
      </w:r>
      <w:r>
        <w:t>four</w:t>
      </w:r>
      <w:r w:rsidRPr="009A075A">
        <w:t xml:space="preserve"> weeks where the </w:t>
      </w:r>
      <w:r>
        <w:t>X</w:t>
      </w:r>
      <w:r w:rsidRPr="009A075A">
        <w:t>-ray is expected to change management</w:t>
      </w:r>
    </w:p>
    <w:p w:rsidR="00664018" w:rsidRPr="009A075A" w:rsidRDefault="00664018" w:rsidP="00FD5C06">
      <w:pPr>
        <w:pStyle w:val="Bullet"/>
      </w:pPr>
      <w:r>
        <w:t>s</w:t>
      </w:r>
      <w:r w:rsidRPr="009A075A">
        <w:t>houlder pain with red flags</w:t>
      </w:r>
    </w:p>
    <w:p w:rsidR="00664018" w:rsidRPr="009A075A" w:rsidRDefault="00664018" w:rsidP="00FD5C06">
      <w:pPr>
        <w:pStyle w:val="Bullet"/>
      </w:pPr>
      <w:r>
        <w:t>k</w:t>
      </w:r>
      <w:r w:rsidRPr="009A075A">
        <w:t xml:space="preserve">nown osteoarthritis with symptoms meeting local criteria for surgical consideration (not required if previously </w:t>
      </w:r>
      <w:r>
        <w:t>X</w:t>
      </w:r>
      <w:r w:rsidRPr="009A075A">
        <w:t xml:space="preserve">-rayed within </w:t>
      </w:r>
      <w:r>
        <w:t xml:space="preserve">six </w:t>
      </w:r>
      <w:r w:rsidRPr="009A075A">
        <w:t>months)</w:t>
      </w:r>
    </w:p>
    <w:p w:rsidR="00664018" w:rsidRDefault="00664018" w:rsidP="00FD5C06">
      <w:pPr>
        <w:pStyle w:val="Bullet"/>
      </w:pPr>
      <w:r>
        <w:t>p</w:t>
      </w:r>
      <w:r w:rsidRPr="009A075A">
        <w:t>ain in previous arthroplasty</w:t>
      </w:r>
    </w:p>
    <w:p w:rsidR="00664018" w:rsidRPr="00721F27" w:rsidRDefault="00664018" w:rsidP="00FD5C06">
      <w:pPr>
        <w:pStyle w:val="Bullet"/>
      </w:pPr>
      <w:r>
        <w:t>s</w:t>
      </w:r>
      <w:r w:rsidRPr="00721F27">
        <w:t>welling, deformity or mass near the joint.</w:t>
      </w:r>
    </w:p>
    <w:p w:rsidR="00664018" w:rsidRDefault="00664018" w:rsidP="00FD5C06"/>
    <w:p w:rsidR="00664018" w:rsidRPr="009A075A" w:rsidRDefault="00664018" w:rsidP="00FD5C06">
      <w:r w:rsidRPr="009A075A">
        <w:t>Red flags include:</w:t>
      </w:r>
    </w:p>
    <w:p w:rsidR="00664018" w:rsidRPr="009A075A" w:rsidRDefault="00664018" w:rsidP="00FD5C06">
      <w:pPr>
        <w:pStyle w:val="Bullet"/>
      </w:pPr>
      <w:r>
        <w:t>p</w:t>
      </w:r>
      <w:r w:rsidRPr="009A075A">
        <w:t>ersistent deep pain unrelated to activity</w:t>
      </w:r>
    </w:p>
    <w:p w:rsidR="00664018" w:rsidRPr="009A075A" w:rsidRDefault="00664018" w:rsidP="00FD5C06">
      <w:pPr>
        <w:pStyle w:val="Bullet"/>
      </w:pPr>
      <w:r>
        <w:t>n</w:t>
      </w:r>
      <w:r w:rsidRPr="009A075A">
        <w:t xml:space="preserve">ight pain in the absence of </w:t>
      </w:r>
      <w:r>
        <w:t xml:space="preserve">an </w:t>
      </w:r>
      <w:r w:rsidRPr="009A075A">
        <w:t>obvious cause</w:t>
      </w:r>
      <w:r>
        <w:t>.</w:t>
      </w:r>
    </w:p>
    <w:p w:rsidR="00664018" w:rsidRDefault="00664018" w:rsidP="00FD5C06"/>
    <w:p w:rsidR="00664018" w:rsidRPr="009A075A" w:rsidRDefault="00664018" w:rsidP="00FD5C06">
      <w:pPr>
        <w:keepNext/>
      </w:pPr>
      <w:r w:rsidRPr="009A075A">
        <w:t xml:space="preserve">Referral for community </w:t>
      </w:r>
      <w:r>
        <w:t>X</w:t>
      </w:r>
      <w:r w:rsidRPr="009A075A">
        <w:t>-ray not typically indicated</w:t>
      </w:r>
      <w:r>
        <w:t>:</w:t>
      </w:r>
    </w:p>
    <w:p w:rsidR="00664018" w:rsidRPr="009A075A" w:rsidRDefault="00664018" w:rsidP="00FD5C06">
      <w:pPr>
        <w:pStyle w:val="Bullet"/>
        <w:keepNext/>
      </w:pPr>
      <w:r>
        <w:t>r</w:t>
      </w:r>
      <w:r w:rsidRPr="009A075A">
        <w:t>ecent onset pain in the absence of red flags</w:t>
      </w:r>
    </w:p>
    <w:p w:rsidR="00664018" w:rsidRPr="009A075A" w:rsidRDefault="00664018" w:rsidP="00FD5C06">
      <w:pPr>
        <w:pStyle w:val="Bullet"/>
      </w:pPr>
      <w:r>
        <w:t>f</w:t>
      </w:r>
      <w:r w:rsidRPr="009A075A">
        <w:t>rozen shoulder (unless the condition does not follow its expected natural history)</w:t>
      </w:r>
    </w:p>
    <w:p w:rsidR="00664018" w:rsidRPr="009A075A" w:rsidRDefault="00664018" w:rsidP="00FD5C06">
      <w:pPr>
        <w:pStyle w:val="Bullet"/>
      </w:pPr>
      <w:r>
        <w:t>p</w:t>
      </w:r>
      <w:r w:rsidRPr="009A075A">
        <w:t>rerequisite for a trial of steroid injection (when a reasonable clinical diagnosis has been made and red flags are excluded)</w:t>
      </w:r>
    </w:p>
    <w:p w:rsidR="00664018" w:rsidRDefault="00664018" w:rsidP="00FD5C06">
      <w:pPr>
        <w:pStyle w:val="Bullet"/>
      </w:pPr>
      <w:r>
        <w:t>s</w:t>
      </w:r>
      <w:r w:rsidRPr="009A075A">
        <w:t xml:space="preserve">uspected septic arthritis: refer for acute review at </w:t>
      </w:r>
      <w:r>
        <w:t>e</w:t>
      </w:r>
      <w:r w:rsidRPr="009A075A">
        <w:t xml:space="preserve">mergency </w:t>
      </w:r>
      <w:r>
        <w:t>d</w:t>
      </w:r>
      <w:r w:rsidRPr="009A075A">
        <w:t xml:space="preserve">epartment </w:t>
      </w:r>
      <w:r>
        <w:t>or o</w:t>
      </w:r>
      <w:r w:rsidRPr="009A075A">
        <w:t xml:space="preserve">rthopaedic </w:t>
      </w:r>
      <w:r>
        <w:t>d</w:t>
      </w:r>
      <w:r w:rsidRPr="009A075A">
        <w:t>epartment.</w:t>
      </w:r>
    </w:p>
    <w:p w:rsidR="00FD5C06" w:rsidRPr="009A075A" w:rsidRDefault="00FD5C06" w:rsidP="00FD5C06"/>
    <w:p w:rsidR="00377AE5" w:rsidRDefault="00664018" w:rsidP="00FD5C06">
      <w:pPr>
        <w:pStyle w:val="Heading3"/>
      </w:pPr>
      <w:r>
        <w:t>Sinuses</w:t>
      </w:r>
    </w:p>
    <w:p w:rsidR="00FD5C06" w:rsidRPr="009A075A" w:rsidRDefault="00FD5C06" w:rsidP="00FD5C06">
      <w:pPr>
        <w:pStyle w:val="BoxHeading"/>
      </w:pPr>
      <w:r w:rsidRPr="009A075A">
        <w:t>Guidance</w:t>
      </w:r>
    </w:p>
    <w:p w:rsidR="00FD5C06" w:rsidRPr="009A075A" w:rsidRDefault="00FD5C06" w:rsidP="00FD5C06">
      <w:pPr>
        <w:pStyle w:val="Box"/>
      </w:pPr>
      <w:r>
        <w:t>Plain films are no longer recommended.</w:t>
      </w:r>
    </w:p>
    <w:p w:rsidR="00FD5C06" w:rsidRDefault="00FD5C06" w:rsidP="00FD5C06"/>
    <w:p w:rsidR="00664018" w:rsidRPr="002C5E2B" w:rsidRDefault="00664018" w:rsidP="00FD5C06">
      <w:pPr>
        <w:pStyle w:val="Heading3"/>
      </w:pPr>
      <w:r w:rsidRPr="009A075A">
        <w:t>Skull</w:t>
      </w:r>
    </w:p>
    <w:p w:rsidR="00664018" w:rsidRPr="009A075A" w:rsidRDefault="00664018" w:rsidP="00FD5C06">
      <w:r w:rsidRPr="009A075A">
        <w:t xml:space="preserve">Standard indications for </w:t>
      </w:r>
      <w:r>
        <w:t>X</w:t>
      </w:r>
      <w:r w:rsidRPr="009A075A">
        <w:t>-ray referral</w:t>
      </w:r>
      <w:r>
        <w:t>:</w:t>
      </w:r>
    </w:p>
    <w:p w:rsidR="00664018" w:rsidRPr="009A075A" w:rsidRDefault="00664018" w:rsidP="00FD5C06">
      <w:pPr>
        <w:pStyle w:val="Bullet"/>
      </w:pPr>
      <w:r>
        <w:t>p</w:t>
      </w:r>
      <w:r w:rsidRPr="009A075A">
        <w:t>resence of a palpable vault abnormality that feels bony.</w:t>
      </w:r>
    </w:p>
    <w:p w:rsidR="00664018" w:rsidRDefault="00664018" w:rsidP="00FD5C06"/>
    <w:p w:rsidR="00664018" w:rsidRPr="009A075A" w:rsidRDefault="00664018" w:rsidP="00FD5C06">
      <w:r w:rsidRPr="009A075A">
        <w:t xml:space="preserve">Referral for community </w:t>
      </w:r>
      <w:r>
        <w:t>X</w:t>
      </w:r>
      <w:r w:rsidRPr="009A075A">
        <w:t>-ray imaging not typically indicated</w:t>
      </w:r>
      <w:r>
        <w:t>:</w:t>
      </w:r>
    </w:p>
    <w:p w:rsidR="00664018" w:rsidRPr="009A075A" w:rsidRDefault="00664018" w:rsidP="00FD5C06">
      <w:pPr>
        <w:pStyle w:val="Bullet"/>
      </w:pPr>
      <w:r>
        <w:t>t</w:t>
      </w:r>
      <w:r w:rsidRPr="009A075A">
        <w:t xml:space="preserve">rauma: discuss with </w:t>
      </w:r>
      <w:r>
        <w:t>e</w:t>
      </w:r>
      <w:r w:rsidRPr="009A075A">
        <w:t xml:space="preserve">mergency </w:t>
      </w:r>
      <w:r>
        <w:t>d</w:t>
      </w:r>
      <w:r w:rsidRPr="009A075A">
        <w:t>epartment consultant. CT head may be appropriate</w:t>
      </w:r>
    </w:p>
    <w:p w:rsidR="00664018" w:rsidRPr="009A075A" w:rsidRDefault="00664018" w:rsidP="00FD5C06">
      <w:pPr>
        <w:pStyle w:val="Bullet"/>
      </w:pPr>
      <w:r>
        <w:t>h</w:t>
      </w:r>
      <w:r w:rsidRPr="009A075A">
        <w:t>eadache</w:t>
      </w:r>
    </w:p>
    <w:p w:rsidR="00664018" w:rsidRPr="009A075A" w:rsidRDefault="00664018" w:rsidP="00FD5C06">
      <w:pPr>
        <w:pStyle w:val="Bullet"/>
      </w:pPr>
      <w:r>
        <w:t>e</w:t>
      </w:r>
      <w:r w:rsidRPr="009A075A">
        <w:t>pilepsy</w:t>
      </w:r>
    </w:p>
    <w:p w:rsidR="00664018" w:rsidRPr="009A075A" w:rsidRDefault="00664018" w:rsidP="00FD5C06">
      <w:pPr>
        <w:pStyle w:val="Bullet"/>
      </w:pPr>
      <w:r>
        <w:t>c</w:t>
      </w:r>
      <w:r w:rsidRPr="009A075A">
        <w:t>ognitive impairment</w:t>
      </w:r>
    </w:p>
    <w:p w:rsidR="00664018" w:rsidRPr="009A075A" w:rsidRDefault="00664018" w:rsidP="00FD5C06">
      <w:pPr>
        <w:pStyle w:val="Bullet"/>
      </w:pPr>
      <w:r>
        <w:t>m</w:t>
      </w:r>
      <w:r w:rsidRPr="009A075A">
        <w:t>iddle or inner ear problems</w:t>
      </w:r>
    </w:p>
    <w:p w:rsidR="00664018" w:rsidRDefault="00664018" w:rsidP="00FD5C06">
      <w:pPr>
        <w:pStyle w:val="Bullet"/>
      </w:pPr>
      <w:r>
        <w:t>s</w:t>
      </w:r>
      <w:r w:rsidRPr="009A075A">
        <w:t>uspected intracranial space occupying lesion.</w:t>
      </w:r>
    </w:p>
    <w:p w:rsidR="00664018" w:rsidRPr="009A075A" w:rsidRDefault="00664018" w:rsidP="00FD5C06"/>
    <w:p w:rsidR="00FD5C06" w:rsidRPr="009A075A" w:rsidRDefault="00FD5C06" w:rsidP="00FD5C06">
      <w:pPr>
        <w:pStyle w:val="BoxHeading"/>
      </w:pPr>
      <w:r w:rsidRPr="009A075A">
        <w:t>Guidance</w:t>
      </w:r>
    </w:p>
    <w:p w:rsidR="00FD5C06" w:rsidRPr="009A075A" w:rsidRDefault="00FD5C06" w:rsidP="00FD5C06">
      <w:pPr>
        <w:pStyle w:val="Box"/>
      </w:pPr>
      <w:r>
        <w:t>Refer</w:t>
      </w:r>
      <w:r w:rsidRPr="009A075A">
        <w:t xml:space="preserve"> suspected pituitary problems to </w:t>
      </w:r>
      <w:r>
        <w:t xml:space="preserve">a </w:t>
      </w:r>
      <w:r w:rsidRPr="009A075A">
        <w:t>local relevant specialist.</w:t>
      </w:r>
    </w:p>
    <w:p w:rsidR="00664018" w:rsidRPr="009A075A" w:rsidRDefault="00664018" w:rsidP="00FD5C06"/>
    <w:p w:rsidR="00664018" w:rsidRPr="002C5E2B" w:rsidRDefault="00664018" w:rsidP="00FD5C06">
      <w:pPr>
        <w:pStyle w:val="Heading3"/>
      </w:pPr>
      <w:r w:rsidRPr="009A075A">
        <w:t>Spine</w:t>
      </w:r>
    </w:p>
    <w:p w:rsidR="00664018" w:rsidRPr="009A075A" w:rsidRDefault="00664018" w:rsidP="00FD5C06">
      <w:r w:rsidRPr="009A075A">
        <w:t xml:space="preserve">Standard indications for </w:t>
      </w:r>
      <w:r>
        <w:t>X</w:t>
      </w:r>
      <w:r w:rsidRPr="009A075A">
        <w:t>-ray referral</w:t>
      </w:r>
      <w:r>
        <w:t>:</w:t>
      </w:r>
    </w:p>
    <w:p w:rsidR="00377AE5" w:rsidRDefault="00664018" w:rsidP="00FD5C06">
      <w:pPr>
        <w:pStyle w:val="Bullet"/>
      </w:pPr>
      <w:r>
        <w:t>s</w:t>
      </w:r>
      <w:r w:rsidRPr="009A075A">
        <w:t xml:space="preserve">pine pain </w:t>
      </w:r>
      <w:r w:rsidR="00DA7367">
        <w:t xml:space="preserve">more </w:t>
      </w:r>
      <w:r w:rsidR="00FD5C06">
        <w:t xml:space="preserve">than </w:t>
      </w:r>
      <w:r>
        <w:t>eight</w:t>
      </w:r>
      <w:r w:rsidRPr="009A075A">
        <w:t xml:space="preserve"> weeks</w:t>
      </w:r>
    </w:p>
    <w:p w:rsidR="00664018" w:rsidRPr="009A075A" w:rsidRDefault="00664018" w:rsidP="00FD5C06">
      <w:pPr>
        <w:pStyle w:val="Bullet"/>
      </w:pPr>
      <w:r>
        <w:t>s</w:t>
      </w:r>
      <w:r w:rsidRPr="009A075A">
        <w:t>pine pain with red flags</w:t>
      </w:r>
    </w:p>
    <w:p w:rsidR="00664018" w:rsidRPr="009A075A" w:rsidRDefault="00664018" w:rsidP="00FD5C06">
      <w:pPr>
        <w:pStyle w:val="Bullet"/>
      </w:pPr>
      <w:r>
        <w:t>s</w:t>
      </w:r>
      <w:r w:rsidRPr="009A075A">
        <w:t>pine pain and osteoporosis or prolonged use of corticosteroids</w:t>
      </w:r>
    </w:p>
    <w:p w:rsidR="00377AE5" w:rsidRDefault="00664018" w:rsidP="00FD5C06">
      <w:pPr>
        <w:pStyle w:val="Bullet"/>
      </w:pPr>
      <w:r>
        <w:t>f</w:t>
      </w:r>
      <w:r w:rsidRPr="009A075A">
        <w:t>ocal neurological deficit (where recommended by local relevant specialist</w:t>
      </w:r>
      <w:r>
        <w:t>)</w:t>
      </w:r>
    </w:p>
    <w:p w:rsidR="00664018" w:rsidRPr="009A075A" w:rsidRDefault="00664018" w:rsidP="00FD5C06">
      <w:pPr>
        <w:pStyle w:val="Bullet"/>
      </w:pPr>
      <w:r>
        <w:t>s</w:t>
      </w:r>
      <w:r w:rsidRPr="009A075A">
        <w:t>ignificant spinal deformity.</w:t>
      </w:r>
    </w:p>
    <w:p w:rsidR="00FD5C06" w:rsidRDefault="00FD5C06" w:rsidP="00FD5C06"/>
    <w:p w:rsidR="00664018" w:rsidRPr="005B6943" w:rsidRDefault="00664018" w:rsidP="00FD5C06">
      <w:pPr>
        <w:keepNext/>
      </w:pPr>
      <w:r w:rsidRPr="009A075A">
        <w:t>Red flags include</w:t>
      </w:r>
      <w:r>
        <w:t>:</w:t>
      </w:r>
      <w:r w:rsidRPr="00910A28">
        <w:rPr>
          <w:vertAlign w:val="superscript"/>
        </w:rPr>
        <w:t>2</w:t>
      </w:r>
    </w:p>
    <w:p w:rsidR="00664018" w:rsidRPr="009A075A" w:rsidRDefault="00664018" w:rsidP="00FD5C06">
      <w:pPr>
        <w:pStyle w:val="Bullet"/>
        <w:keepNext/>
      </w:pPr>
      <w:r>
        <w:t>p</w:t>
      </w:r>
      <w:r w:rsidRPr="009A075A">
        <w:t>ersistent deep pain unrelated to activity</w:t>
      </w:r>
    </w:p>
    <w:p w:rsidR="00664018" w:rsidRDefault="00664018" w:rsidP="00FD5C06">
      <w:pPr>
        <w:pStyle w:val="Bullet"/>
        <w:keepNext/>
      </w:pPr>
      <w:r>
        <w:t>n</w:t>
      </w:r>
      <w:r w:rsidRPr="009A075A">
        <w:t xml:space="preserve">ight pain </w:t>
      </w:r>
      <w:r w:rsidRPr="005E2E28">
        <w:t xml:space="preserve">in the absence of </w:t>
      </w:r>
      <w:r>
        <w:t xml:space="preserve">an </w:t>
      </w:r>
      <w:r w:rsidRPr="005E2E28">
        <w:t>obvious cause</w:t>
      </w:r>
    </w:p>
    <w:p w:rsidR="00664018" w:rsidRPr="009A075A" w:rsidRDefault="00664018" w:rsidP="00FD5C06">
      <w:pPr>
        <w:pStyle w:val="Bullet"/>
        <w:keepNext/>
      </w:pPr>
      <w:r>
        <w:t>a history of cancer.</w:t>
      </w:r>
    </w:p>
    <w:p w:rsidR="00664018" w:rsidRPr="009A075A" w:rsidRDefault="00664018" w:rsidP="00FD5C06"/>
    <w:p w:rsidR="00664018" w:rsidRPr="009A075A" w:rsidRDefault="00664018" w:rsidP="00FD5C06">
      <w:r w:rsidRPr="009A075A">
        <w:t xml:space="preserve">Referral for community </w:t>
      </w:r>
      <w:r>
        <w:t>X</w:t>
      </w:r>
      <w:r w:rsidRPr="009A075A">
        <w:t>-ray not typically indicated</w:t>
      </w:r>
      <w:r>
        <w:t>:</w:t>
      </w:r>
    </w:p>
    <w:p w:rsidR="00664018" w:rsidRPr="009A075A" w:rsidRDefault="00664018" w:rsidP="00FD5C06">
      <w:pPr>
        <w:pStyle w:val="Bullet"/>
      </w:pPr>
      <w:r>
        <w:t>a</w:t>
      </w:r>
      <w:r w:rsidRPr="009A075A">
        <w:t>cute uncomplicated spine pain without red flags (benign self-limiting condition)</w:t>
      </w:r>
      <w:r>
        <w:t>.</w:t>
      </w:r>
    </w:p>
    <w:p w:rsidR="00664018" w:rsidRPr="009A075A" w:rsidRDefault="00664018" w:rsidP="00FD5C06"/>
    <w:p w:rsidR="00FD5C06" w:rsidRPr="009A075A" w:rsidRDefault="00FD5C06" w:rsidP="00FD5C06">
      <w:pPr>
        <w:pStyle w:val="BoxHeading"/>
      </w:pPr>
      <w:r w:rsidRPr="009A075A">
        <w:t>Guidance</w:t>
      </w:r>
    </w:p>
    <w:p w:rsidR="00FD5C06" w:rsidRPr="009A075A" w:rsidRDefault="00FD5C06" w:rsidP="00FD5C06">
      <w:pPr>
        <w:pStyle w:val="Box"/>
      </w:pPr>
      <w:r>
        <w:t>Where there is high clinical suspicion of infection or cancer, consult a local relevant specialist.</w:t>
      </w:r>
    </w:p>
    <w:p w:rsidR="00664018" w:rsidRDefault="00664018" w:rsidP="00FD5C06"/>
    <w:p w:rsidR="00FD5C06" w:rsidRPr="009A075A" w:rsidRDefault="00FD5C06" w:rsidP="00FD5C06">
      <w:pPr>
        <w:pStyle w:val="Heading2"/>
      </w:pPr>
      <w:bookmarkStart w:id="14" w:name="_Toc408998585"/>
      <w:r>
        <w:t>Ultrasound</w:t>
      </w:r>
      <w:bookmarkEnd w:id="14"/>
    </w:p>
    <w:p w:rsidR="00664018" w:rsidRPr="002C5E2B" w:rsidRDefault="00664018" w:rsidP="00FD5C06">
      <w:pPr>
        <w:pStyle w:val="Heading3"/>
      </w:pPr>
      <w:r w:rsidRPr="009A075A">
        <w:t>Abdomen</w:t>
      </w:r>
    </w:p>
    <w:p w:rsidR="00664018" w:rsidRPr="009A075A" w:rsidRDefault="00664018" w:rsidP="00FD5C06">
      <w:r w:rsidRPr="009A075A">
        <w:t>Standard indications for ultrasound referral</w:t>
      </w:r>
      <w:r>
        <w:t>:</w:t>
      </w:r>
    </w:p>
    <w:p w:rsidR="00664018" w:rsidRPr="009A075A" w:rsidRDefault="00664018" w:rsidP="00FD5C06">
      <w:pPr>
        <w:pStyle w:val="Bullet"/>
      </w:pPr>
      <w:r>
        <w:t>a</w:t>
      </w:r>
      <w:r w:rsidRPr="009A075A">
        <w:t>bdominal mass or other palpable abdominal abnormality</w:t>
      </w:r>
    </w:p>
    <w:p w:rsidR="00664018" w:rsidRPr="009A075A" w:rsidRDefault="00664018" w:rsidP="00FD5C06">
      <w:pPr>
        <w:pStyle w:val="Bullet"/>
      </w:pPr>
      <w:r>
        <w:t>p</w:t>
      </w:r>
      <w:r w:rsidRPr="009A075A">
        <w:t>ainless jaundice without obvious cause</w:t>
      </w:r>
    </w:p>
    <w:p w:rsidR="00377AE5" w:rsidRDefault="00664018" w:rsidP="00FD5C06">
      <w:pPr>
        <w:pStyle w:val="Bullet"/>
      </w:pPr>
      <w:r>
        <w:t>s</w:t>
      </w:r>
      <w:r w:rsidRPr="009A075A">
        <w:t>uspected gallstones: persistent/recurrent right upper quadrant pain</w:t>
      </w:r>
    </w:p>
    <w:p w:rsidR="00377AE5" w:rsidRDefault="00664018" w:rsidP="00FD5C06">
      <w:pPr>
        <w:pStyle w:val="Bullet"/>
      </w:pPr>
      <w:r>
        <w:t>s</w:t>
      </w:r>
      <w:r w:rsidRPr="009A075A">
        <w:t>uspected pancreatic disease (limited resolution in obesity)</w:t>
      </w:r>
    </w:p>
    <w:p w:rsidR="00664018" w:rsidRPr="009A075A" w:rsidRDefault="00664018" w:rsidP="00FD5C06">
      <w:pPr>
        <w:pStyle w:val="Bullet"/>
      </w:pPr>
      <w:r>
        <w:t>c</w:t>
      </w:r>
      <w:r w:rsidRPr="009A075A">
        <w:t>linically suspected or radiologically suspected aortic aneurysm (AAA)</w:t>
      </w:r>
    </w:p>
    <w:p w:rsidR="00377AE5" w:rsidRDefault="00664018" w:rsidP="00FD5C06">
      <w:pPr>
        <w:pStyle w:val="Bullet"/>
      </w:pPr>
      <w:r>
        <w:t>f</w:t>
      </w:r>
      <w:r w:rsidRPr="009A075A">
        <w:t>ollow</w:t>
      </w:r>
      <w:r>
        <w:t>-</w:t>
      </w:r>
      <w:r w:rsidRPr="009A075A">
        <w:t>up of AAA as per local guideline</w:t>
      </w:r>
    </w:p>
    <w:p w:rsidR="00664018" w:rsidRPr="009A075A" w:rsidRDefault="00664018" w:rsidP="00FD5C06">
      <w:pPr>
        <w:pStyle w:val="Bullet"/>
      </w:pPr>
      <w:r>
        <w:t>a</w:t>
      </w:r>
      <w:r w:rsidRPr="009A075A">
        <w:t xml:space="preserve">bnormal </w:t>
      </w:r>
      <w:r>
        <w:t>liver function tests</w:t>
      </w:r>
      <w:r w:rsidRPr="009A075A">
        <w:t xml:space="preserve"> </w:t>
      </w:r>
      <w:r>
        <w:t>(</w:t>
      </w:r>
      <w:r w:rsidRPr="009A075A">
        <w:t>LFT</w:t>
      </w:r>
      <w:r>
        <w:t>s)</w:t>
      </w:r>
      <w:r w:rsidRPr="009A075A">
        <w:t xml:space="preserve">; both </w:t>
      </w:r>
      <w:r>
        <w:t>g</w:t>
      </w:r>
      <w:r w:rsidRPr="009A075A">
        <w:t xml:space="preserve">amma </w:t>
      </w:r>
      <w:r>
        <w:t>g</w:t>
      </w:r>
      <w:r w:rsidRPr="009A075A">
        <w:t xml:space="preserve">lutamyl </w:t>
      </w:r>
      <w:r>
        <w:t>t</w:t>
      </w:r>
      <w:r w:rsidRPr="009A075A">
        <w:t xml:space="preserve">ransferase </w:t>
      </w:r>
      <w:r>
        <w:t>(</w:t>
      </w:r>
      <w:r w:rsidRPr="009A075A">
        <w:t>GGT</w:t>
      </w:r>
      <w:r>
        <w:t>)</w:t>
      </w:r>
      <w:r w:rsidRPr="009A075A">
        <w:t xml:space="preserve"> and </w:t>
      </w:r>
      <w:r>
        <w:t>alanine aminotransferase (ALT)</w:t>
      </w:r>
      <w:r w:rsidRPr="009A075A">
        <w:t xml:space="preserve"> elevated to greater than 1.5 times the upper limit of normal for </w:t>
      </w:r>
      <w:r w:rsidR="00C56120">
        <w:t>more</w:t>
      </w:r>
      <w:r w:rsidR="00DA7367">
        <w:t xml:space="preserve"> </w:t>
      </w:r>
      <w:r w:rsidR="00FD5C06">
        <w:t xml:space="preserve">than </w:t>
      </w:r>
      <w:r>
        <w:t>three</w:t>
      </w:r>
      <w:r w:rsidRPr="009A075A">
        <w:t xml:space="preserve"> months with no other clinical cause</w:t>
      </w:r>
    </w:p>
    <w:p w:rsidR="00664018" w:rsidRPr="009A075A" w:rsidRDefault="00664018" w:rsidP="00FD5C06">
      <w:pPr>
        <w:pStyle w:val="Bullet"/>
      </w:pPr>
      <w:r>
        <w:t>a</w:t>
      </w:r>
      <w:r w:rsidRPr="009A075A">
        <w:t>bnormal LFT</w:t>
      </w:r>
      <w:r>
        <w:t>s</w:t>
      </w:r>
      <w:r w:rsidRPr="009A075A">
        <w:t xml:space="preserve"> suggestive of biliary tract obstruction or malignancy (persistent</w:t>
      </w:r>
      <w:r>
        <w:t>ly raised alkaline phosphatase</w:t>
      </w:r>
      <w:r w:rsidR="00EF274D">
        <w:t xml:space="preserve"> </w:t>
      </w:r>
      <w:r>
        <w:t>(ALP)/GGT</w:t>
      </w:r>
      <w:r w:rsidR="0007017F">
        <w:t>±</w:t>
      </w:r>
      <w:r>
        <w:t xml:space="preserve"> bilirubin).</w:t>
      </w:r>
      <w:r w:rsidRPr="00910A28">
        <w:rPr>
          <w:vertAlign w:val="superscript"/>
        </w:rPr>
        <w:t>3</w:t>
      </w:r>
    </w:p>
    <w:p w:rsidR="00664018" w:rsidRDefault="00664018" w:rsidP="0007017F"/>
    <w:p w:rsidR="00664018" w:rsidRPr="009A075A" w:rsidRDefault="00664018" w:rsidP="0007017F">
      <w:r w:rsidRPr="009A075A">
        <w:t>Referral for community ultrasound not typically indicated</w:t>
      </w:r>
      <w:r>
        <w:t>:</w:t>
      </w:r>
    </w:p>
    <w:p w:rsidR="00664018" w:rsidRPr="009A075A" w:rsidRDefault="00664018" w:rsidP="0007017F">
      <w:pPr>
        <w:pStyle w:val="Bullet"/>
      </w:pPr>
      <w:r>
        <w:t>i</w:t>
      </w:r>
      <w:r w:rsidRPr="009A075A">
        <w:t>nfective hepatitis</w:t>
      </w:r>
    </w:p>
    <w:p w:rsidR="00664018" w:rsidRPr="009A075A" w:rsidRDefault="00664018" w:rsidP="0007017F">
      <w:pPr>
        <w:pStyle w:val="Bullet"/>
      </w:pPr>
      <w:r>
        <w:t>a</w:t>
      </w:r>
      <w:r w:rsidRPr="009A075A">
        <w:t>cute abdomen or suspected bowel obstruction (discuss with local relevant service)</w:t>
      </w:r>
    </w:p>
    <w:p w:rsidR="00664018" w:rsidRPr="009A075A" w:rsidRDefault="00664018" w:rsidP="0007017F">
      <w:pPr>
        <w:pStyle w:val="Bullet"/>
      </w:pPr>
      <w:r>
        <w:t>d</w:t>
      </w:r>
      <w:r w:rsidRPr="009A075A">
        <w:t>yspepsia</w:t>
      </w:r>
    </w:p>
    <w:p w:rsidR="00664018" w:rsidRPr="009A075A" w:rsidRDefault="00664018" w:rsidP="0007017F">
      <w:pPr>
        <w:pStyle w:val="Bullet"/>
      </w:pPr>
      <w:r>
        <w:t>s</w:t>
      </w:r>
      <w:r w:rsidRPr="009A075A">
        <w:t>uspected colorectal neoplasm (refer to colorectal cancer guidelines)</w:t>
      </w:r>
    </w:p>
    <w:p w:rsidR="00664018" w:rsidRPr="009A075A" w:rsidRDefault="00664018" w:rsidP="0007017F">
      <w:pPr>
        <w:pStyle w:val="Bullet"/>
      </w:pPr>
      <w:r>
        <w:t>c</w:t>
      </w:r>
      <w:r w:rsidRPr="009A075A">
        <w:t>linically evident hernia in adults</w:t>
      </w:r>
    </w:p>
    <w:p w:rsidR="0007017F" w:rsidRDefault="00664018" w:rsidP="0007017F">
      <w:pPr>
        <w:pStyle w:val="Bullet"/>
      </w:pPr>
      <w:r>
        <w:t>s</w:t>
      </w:r>
      <w:r w:rsidRPr="009A075A">
        <w:t>creening for AAA.</w:t>
      </w:r>
    </w:p>
    <w:p w:rsidR="00664018" w:rsidRPr="009A075A" w:rsidRDefault="00664018" w:rsidP="0007017F"/>
    <w:p w:rsidR="0007017F" w:rsidRPr="009A075A" w:rsidRDefault="0007017F" w:rsidP="0007017F">
      <w:pPr>
        <w:pStyle w:val="BoxHeading"/>
      </w:pPr>
      <w:r w:rsidRPr="009A075A">
        <w:t>Guidance</w:t>
      </w:r>
    </w:p>
    <w:p w:rsidR="0007017F" w:rsidRPr="009A075A" w:rsidRDefault="0007017F" w:rsidP="0007017F">
      <w:pPr>
        <w:pStyle w:val="Box"/>
      </w:pPr>
      <w:r>
        <w:t>Discuss s</w:t>
      </w:r>
      <w:r w:rsidRPr="009A075A">
        <w:t xml:space="preserve">uspected pancreatic disease with </w:t>
      </w:r>
      <w:r>
        <w:t xml:space="preserve">a </w:t>
      </w:r>
      <w:r w:rsidRPr="009A075A">
        <w:t xml:space="preserve">relevant local specialist. </w:t>
      </w:r>
      <w:r>
        <w:t xml:space="preserve">A </w:t>
      </w:r>
      <w:r w:rsidRPr="009A075A">
        <w:t xml:space="preserve">CT </w:t>
      </w:r>
      <w:r>
        <w:t xml:space="preserve">scan </w:t>
      </w:r>
      <w:r w:rsidRPr="009A075A">
        <w:t>may be more appropriate.</w:t>
      </w:r>
    </w:p>
    <w:p w:rsidR="00664018" w:rsidRDefault="00664018" w:rsidP="0007017F"/>
    <w:p w:rsidR="00377AE5" w:rsidRDefault="00664018" w:rsidP="0007017F">
      <w:pPr>
        <w:pStyle w:val="Heading3"/>
      </w:pPr>
      <w:r w:rsidRPr="009A075A">
        <w:t>Breast</w:t>
      </w:r>
    </w:p>
    <w:p w:rsidR="00377AE5" w:rsidRDefault="00664018" w:rsidP="0007017F">
      <w:r w:rsidRPr="009A075A">
        <w:t xml:space="preserve">Standard indications for </w:t>
      </w:r>
      <w:r w:rsidRPr="004A0606">
        <w:t>ultrasound referral</w:t>
      </w:r>
      <w:r w:rsidRPr="009A075A">
        <w:t xml:space="preserve"> in the absence of local breast pathway</w:t>
      </w:r>
      <w:r>
        <w:t>:</w:t>
      </w:r>
    </w:p>
    <w:p w:rsidR="00664018" w:rsidRPr="009A075A" w:rsidRDefault="00664018" w:rsidP="0007017F">
      <w:pPr>
        <w:pStyle w:val="Bullet"/>
      </w:pPr>
      <w:r w:rsidRPr="00377AE5">
        <w:t>women under 40 years of age with clinically benign or uncertain lump, or localised change in texture</w:t>
      </w:r>
    </w:p>
    <w:p w:rsidR="00664018" w:rsidRPr="009A075A" w:rsidRDefault="00664018" w:rsidP="0007017F">
      <w:pPr>
        <w:pStyle w:val="Bullet"/>
      </w:pPr>
      <w:r w:rsidRPr="00377AE5">
        <w:t>men with unexplained or suspicious unilateral breast enlargement</w:t>
      </w:r>
    </w:p>
    <w:p w:rsidR="00377AE5" w:rsidRDefault="00664018" w:rsidP="0007017F">
      <w:pPr>
        <w:pStyle w:val="Bullet"/>
      </w:pPr>
      <w:r>
        <w:t>a</w:t>
      </w:r>
      <w:r w:rsidRPr="009A075A">
        <w:t>xillary lymph node enlargement or suspected lymph node enlargement in the absence of obvious infectious cause.</w:t>
      </w:r>
    </w:p>
    <w:p w:rsidR="00664018" w:rsidRDefault="00664018" w:rsidP="0007017F"/>
    <w:p w:rsidR="00664018" w:rsidRPr="009A075A" w:rsidRDefault="00664018" w:rsidP="0007017F">
      <w:r w:rsidRPr="009A075A">
        <w:t>Referral for community ultrasound not typically indicated</w:t>
      </w:r>
      <w:r>
        <w:t>:</w:t>
      </w:r>
    </w:p>
    <w:p w:rsidR="00664018" w:rsidRPr="009A075A" w:rsidRDefault="00664018" w:rsidP="0007017F">
      <w:pPr>
        <w:pStyle w:val="Bullet"/>
      </w:pPr>
      <w:r>
        <w:t>b</w:t>
      </w:r>
      <w:r w:rsidRPr="009A075A">
        <w:t>reast pain alone</w:t>
      </w:r>
    </w:p>
    <w:p w:rsidR="0007017F" w:rsidRDefault="00664018" w:rsidP="0007017F">
      <w:pPr>
        <w:pStyle w:val="Bullet"/>
      </w:pPr>
      <w:r>
        <w:t>b</w:t>
      </w:r>
      <w:r w:rsidRPr="009A075A">
        <w:t>ilateral male breast enlargement.</w:t>
      </w:r>
    </w:p>
    <w:p w:rsidR="00664018" w:rsidRPr="009A075A" w:rsidRDefault="00664018" w:rsidP="0007017F"/>
    <w:p w:rsidR="0007017F" w:rsidRPr="009A075A" w:rsidRDefault="0007017F" w:rsidP="0007017F">
      <w:pPr>
        <w:pStyle w:val="BoxHeading"/>
      </w:pPr>
      <w:r w:rsidRPr="009A075A">
        <w:t>Guidance</w:t>
      </w:r>
    </w:p>
    <w:p w:rsidR="0007017F" w:rsidRPr="009A075A" w:rsidRDefault="0007017F" w:rsidP="0007017F">
      <w:pPr>
        <w:pStyle w:val="BoxBullet"/>
      </w:pPr>
      <w:r w:rsidRPr="009A075A">
        <w:t>Refer</w:t>
      </w:r>
      <w:r w:rsidR="002F7979">
        <w:t>ral</w:t>
      </w:r>
      <w:r w:rsidRPr="009A075A">
        <w:t xml:space="preserve"> to </w:t>
      </w:r>
      <w:r>
        <w:t xml:space="preserve">a </w:t>
      </w:r>
      <w:r w:rsidRPr="009A075A">
        <w:t>local breast service for advice/assessment and multidisciplinary work</w:t>
      </w:r>
      <w:r>
        <w:t>-</w:t>
      </w:r>
      <w:r w:rsidRPr="009A075A">
        <w:t>up</w:t>
      </w:r>
      <w:r>
        <w:t>,</w:t>
      </w:r>
      <w:r w:rsidRPr="009A075A">
        <w:t xml:space="preserve"> </w:t>
      </w:r>
      <w:r>
        <w:t xml:space="preserve">is preferable, and where such a service </w:t>
      </w:r>
      <w:r w:rsidRPr="009A075A">
        <w:t xml:space="preserve">is available </w:t>
      </w:r>
      <w:r w:rsidRPr="005B6943">
        <w:t xml:space="preserve">locally </w:t>
      </w:r>
      <w:r>
        <w:t xml:space="preserve">(this </w:t>
      </w:r>
      <w:r w:rsidRPr="009A075A">
        <w:t>supersede</w:t>
      </w:r>
      <w:r>
        <w:t>s</w:t>
      </w:r>
      <w:r w:rsidRPr="009A075A">
        <w:t xml:space="preserve"> these recommendations</w:t>
      </w:r>
      <w:r>
        <w:t>)</w:t>
      </w:r>
      <w:r w:rsidRPr="009A075A">
        <w:t>.</w:t>
      </w:r>
    </w:p>
    <w:p w:rsidR="0007017F" w:rsidRPr="00377AE5" w:rsidRDefault="0007017F" w:rsidP="0007017F">
      <w:pPr>
        <w:pStyle w:val="BoxBullet"/>
        <w:rPr>
          <w:b/>
          <w:color w:val="44546A"/>
        </w:rPr>
      </w:pPr>
      <w:r w:rsidRPr="009A075A">
        <w:t>Mammography (</w:t>
      </w:r>
      <w:r>
        <w:t xml:space="preserve">± </w:t>
      </w:r>
      <w:r w:rsidRPr="009A075A">
        <w:t xml:space="preserve">ultrasound) is the appropriate investigation modality for women over 40 years. If there is no </w:t>
      </w:r>
      <w:r>
        <w:t>b</w:t>
      </w:r>
      <w:r w:rsidRPr="009A075A">
        <w:t xml:space="preserve">reast </w:t>
      </w:r>
      <w:r>
        <w:t>c</w:t>
      </w:r>
      <w:r w:rsidRPr="009A075A">
        <w:t>linic service available</w:t>
      </w:r>
      <w:r>
        <w:t>, refer</w:t>
      </w:r>
      <w:r w:rsidRPr="009A075A">
        <w:t xml:space="preserve"> these women directly for mammography and ultrasound if required.</w:t>
      </w:r>
    </w:p>
    <w:p w:rsidR="00664018" w:rsidRPr="009A075A" w:rsidRDefault="00664018" w:rsidP="0007017F"/>
    <w:p w:rsidR="00664018" w:rsidRPr="002C5E2B" w:rsidRDefault="00664018" w:rsidP="0007017F">
      <w:pPr>
        <w:pStyle w:val="Heading3"/>
      </w:pPr>
      <w:r w:rsidRPr="009A075A">
        <w:t>Carotid Doppler</w:t>
      </w:r>
    </w:p>
    <w:p w:rsidR="00664018" w:rsidRPr="009A075A" w:rsidRDefault="00664018" w:rsidP="0007017F">
      <w:r w:rsidRPr="009A075A">
        <w:t>Standard indications for imaging referral</w:t>
      </w:r>
      <w:r>
        <w:t>:</w:t>
      </w:r>
    </w:p>
    <w:p w:rsidR="00377AE5" w:rsidRDefault="00664018" w:rsidP="0007017F">
      <w:pPr>
        <w:pStyle w:val="Bullet"/>
      </w:pPr>
      <w:r>
        <w:t>h</w:t>
      </w:r>
      <w:r w:rsidRPr="009A075A">
        <w:t xml:space="preserve">istory of </w:t>
      </w:r>
      <w:r>
        <w:t>transient ischaemic attack</w:t>
      </w:r>
      <w:r w:rsidRPr="009A075A">
        <w:t xml:space="preserve"> or stroke with minor deficit where presentation meets local pathway criteria</w:t>
      </w:r>
    </w:p>
    <w:p w:rsidR="00664018" w:rsidRPr="009A075A" w:rsidRDefault="00664018" w:rsidP="0007017F">
      <w:pPr>
        <w:pStyle w:val="Bullet"/>
      </w:pPr>
      <w:r>
        <w:t>w</w:t>
      </w:r>
      <w:r w:rsidRPr="009A075A">
        <w:t xml:space="preserve">here no local pathway is in place and </w:t>
      </w:r>
      <w:r>
        <w:t xml:space="preserve">a relevant specialist has recommended a </w:t>
      </w:r>
      <w:r w:rsidRPr="009A075A">
        <w:t xml:space="preserve">carotid </w:t>
      </w:r>
      <w:r w:rsidRPr="005B6943">
        <w:t>Doppler</w:t>
      </w:r>
      <w:r w:rsidRPr="009A075A">
        <w:t xml:space="preserve"> </w:t>
      </w:r>
      <w:r>
        <w:t>ultrasound</w:t>
      </w:r>
      <w:r w:rsidRPr="009A075A">
        <w:t>.</w:t>
      </w:r>
    </w:p>
    <w:p w:rsidR="00664018" w:rsidRDefault="00664018" w:rsidP="0007017F"/>
    <w:p w:rsidR="00664018" w:rsidRPr="009A075A" w:rsidRDefault="00664018" w:rsidP="0007017F">
      <w:r w:rsidRPr="009A075A">
        <w:t>Referral for community/outpatient imaging not typically indicated</w:t>
      </w:r>
      <w:r>
        <w:t>:</w:t>
      </w:r>
    </w:p>
    <w:p w:rsidR="00664018" w:rsidRPr="009A075A" w:rsidRDefault="00664018" w:rsidP="0007017F">
      <w:pPr>
        <w:pStyle w:val="Bullet"/>
      </w:pPr>
      <w:r>
        <w:t>a</w:t>
      </w:r>
      <w:r w:rsidRPr="009A075A">
        <w:t>symptomatic carotid bruits.</w:t>
      </w:r>
    </w:p>
    <w:p w:rsidR="00664018" w:rsidRDefault="00664018" w:rsidP="0007017F"/>
    <w:p w:rsidR="00664018" w:rsidRPr="002C5E2B" w:rsidRDefault="00664018" w:rsidP="0007017F">
      <w:pPr>
        <w:pStyle w:val="Heading3"/>
      </w:pPr>
      <w:r w:rsidRPr="009A075A">
        <w:t>Gro</w:t>
      </w:r>
      <w:r w:rsidRPr="002C5E2B">
        <w:t>i</w:t>
      </w:r>
      <w:r w:rsidRPr="009A075A">
        <w:t>n</w:t>
      </w:r>
    </w:p>
    <w:p w:rsidR="00664018" w:rsidRPr="009A075A" w:rsidRDefault="00664018" w:rsidP="0007017F">
      <w:r w:rsidRPr="009A075A">
        <w:t>Standard indications for ultrasound referral</w:t>
      </w:r>
      <w:r>
        <w:t>:</w:t>
      </w:r>
    </w:p>
    <w:p w:rsidR="00377AE5" w:rsidRDefault="00664018" w:rsidP="0007017F">
      <w:pPr>
        <w:pStyle w:val="Bullet"/>
      </w:pPr>
      <w:r>
        <w:t>n</w:t>
      </w:r>
      <w:r w:rsidRPr="009A075A">
        <w:t xml:space="preserve">on-reducible groin mass present for longer than </w:t>
      </w:r>
      <w:r>
        <w:t xml:space="preserve">three </w:t>
      </w:r>
      <w:r w:rsidRPr="009A075A">
        <w:t>weeks. (If mass is suspicious of cancer</w:t>
      </w:r>
      <w:r>
        <w:t>,</w:t>
      </w:r>
      <w:r w:rsidRPr="009A075A">
        <w:t xml:space="preserve"> discuss with local specialist</w:t>
      </w:r>
      <w:r>
        <w:t>.</w:t>
      </w:r>
      <w:r w:rsidRPr="009A075A">
        <w:t>)</w:t>
      </w:r>
    </w:p>
    <w:p w:rsidR="00664018" w:rsidRDefault="00664018" w:rsidP="0007017F"/>
    <w:p w:rsidR="00664018" w:rsidRPr="009A075A" w:rsidRDefault="00664018" w:rsidP="0007017F">
      <w:r w:rsidRPr="009A075A">
        <w:t>Referral for community ultrasound not typically indicated</w:t>
      </w:r>
      <w:r>
        <w:t>:</w:t>
      </w:r>
    </w:p>
    <w:p w:rsidR="00664018" w:rsidRPr="009A075A" w:rsidRDefault="00664018" w:rsidP="0007017F">
      <w:pPr>
        <w:pStyle w:val="Bullet"/>
      </w:pPr>
      <w:r>
        <w:t>l</w:t>
      </w:r>
      <w:r w:rsidRPr="009A075A">
        <w:t>ymph nodes &lt;</w:t>
      </w:r>
      <w:r w:rsidR="0007017F">
        <w:t> </w:t>
      </w:r>
      <w:r w:rsidRPr="009A075A">
        <w:t>1.5</w:t>
      </w:r>
      <w:r w:rsidR="0007017F">
        <w:t> </w:t>
      </w:r>
      <w:r w:rsidRPr="009A075A">
        <w:t xml:space="preserve">cm diameter and present </w:t>
      </w:r>
      <w:r w:rsidR="00EF274D" w:rsidRPr="007B165D">
        <w:t>less</w:t>
      </w:r>
      <w:r w:rsidR="00DA7367">
        <w:t xml:space="preserve"> </w:t>
      </w:r>
      <w:r w:rsidR="0007017F">
        <w:t xml:space="preserve">than </w:t>
      </w:r>
      <w:r>
        <w:t xml:space="preserve">three </w:t>
      </w:r>
      <w:r w:rsidRPr="009A075A">
        <w:t>weeks</w:t>
      </w:r>
    </w:p>
    <w:p w:rsidR="00664018" w:rsidRPr="009A075A" w:rsidRDefault="00664018" w:rsidP="0007017F">
      <w:pPr>
        <w:pStyle w:val="Bullet"/>
      </w:pPr>
      <w:r>
        <w:t>g</w:t>
      </w:r>
      <w:r w:rsidRPr="009A075A">
        <w:t>roin pain with no palpable mass.</w:t>
      </w:r>
    </w:p>
    <w:p w:rsidR="00664018" w:rsidRPr="009A075A" w:rsidRDefault="00664018" w:rsidP="0007017F"/>
    <w:p w:rsidR="0007017F" w:rsidRPr="009A075A" w:rsidRDefault="0007017F" w:rsidP="0007017F">
      <w:pPr>
        <w:pStyle w:val="BoxHeading"/>
      </w:pPr>
      <w:r w:rsidRPr="009A075A">
        <w:t>Guidance</w:t>
      </w:r>
    </w:p>
    <w:p w:rsidR="0007017F" w:rsidRPr="009A075A" w:rsidRDefault="0007017F" w:rsidP="0007017F">
      <w:pPr>
        <w:pStyle w:val="Box"/>
      </w:pPr>
      <w:r w:rsidRPr="009A075A">
        <w:t>Most hernias can be diagnosed by clinical examination</w:t>
      </w:r>
      <w:r>
        <w:t>;</w:t>
      </w:r>
      <w:r w:rsidRPr="009A075A">
        <w:t xml:space="preserve"> ultrasound is rarely needed.</w:t>
      </w:r>
    </w:p>
    <w:p w:rsidR="00664018" w:rsidRPr="002C5E2B" w:rsidRDefault="00664018" w:rsidP="0007017F">
      <w:pPr>
        <w:pStyle w:val="Heading3"/>
        <w:spacing w:before="360"/>
      </w:pPr>
      <w:r w:rsidRPr="009A075A">
        <w:t>Hip</w:t>
      </w:r>
    </w:p>
    <w:p w:rsidR="00664018" w:rsidRPr="009A075A" w:rsidRDefault="00664018" w:rsidP="0007017F">
      <w:r w:rsidRPr="009A075A">
        <w:t>Referral for ultrasound not typically indicated</w:t>
      </w:r>
      <w:r>
        <w:t>:</w:t>
      </w:r>
    </w:p>
    <w:p w:rsidR="00664018" w:rsidRPr="009A075A" w:rsidRDefault="00664018" w:rsidP="0007017F">
      <w:pPr>
        <w:pStyle w:val="Bullet"/>
      </w:pPr>
      <w:r>
        <w:t>s</w:t>
      </w:r>
      <w:r w:rsidRPr="009A075A">
        <w:t>uspected trochanteric bursitis. The underlying pathology in greater trochanteric pain syndrome is most commonly gluteus tendinopathy</w:t>
      </w:r>
      <w:r>
        <w:t>,</w:t>
      </w:r>
      <w:r w:rsidRPr="009A075A">
        <w:t xml:space="preserve"> and ultrasound is not routinely required. Referral for hip </w:t>
      </w:r>
      <w:r>
        <w:t>X</w:t>
      </w:r>
      <w:r w:rsidRPr="009A075A">
        <w:t>-ray is recommended to identify bone or joint pathology</w:t>
      </w:r>
      <w:r>
        <w:t>.</w:t>
      </w:r>
      <w:r w:rsidRPr="00910A28">
        <w:rPr>
          <w:vertAlign w:val="superscript"/>
        </w:rPr>
        <w:t>4</w:t>
      </w:r>
    </w:p>
    <w:p w:rsidR="00664018" w:rsidRDefault="00664018" w:rsidP="0007017F"/>
    <w:p w:rsidR="00664018" w:rsidRPr="002C5E2B" w:rsidRDefault="00664018" w:rsidP="0007017F">
      <w:pPr>
        <w:pStyle w:val="Heading3"/>
      </w:pPr>
      <w:r w:rsidRPr="009A075A">
        <w:t>Neck</w:t>
      </w:r>
    </w:p>
    <w:p w:rsidR="00664018" w:rsidRPr="009A075A" w:rsidRDefault="00664018" w:rsidP="0007017F">
      <w:r w:rsidRPr="009A075A">
        <w:t>Standard indications for ultrasound referral</w:t>
      </w:r>
      <w:r>
        <w:t>:</w:t>
      </w:r>
    </w:p>
    <w:p w:rsidR="00664018" w:rsidRPr="009A075A" w:rsidRDefault="00664018" w:rsidP="0007017F">
      <w:pPr>
        <w:pStyle w:val="Bullet"/>
      </w:pPr>
      <w:r>
        <w:t>s</w:t>
      </w:r>
      <w:r w:rsidRPr="009A075A">
        <w:t xml:space="preserve">alivary gland mass persisting for </w:t>
      </w:r>
      <w:r w:rsidR="00DA7367">
        <w:t xml:space="preserve">more </w:t>
      </w:r>
      <w:r w:rsidR="0007017F">
        <w:t xml:space="preserve">than </w:t>
      </w:r>
      <w:r>
        <w:t>three</w:t>
      </w:r>
      <w:r w:rsidRPr="009A075A">
        <w:t xml:space="preserve"> weeks</w:t>
      </w:r>
    </w:p>
    <w:p w:rsidR="00664018" w:rsidRDefault="00664018" w:rsidP="0007017F">
      <w:pPr>
        <w:pStyle w:val="Bullet"/>
      </w:pPr>
      <w:r>
        <w:t>s</w:t>
      </w:r>
      <w:r w:rsidRPr="009A075A">
        <w:t xml:space="preserve">uspected </w:t>
      </w:r>
      <w:r>
        <w:t>l</w:t>
      </w:r>
      <w:r w:rsidRPr="009A075A">
        <w:t xml:space="preserve">ymph node or undifferentiated neck mass </w:t>
      </w:r>
      <w:r>
        <w:t xml:space="preserve">– </w:t>
      </w:r>
      <w:r w:rsidRPr="009A075A">
        <w:t xml:space="preserve">where swelling has persisted </w:t>
      </w:r>
      <w:r w:rsidR="00DA7367">
        <w:t xml:space="preserve">more </w:t>
      </w:r>
      <w:r w:rsidR="0007017F">
        <w:t>than</w:t>
      </w:r>
      <w:r w:rsidRPr="009A075A">
        <w:t xml:space="preserve"> </w:t>
      </w:r>
      <w:r>
        <w:t xml:space="preserve">three </w:t>
      </w:r>
      <w:r w:rsidRPr="005B6943">
        <w:t>weeks</w:t>
      </w:r>
      <w:r>
        <w:t>,</w:t>
      </w:r>
      <w:r w:rsidRPr="009A075A">
        <w:t xml:space="preserve"> is &gt;</w:t>
      </w:r>
      <w:r w:rsidR="0007017F">
        <w:t> </w:t>
      </w:r>
      <w:r w:rsidRPr="009A075A">
        <w:t>1.5</w:t>
      </w:r>
      <w:r w:rsidR="0007017F">
        <w:t> </w:t>
      </w:r>
      <w:r w:rsidRPr="009A075A">
        <w:t>cm size and there is no obvious infectious or other medical cause</w:t>
      </w:r>
      <w:r>
        <w:t>.</w:t>
      </w:r>
      <w:r w:rsidRPr="00910A28">
        <w:rPr>
          <w:vertAlign w:val="superscript"/>
        </w:rPr>
        <w:t>5</w:t>
      </w:r>
    </w:p>
    <w:p w:rsidR="0007017F" w:rsidRPr="009A075A" w:rsidRDefault="0007017F" w:rsidP="0007017F"/>
    <w:p w:rsidR="0007017F" w:rsidRPr="009A075A" w:rsidRDefault="0007017F" w:rsidP="0007017F">
      <w:pPr>
        <w:pStyle w:val="BoxHeading"/>
      </w:pPr>
      <w:r w:rsidRPr="009A075A">
        <w:t>Guidance</w:t>
      </w:r>
    </w:p>
    <w:p w:rsidR="0007017F" w:rsidRDefault="0007017F" w:rsidP="0007017F">
      <w:pPr>
        <w:pStyle w:val="BoxBullet"/>
      </w:pPr>
      <w:r w:rsidRPr="009A075A">
        <w:t>If a neck mass is suspicious for malignancy</w:t>
      </w:r>
      <w:r>
        <w:t>,</w:t>
      </w:r>
      <w:r w:rsidRPr="009A075A">
        <w:t xml:space="preserve"> discuss with </w:t>
      </w:r>
      <w:r>
        <w:t xml:space="preserve">a </w:t>
      </w:r>
      <w:r w:rsidRPr="009A075A">
        <w:t>relevant local specialist</w:t>
      </w:r>
      <w:r>
        <w:t>.</w:t>
      </w:r>
    </w:p>
    <w:p w:rsidR="0007017F" w:rsidRPr="009A075A" w:rsidRDefault="0007017F" w:rsidP="0007017F">
      <w:pPr>
        <w:pStyle w:val="BoxBullet"/>
      </w:pPr>
      <w:r w:rsidRPr="009A075A">
        <w:t xml:space="preserve">If </w:t>
      </w:r>
      <w:r>
        <w:t xml:space="preserve">a patient has a </w:t>
      </w:r>
      <w:r w:rsidRPr="009A075A">
        <w:t>prior history of a salivary gland tumour or cutaneous</w:t>
      </w:r>
      <w:r>
        <w:t xml:space="preserve"> squamous cell carcinoma</w:t>
      </w:r>
      <w:r w:rsidRPr="009A075A">
        <w:t xml:space="preserve"> SCC of head or face or </w:t>
      </w:r>
      <w:r>
        <w:t xml:space="preserve">has </w:t>
      </w:r>
      <w:r w:rsidRPr="009A075A">
        <w:t>onset of facial nerve symptoms</w:t>
      </w:r>
      <w:r>
        <w:t>,</w:t>
      </w:r>
      <w:r w:rsidRPr="009A075A">
        <w:t xml:space="preserve"> discuss with</w:t>
      </w:r>
      <w:r>
        <w:t xml:space="preserve"> relevant surgical </w:t>
      </w:r>
      <w:r w:rsidR="00223DAB">
        <w:t>specialist</w:t>
      </w:r>
      <w:r>
        <w:t>;</w:t>
      </w:r>
      <w:r w:rsidRPr="009A075A">
        <w:t xml:space="preserve"> referral to </w:t>
      </w:r>
      <w:r>
        <w:t xml:space="preserve">a </w:t>
      </w:r>
      <w:r w:rsidRPr="009A075A">
        <w:t>clinic may be more appropriate.</w:t>
      </w:r>
    </w:p>
    <w:p w:rsidR="00664018" w:rsidRPr="009A075A" w:rsidRDefault="00664018" w:rsidP="0007017F"/>
    <w:p w:rsidR="00664018" w:rsidRPr="00825CBA" w:rsidRDefault="00664018" w:rsidP="0007017F">
      <w:pPr>
        <w:pStyle w:val="Heading3"/>
      </w:pPr>
      <w:r w:rsidRPr="009A075A">
        <w:t>Pelvis</w:t>
      </w:r>
    </w:p>
    <w:p w:rsidR="00664018" w:rsidRPr="00267561" w:rsidRDefault="00664018" w:rsidP="0007017F">
      <w:r w:rsidRPr="00267561">
        <w:t>Standard indications for ultrasound referral</w:t>
      </w:r>
      <w:r>
        <w:t>:</w:t>
      </w:r>
    </w:p>
    <w:p w:rsidR="00664018" w:rsidRPr="00267561" w:rsidRDefault="00664018" w:rsidP="0007017F">
      <w:pPr>
        <w:pStyle w:val="Bullet"/>
      </w:pPr>
      <w:r>
        <w:t>intrauterine contraceptive device (IUCD)</w:t>
      </w:r>
      <w:r w:rsidRPr="00267561">
        <w:t xml:space="preserve"> </w:t>
      </w:r>
      <w:r w:rsidR="002F7979">
        <w:t xml:space="preserve">strings </w:t>
      </w:r>
      <w:r w:rsidRPr="00267561">
        <w:t>not visible on examination</w:t>
      </w:r>
    </w:p>
    <w:p w:rsidR="00664018" w:rsidRPr="00267561" w:rsidRDefault="00664018" w:rsidP="0007017F">
      <w:pPr>
        <w:pStyle w:val="Bullet"/>
      </w:pPr>
      <w:r>
        <w:t>p</w:t>
      </w:r>
      <w:r w:rsidRPr="00267561">
        <w:t xml:space="preserve">ost-menopausal bleeding after </w:t>
      </w:r>
      <w:r>
        <w:t>one</w:t>
      </w:r>
      <w:r w:rsidRPr="00267561">
        <w:t xml:space="preserve"> year of amenorrhoea</w:t>
      </w:r>
    </w:p>
    <w:p w:rsidR="00664018" w:rsidRPr="00267561" w:rsidRDefault="00664018" w:rsidP="0007017F">
      <w:pPr>
        <w:pStyle w:val="Bullet"/>
      </w:pPr>
      <w:r>
        <w:t>p</w:t>
      </w:r>
      <w:r w:rsidRPr="00267561">
        <w:t xml:space="preserve">elvic mass on examination. </w:t>
      </w:r>
      <w:r>
        <w:t>Request a</w:t>
      </w:r>
      <w:r w:rsidRPr="00267561">
        <w:t xml:space="preserve"> Ca125 </w:t>
      </w:r>
      <w:r>
        <w:t xml:space="preserve">and an urgent scan </w:t>
      </w:r>
      <w:r w:rsidRPr="00267561">
        <w:t>if there is a high index of suspicion for ovarian malignancy</w:t>
      </w:r>
    </w:p>
    <w:p w:rsidR="00664018" w:rsidRPr="00267561" w:rsidRDefault="00664018" w:rsidP="0007017F">
      <w:pPr>
        <w:pStyle w:val="Bullet"/>
      </w:pPr>
      <w:r>
        <w:t>s</w:t>
      </w:r>
      <w:r w:rsidRPr="00267561">
        <w:t>uspected ovarian cyst (unilateral pelvic pain</w:t>
      </w:r>
      <w:r w:rsidR="004D6272">
        <w:t xml:space="preserve"> for more than</w:t>
      </w:r>
      <w:r w:rsidR="00EF274D">
        <w:t xml:space="preserve"> </w:t>
      </w:r>
      <w:r>
        <w:t>four</w:t>
      </w:r>
      <w:r w:rsidRPr="00267561">
        <w:t xml:space="preserve"> weeks and/or pelvic mass or unilateral tenderness)</w:t>
      </w:r>
    </w:p>
    <w:p w:rsidR="00664018" w:rsidRPr="00267561" w:rsidRDefault="00664018" w:rsidP="0007017F">
      <w:pPr>
        <w:pStyle w:val="Bullet"/>
      </w:pPr>
      <w:r>
        <w:t>p</w:t>
      </w:r>
      <w:r w:rsidRPr="00267561">
        <w:t xml:space="preserve">elvic pain </w:t>
      </w:r>
      <w:r w:rsidR="002F7979">
        <w:t xml:space="preserve">more </w:t>
      </w:r>
      <w:r w:rsidR="0007017F">
        <w:t xml:space="preserve">than </w:t>
      </w:r>
      <w:r>
        <w:t>six</w:t>
      </w:r>
      <w:r w:rsidRPr="00267561">
        <w:t xml:space="preserve"> weeks unrelated to menstrual cycle</w:t>
      </w:r>
      <w:r>
        <w:t>,</w:t>
      </w:r>
      <w:r w:rsidRPr="00267561">
        <w:t xml:space="preserve"> with pelvic inflammatory disease excluded. Pre-referral expectation is that cervix has been visualised and swab</w:t>
      </w:r>
      <w:r w:rsidR="002F7979">
        <w:t>s</w:t>
      </w:r>
      <w:r w:rsidRPr="00267561">
        <w:t xml:space="preserve"> and smear taken</w:t>
      </w:r>
    </w:p>
    <w:p w:rsidR="00664018" w:rsidRPr="00267561" w:rsidRDefault="00664018" w:rsidP="0007017F">
      <w:pPr>
        <w:pStyle w:val="Bullet"/>
      </w:pPr>
      <w:r>
        <w:t>a</w:t>
      </w:r>
      <w:r w:rsidRPr="00267561">
        <w:t>bnormal pre-menopausal bleeding &gt;</w:t>
      </w:r>
      <w:r w:rsidR="0007017F">
        <w:t> </w:t>
      </w:r>
      <w:r w:rsidRPr="00267561">
        <w:t>45 years old. Pre-referral expectation is that if IUCD was present it has been removed for 3+ months</w:t>
      </w:r>
      <w:r w:rsidR="0007017F">
        <w:t>.</w:t>
      </w:r>
      <w:r w:rsidRPr="00267561">
        <w:rPr>
          <w:vertAlign w:val="superscript"/>
        </w:rPr>
        <w:t>6</w:t>
      </w:r>
    </w:p>
    <w:p w:rsidR="00664018" w:rsidRPr="00267561" w:rsidRDefault="00664018" w:rsidP="0007017F">
      <w:pPr>
        <w:pStyle w:val="Bullet"/>
      </w:pPr>
      <w:r>
        <w:t>a</w:t>
      </w:r>
      <w:r w:rsidRPr="00267561">
        <w:t>bnormal bleeding &lt;</w:t>
      </w:r>
      <w:r w:rsidR="0007017F">
        <w:t> </w:t>
      </w:r>
      <w:r w:rsidRPr="00267561">
        <w:t xml:space="preserve">45 years old and one or more </w:t>
      </w:r>
      <w:r>
        <w:t xml:space="preserve">of the following </w:t>
      </w:r>
      <w:r w:rsidRPr="00267561">
        <w:t>risk factors for endometrial hyperplasia</w:t>
      </w:r>
      <w:r>
        <w:t>:</w:t>
      </w:r>
      <w:r w:rsidRPr="00267561">
        <w:rPr>
          <w:vertAlign w:val="superscript"/>
        </w:rPr>
        <w:t>6</w:t>
      </w:r>
    </w:p>
    <w:p w:rsidR="00664018" w:rsidRPr="00267561" w:rsidRDefault="00664018" w:rsidP="0007017F">
      <w:pPr>
        <w:pStyle w:val="Dash"/>
      </w:pPr>
      <w:r>
        <w:t>w</w:t>
      </w:r>
      <w:r w:rsidRPr="00267561">
        <w:t>eight &gt;90 kg</w:t>
      </w:r>
    </w:p>
    <w:p w:rsidR="00664018" w:rsidRPr="00267561" w:rsidRDefault="00664018" w:rsidP="0007017F">
      <w:pPr>
        <w:pStyle w:val="Dash"/>
      </w:pPr>
      <w:r>
        <w:t>h</w:t>
      </w:r>
      <w:r w:rsidRPr="00267561">
        <w:t>istory of unopposed oestrogen or tamoxifen use</w:t>
      </w:r>
    </w:p>
    <w:p w:rsidR="00664018" w:rsidRPr="00267561" w:rsidRDefault="00664018" w:rsidP="0007017F">
      <w:pPr>
        <w:pStyle w:val="Dash"/>
      </w:pPr>
      <w:r>
        <w:t>n</w:t>
      </w:r>
      <w:r w:rsidRPr="00267561">
        <w:t>ullipar</w:t>
      </w:r>
      <w:r>
        <w:t>ity</w:t>
      </w:r>
    </w:p>
    <w:p w:rsidR="00664018" w:rsidRDefault="00664018" w:rsidP="0007017F">
      <w:pPr>
        <w:pStyle w:val="Dash"/>
      </w:pPr>
      <w:r>
        <w:t>c</w:t>
      </w:r>
      <w:r w:rsidRPr="00267561">
        <w:t xml:space="preserve">hronic anovulation </w:t>
      </w:r>
      <w:r w:rsidR="0007017F">
        <w:t>±</w:t>
      </w:r>
      <w:r w:rsidRPr="00267561">
        <w:t xml:space="preserve"> infertility.</w:t>
      </w:r>
    </w:p>
    <w:p w:rsidR="0007017F" w:rsidRPr="00267561" w:rsidRDefault="0007017F" w:rsidP="0007017F"/>
    <w:p w:rsidR="00664018" w:rsidRPr="00267561" w:rsidRDefault="00664018" w:rsidP="0007017F">
      <w:pPr>
        <w:keepNext/>
      </w:pPr>
      <w:r w:rsidRPr="00267561">
        <w:t>Referral for ultrasound not typically indicated</w:t>
      </w:r>
      <w:r>
        <w:t>:</w:t>
      </w:r>
    </w:p>
    <w:p w:rsidR="00664018" w:rsidRPr="00267561" w:rsidRDefault="00664018" w:rsidP="0007017F">
      <w:pPr>
        <w:pStyle w:val="Bullet"/>
        <w:keepNext/>
      </w:pPr>
      <w:r>
        <w:t>r</w:t>
      </w:r>
      <w:r w:rsidRPr="00267561">
        <w:t>outine follow</w:t>
      </w:r>
      <w:r>
        <w:t>-</w:t>
      </w:r>
      <w:r w:rsidRPr="00267561">
        <w:t>up of known fibroids</w:t>
      </w:r>
      <w:r w:rsidRPr="00267561">
        <w:rPr>
          <w:vertAlign w:val="superscript"/>
        </w:rPr>
        <w:t>7</w:t>
      </w:r>
    </w:p>
    <w:p w:rsidR="00664018" w:rsidRPr="00267561" w:rsidRDefault="00664018" w:rsidP="0007017F">
      <w:pPr>
        <w:pStyle w:val="Bullet"/>
        <w:keepNext/>
      </w:pPr>
      <w:r>
        <w:t>f</w:t>
      </w:r>
      <w:r w:rsidRPr="00267561">
        <w:t>ollow</w:t>
      </w:r>
      <w:r>
        <w:t>-</w:t>
      </w:r>
      <w:r w:rsidRPr="00267561">
        <w:t>up of simple ovarian cyst &lt;</w:t>
      </w:r>
      <w:r w:rsidR="0007017F">
        <w:t> </w:t>
      </w:r>
      <w:r w:rsidRPr="00267561">
        <w:t>5</w:t>
      </w:r>
      <w:r w:rsidR="0007017F">
        <w:t> </w:t>
      </w:r>
      <w:r w:rsidRPr="00267561">
        <w:t>cm diameter in asymptomatic premenopausal/low</w:t>
      </w:r>
      <w:r>
        <w:t>-</w:t>
      </w:r>
      <w:r w:rsidRPr="00267561">
        <w:t>risk woman</w:t>
      </w:r>
      <w:r w:rsidRPr="00267561">
        <w:rPr>
          <w:vertAlign w:val="superscript"/>
        </w:rPr>
        <w:t>8</w:t>
      </w:r>
    </w:p>
    <w:p w:rsidR="00664018" w:rsidRPr="00267561" w:rsidRDefault="00664018" w:rsidP="0007017F">
      <w:pPr>
        <w:pStyle w:val="Bullet"/>
        <w:keepNext/>
      </w:pPr>
      <w:r>
        <w:t>p</w:t>
      </w:r>
      <w:r w:rsidRPr="00267561">
        <w:t>rimary dysmenorrhoea</w:t>
      </w:r>
    </w:p>
    <w:p w:rsidR="00377AE5" w:rsidRDefault="00664018" w:rsidP="0007017F">
      <w:pPr>
        <w:pStyle w:val="Bullet"/>
      </w:pPr>
      <w:r>
        <w:t>s</w:t>
      </w:r>
      <w:r w:rsidRPr="00267561">
        <w:t>uspected endometriosis in the absence of a palpable mass</w:t>
      </w:r>
    </w:p>
    <w:p w:rsidR="0007017F" w:rsidRDefault="00664018" w:rsidP="0007017F">
      <w:pPr>
        <w:pStyle w:val="Bullet"/>
      </w:pPr>
      <w:r>
        <w:t>p</w:t>
      </w:r>
      <w:r w:rsidRPr="00267561">
        <w:t xml:space="preserve">olycystic </w:t>
      </w:r>
      <w:r>
        <w:t>o</w:t>
      </w:r>
      <w:r w:rsidRPr="00267561">
        <w:t xml:space="preserve">vary </w:t>
      </w:r>
      <w:r>
        <w:t>s</w:t>
      </w:r>
      <w:r w:rsidRPr="00267561">
        <w:t xml:space="preserve">yndrome where the required </w:t>
      </w:r>
      <w:r>
        <w:t xml:space="preserve">two </w:t>
      </w:r>
      <w:r w:rsidRPr="00267561">
        <w:t xml:space="preserve">out of </w:t>
      </w:r>
      <w:r>
        <w:t xml:space="preserve">three </w:t>
      </w:r>
      <w:r w:rsidRPr="00267561">
        <w:t xml:space="preserve">diagnostic criteria are fulfilled by clinical and biochemical features </w:t>
      </w:r>
      <w:r>
        <w:t>(</w:t>
      </w:r>
      <w:r w:rsidRPr="00267561">
        <w:t>eg</w:t>
      </w:r>
      <w:r>
        <w:t>,</w:t>
      </w:r>
      <w:r w:rsidRPr="00267561">
        <w:t xml:space="preserve"> oligomenorrhoea and clinical or biochemical hyperandrogenism</w:t>
      </w:r>
      <w:r>
        <w:t>).</w:t>
      </w:r>
      <w:r w:rsidRPr="00267561">
        <w:rPr>
          <w:vertAlign w:val="superscript"/>
        </w:rPr>
        <w:t>9</w:t>
      </w:r>
    </w:p>
    <w:p w:rsidR="00664018" w:rsidRPr="00267561" w:rsidRDefault="00664018" w:rsidP="0007017F"/>
    <w:p w:rsidR="0007017F" w:rsidRPr="00267561" w:rsidRDefault="0007017F" w:rsidP="0007017F">
      <w:pPr>
        <w:pStyle w:val="BoxHeading"/>
      </w:pPr>
      <w:r w:rsidRPr="00267561">
        <w:t>Guidance</w:t>
      </w:r>
    </w:p>
    <w:p w:rsidR="00703388" w:rsidRPr="00267561" w:rsidRDefault="00703388" w:rsidP="00703388">
      <w:pPr>
        <w:pStyle w:val="BoxBullet"/>
      </w:pPr>
      <w:r>
        <w:t>Refer women with a</w:t>
      </w:r>
      <w:r w:rsidRPr="00267561">
        <w:t>cute non-pregnant pelvic pain in the absence of a palpable mass to the appropriate specialty service.</w:t>
      </w:r>
    </w:p>
    <w:p w:rsidR="0007017F" w:rsidRPr="00267561" w:rsidRDefault="0007017F" w:rsidP="0007017F">
      <w:pPr>
        <w:pStyle w:val="BoxBullet"/>
      </w:pPr>
      <w:r w:rsidRPr="00267561">
        <w:t xml:space="preserve">For prolonged and/or heavy </w:t>
      </w:r>
      <w:r>
        <w:t>vagina</w:t>
      </w:r>
      <w:r w:rsidRPr="00267561">
        <w:t xml:space="preserve"> bleeding </w:t>
      </w:r>
      <w:r>
        <w:t>after termination of pregnancy (</w:t>
      </w:r>
      <w:r w:rsidRPr="00267561">
        <w:t>TOP</w:t>
      </w:r>
      <w:r>
        <w:t>)</w:t>
      </w:r>
      <w:r w:rsidRPr="00267561">
        <w:t xml:space="preserve"> or post-partum</w:t>
      </w:r>
      <w:r>
        <w:t>,</w:t>
      </w:r>
      <w:r w:rsidRPr="00267561">
        <w:t xml:space="preserve"> refer</w:t>
      </w:r>
      <w:r>
        <w:t xml:space="preserve"> under Section 88 Primary Maternity notice </w:t>
      </w:r>
      <w:r w:rsidRPr="00267561">
        <w:t xml:space="preserve">up to </w:t>
      </w:r>
      <w:r>
        <w:t xml:space="preserve">two </w:t>
      </w:r>
      <w:r w:rsidRPr="00267561">
        <w:t xml:space="preserve">weeks post miscarriage/TOP and </w:t>
      </w:r>
      <w:r>
        <w:t xml:space="preserve">six </w:t>
      </w:r>
      <w:r w:rsidRPr="00267561">
        <w:t>weeks post-partum)</w:t>
      </w:r>
      <w:r>
        <w:t>.</w:t>
      </w:r>
    </w:p>
    <w:p w:rsidR="00664018" w:rsidRDefault="00664018" w:rsidP="0007017F"/>
    <w:p w:rsidR="00664018" w:rsidRPr="002C5E2B" w:rsidRDefault="00664018" w:rsidP="0007017F">
      <w:pPr>
        <w:pStyle w:val="Heading3"/>
      </w:pPr>
      <w:r w:rsidRPr="009A075A">
        <w:t>Renal</w:t>
      </w:r>
    </w:p>
    <w:p w:rsidR="00664018" w:rsidRPr="009A075A" w:rsidRDefault="00664018" w:rsidP="0007017F">
      <w:r w:rsidRPr="009A075A">
        <w:t>Standard indications for ultrasound referral</w:t>
      </w:r>
      <w:r>
        <w:t>:</w:t>
      </w:r>
    </w:p>
    <w:p w:rsidR="00664018" w:rsidRDefault="0007017F" w:rsidP="0007017F">
      <w:pPr>
        <w:pStyle w:val="Bullet"/>
      </w:pPr>
      <w:r>
        <w:t>e</w:t>
      </w:r>
      <w:r w:rsidR="00664018">
        <w:t xml:space="preserve">stimated glomerular filtration rate </w:t>
      </w:r>
      <w:r w:rsidR="00664018" w:rsidRPr="009A075A">
        <w:t xml:space="preserve">eGFR </w:t>
      </w:r>
      <w:r w:rsidR="00664018" w:rsidRPr="00153063">
        <w:t xml:space="preserve">is </w:t>
      </w:r>
      <w:r w:rsidR="00664018" w:rsidRPr="009A075A">
        <w:t>consistently reduced for age after repeat testing</w:t>
      </w:r>
      <w:r w:rsidR="00664018">
        <w:t xml:space="preserve"> with the patient well hydrated:</w:t>
      </w:r>
      <w:r w:rsidR="00664018" w:rsidRPr="00910A28">
        <w:rPr>
          <w:vertAlign w:val="superscript"/>
        </w:rPr>
        <w:t>10</w:t>
      </w:r>
    </w:p>
    <w:p w:rsidR="00377AE5" w:rsidRDefault="00664018" w:rsidP="0007017F">
      <w:pPr>
        <w:pStyle w:val="Dash"/>
      </w:pPr>
      <w:r w:rsidRPr="009A075A">
        <w:t>&lt;</w:t>
      </w:r>
      <w:r w:rsidR="0007017F">
        <w:t> </w:t>
      </w:r>
      <w:r w:rsidRPr="009A075A">
        <w:t xml:space="preserve">70 years </w:t>
      </w:r>
      <w:r>
        <w:t xml:space="preserve">: </w:t>
      </w:r>
      <w:r w:rsidRPr="009A075A">
        <w:t>eGFR is reduced to &lt;</w:t>
      </w:r>
      <w:r w:rsidR="0007017F">
        <w:t> </w:t>
      </w:r>
      <w:r w:rsidRPr="009A075A">
        <w:t>45</w:t>
      </w:r>
      <w:r w:rsidR="0007017F">
        <w:t> </w:t>
      </w:r>
      <w:r w:rsidRPr="009A075A">
        <w:t>mls/min</w:t>
      </w:r>
    </w:p>
    <w:p w:rsidR="00664018" w:rsidRPr="009A075A" w:rsidRDefault="00664018" w:rsidP="0007017F">
      <w:pPr>
        <w:pStyle w:val="Dash"/>
      </w:pPr>
      <w:r>
        <w:t>&gt;</w:t>
      </w:r>
      <w:r w:rsidR="0007017F">
        <w:t> </w:t>
      </w:r>
      <w:r>
        <w:t>7</w:t>
      </w:r>
      <w:r w:rsidRPr="009A075A">
        <w:t>0 years</w:t>
      </w:r>
      <w:r>
        <w:t>:</w:t>
      </w:r>
      <w:r w:rsidRPr="009A075A">
        <w:t xml:space="preserve"> eGFR is</w:t>
      </w:r>
      <w:r>
        <w:t xml:space="preserve"> reduced to </w:t>
      </w:r>
      <w:r w:rsidRPr="009A075A">
        <w:t>&lt;</w:t>
      </w:r>
      <w:r w:rsidR="0007017F">
        <w:t> </w:t>
      </w:r>
      <w:r w:rsidRPr="009A075A">
        <w:t>30</w:t>
      </w:r>
      <w:r w:rsidR="0007017F">
        <w:t> </w:t>
      </w:r>
      <w:r w:rsidRPr="009A075A">
        <w:t>mls/min</w:t>
      </w:r>
    </w:p>
    <w:p w:rsidR="00664018" w:rsidRPr="009A075A" w:rsidRDefault="00664018" w:rsidP="0007017F">
      <w:pPr>
        <w:pStyle w:val="Bullet"/>
      </w:pPr>
      <w:r>
        <w:t>p</w:t>
      </w:r>
      <w:r w:rsidRPr="009A075A">
        <w:t xml:space="preserve">ainless </w:t>
      </w:r>
      <w:r>
        <w:t>h</w:t>
      </w:r>
      <w:r w:rsidRPr="009A075A">
        <w:t>aematuria</w:t>
      </w:r>
      <w:r>
        <w:t>:</w:t>
      </w:r>
    </w:p>
    <w:p w:rsidR="00664018" w:rsidRPr="009A075A" w:rsidRDefault="00664018" w:rsidP="0007017F">
      <w:pPr>
        <w:pStyle w:val="Dash"/>
      </w:pPr>
      <w:r>
        <w:t>p</w:t>
      </w:r>
      <w:r w:rsidRPr="009A075A">
        <w:t>ersistent microscopic haematuria</w:t>
      </w:r>
      <w:r>
        <w:t xml:space="preserve"> on two or more uncontaminated </w:t>
      </w:r>
      <w:r w:rsidRPr="009A075A">
        <w:t>(epithelial cell count &lt;</w:t>
      </w:r>
      <w:r w:rsidR="0007017F">
        <w:t> </w:t>
      </w:r>
      <w:r w:rsidRPr="009A075A">
        <w:t>15 x 10</w:t>
      </w:r>
      <w:r w:rsidRPr="009A075A">
        <w:rPr>
          <w:vertAlign w:val="superscript"/>
        </w:rPr>
        <w:t>6</w:t>
      </w:r>
      <w:r w:rsidRPr="009A075A">
        <w:t xml:space="preserve">/L) mid-stream </w:t>
      </w:r>
      <w:r>
        <w:t>urinalyses (not dipstix), or</w:t>
      </w:r>
    </w:p>
    <w:p w:rsidR="00664018" w:rsidRDefault="00664018" w:rsidP="0007017F">
      <w:pPr>
        <w:pStyle w:val="Dash"/>
      </w:pPr>
      <w:r>
        <w:t>m</w:t>
      </w:r>
      <w:r w:rsidRPr="00153063">
        <w:t>acroscopic haematuria</w:t>
      </w:r>
    </w:p>
    <w:p w:rsidR="00664018" w:rsidRPr="009A075A" w:rsidRDefault="00664018" w:rsidP="0007017F">
      <w:pPr>
        <w:pStyle w:val="Bullet"/>
      </w:pPr>
      <w:r>
        <w:t>p</w:t>
      </w:r>
      <w:r w:rsidRPr="009A075A">
        <w:t>olycystic kidneys: ultrasound screening when &gt;</w:t>
      </w:r>
      <w:r w:rsidR="0007017F">
        <w:t> </w:t>
      </w:r>
      <w:r w:rsidRPr="009A075A">
        <w:t xml:space="preserve">20 years age and </w:t>
      </w:r>
      <w:r w:rsidRPr="00153063">
        <w:t>a positive</w:t>
      </w:r>
      <w:r w:rsidRPr="009A075A">
        <w:t xml:space="preserve"> family history with one or more fi</w:t>
      </w:r>
      <w:r>
        <w:t>rst-degree relatives affected</w:t>
      </w:r>
    </w:p>
    <w:p w:rsidR="00664018" w:rsidRPr="009A075A" w:rsidRDefault="00664018" w:rsidP="0007017F">
      <w:pPr>
        <w:pStyle w:val="Bullet"/>
      </w:pPr>
      <w:r>
        <w:t>r</w:t>
      </w:r>
      <w:r w:rsidRPr="009A075A">
        <w:t>ecurrent urinary tract infections (UTI)</w:t>
      </w:r>
      <w:r>
        <w:t xml:space="preserve"> in females</w:t>
      </w:r>
      <w:r w:rsidR="00377AE5">
        <w:t xml:space="preserve"> </w:t>
      </w:r>
      <w:r w:rsidRPr="009A075A">
        <w:t>with one or more of these risk factor</w:t>
      </w:r>
      <w:r>
        <w:t xml:space="preserve">s for an identifiable </w:t>
      </w:r>
      <w:r w:rsidRPr="009A075A">
        <w:t>underlying cause</w:t>
      </w:r>
      <w:r>
        <w:t>:</w:t>
      </w:r>
      <w:r w:rsidRPr="00910A28">
        <w:rPr>
          <w:vertAlign w:val="superscript"/>
        </w:rPr>
        <w:t>11</w:t>
      </w:r>
    </w:p>
    <w:p w:rsidR="00377AE5" w:rsidRDefault="00664018" w:rsidP="0007017F">
      <w:pPr>
        <w:pStyle w:val="Dash"/>
      </w:pPr>
      <w:r>
        <w:t>r</w:t>
      </w:r>
      <w:r w:rsidRPr="009A075A">
        <w:t xml:space="preserve">epeated (more than </w:t>
      </w:r>
      <w:r>
        <w:t xml:space="preserve">two </w:t>
      </w:r>
      <w:r w:rsidRPr="009A075A">
        <w:t>episodes) pyelonephritis (fever, chills, vomiting, costo-vertebral angle tenderness)</w:t>
      </w:r>
    </w:p>
    <w:p w:rsidR="00377AE5" w:rsidRDefault="00664018" w:rsidP="0007017F">
      <w:pPr>
        <w:pStyle w:val="Dash"/>
      </w:pPr>
      <w:r>
        <w:t>p</w:t>
      </w:r>
      <w:r w:rsidRPr="009A075A">
        <w:t xml:space="preserve">ersistence of infection on urinalysis after completion of a prolonged </w:t>
      </w:r>
      <w:r>
        <w:t>three-</w:t>
      </w:r>
      <w:r w:rsidRPr="009A075A">
        <w:t>week course of appropriate antibiotics (ie</w:t>
      </w:r>
      <w:r>
        <w:t>,</w:t>
      </w:r>
      <w:r w:rsidRPr="009A075A">
        <w:t xml:space="preserve"> laboratory confirmed sensitivity)</w:t>
      </w:r>
    </w:p>
    <w:p w:rsidR="00664018" w:rsidRPr="009A075A" w:rsidRDefault="00664018" w:rsidP="0007017F">
      <w:pPr>
        <w:pStyle w:val="Dash"/>
      </w:pPr>
      <w:r>
        <w:t>g</w:t>
      </w:r>
      <w:r w:rsidRPr="009A075A">
        <w:t>ross haematuria</w:t>
      </w:r>
      <w:r w:rsidR="0007017F">
        <w:t xml:space="preserve"> </w:t>
      </w:r>
      <w:r w:rsidRPr="009A075A">
        <w:t>or persistent microscopic haematuria (&gt;</w:t>
      </w:r>
      <w:r w:rsidR="0007017F">
        <w:t> </w:t>
      </w:r>
      <w:r w:rsidRPr="009A075A">
        <w:t>15</w:t>
      </w:r>
      <w:r w:rsidR="0007017F">
        <w:t> </w:t>
      </w:r>
      <w:r w:rsidRPr="009A075A">
        <w:t>x</w:t>
      </w:r>
      <w:r w:rsidR="0007017F">
        <w:t> </w:t>
      </w:r>
      <w:r w:rsidRPr="009A075A">
        <w:t>10</w:t>
      </w:r>
      <w:r w:rsidRPr="009A075A">
        <w:rPr>
          <w:vertAlign w:val="superscript"/>
        </w:rPr>
        <w:t>6</w:t>
      </w:r>
      <w:r w:rsidRPr="009A075A">
        <w:t>)</w:t>
      </w:r>
      <w:r>
        <w:t xml:space="preserve"> </w:t>
      </w:r>
      <w:r w:rsidRPr="009A075A">
        <w:t>on two separate specimens) after resolution of infection</w:t>
      </w:r>
    </w:p>
    <w:p w:rsidR="00377AE5" w:rsidRDefault="00664018" w:rsidP="0007017F">
      <w:pPr>
        <w:pStyle w:val="Dash"/>
      </w:pPr>
      <w:r>
        <w:t>r</w:t>
      </w:r>
      <w:r w:rsidRPr="009A075A">
        <w:t xml:space="preserve">ecurrence of infection after </w:t>
      </w:r>
      <w:r>
        <w:t xml:space="preserve">three </w:t>
      </w:r>
      <w:r w:rsidRPr="009A075A">
        <w:t>months of completed antibiotic prophylaxis</w:t>
      </w:r>
    </w:p>
    <w:p w:rsidR="00664018" w:rsidRPr="009A075A" w:rsidRDefault="00664018" w:rsidP="0007017F">
      <w:pPr>
        <w:pStyle w:val="Dash"/>
      </w:pPr>
      <w:r>
        <w:t>u</w:t>
      </w:r>
      <w:r w:rsidRPr="009A075A">
        <w:t xml:space="preserve">rea-splitting organisms </w:t>
      </w:r>
      <w:r>
        <w:t>(</w:t>
      </w:r>
      <w:r w:rsidRPr="009A075A">
        <w:t>eg</w:t>
      </w:r>
      <w:r>
        <w:t xml:space="preserve">, </w:t>
      </w:r>
      <w:r w:rsidRPr="009A075A">
        <w:t>proteus, klebsiella, pseudomonas</w:t>
      </w:r>
      <w:r>
        <w:t>)</w:t>
      </w:r>
    </w:p>
    <w:p w:rsidR="00664018" w:rsidRPr="009A075A" w:rsidRDefault="00664018" w:rsidP="0007017F">
      <w:pPr>
        <w:pStyle w:val="Dash"/>
      </w:pPr>
      <w:r>
        <w:t>h</w:t>
      </w:r>
      <w:r w:rsidRPr="009A075A">
        <w:t>istory of abdomino-pelvic malignancy or immunocompromise</w:t>
      </w:r>
    </w:p>
    <w:p w:rsidR="00664018" w:rsidRPr="009A075A" w:rsidRDefault="00664018" w:rsidP="0007017F">
      <w:pPr>
        <w:pStyle w:val="Dash"/>
      </w:pPr>
      <w:r>
        <w:t>h</w:t>
      </w:r>
      <w:r w:rsidRPr="009A075A">
        <w:t>istory of</w:t>
      </w:r>
      <w:r w:rsidR="00377AE5">
        <w:t xml:space="preserve"> </w:t>
      </w:r>
      <w:r w:rsidRPr="009A075A">
        <w:t>urinary tract surgery or calculi</w:t>
      </w:r>
    </w:p>
    <w:p w:rsidR="0007017F" w:rsidRDefault="00664018" w:rsidP="0007017F">
      <w:pPr>
        <w:pStyle w:val="Dash"/>
      </w:pPr>
      <w:r>
        <w:t>o</w:t>
      </w:r>
      <w:r w:rsidRPr="009A075A">
        <w:t>bstructive symptoms with straining and weak stream</w:t>
      </w:r>
    </w:p>
    <w:p w:rsidR="00377AE5" w:rsidRDefault="00664018" w:rsidP="0007017F">
      <w:pPr>
        <w:pStyle w:val="Bullet"/>
        <w:keepNext/>
      </w:pPr>
      <w:r>
        <w:t>r</w:t>
      </w:r>
      <w:r w:rsidRPr="009A075A">
        <w:t>ecurrent or persistent UTI in males</w:t>
      </w:r>
    </w:p>
    <w:p w:rsidR="00664018" w:rsidRPr="009A075A" w:rsidRDefault="00664018" w:rsidP="0007017F">
      <w:pPr>
        <w:pStyle w:val="Bullet"/>
      </w:pPr>
      <w:r>
        <w:t>s</w:t>
      </w:r>
      <w:r w:rsidRPr="009A075A">
        <w:t>uspected renal colic in pre</w:t>
      </w:r>
      <w:r>
        <w:t>gnancy. For all other patients, consider referral for CT KUB</w:t>
      </w:r>
    </w:p>
    <w:p w:rsidR="00664018" w:rsidRPr="009A075A" w:rsidRDefault="00664018" w:rsidP="0007017F">
      <w:pPr>
        <w:pStyle w:val="Bullet"/>
      </w:pPr>
      <w:r>
        <w:t>s</w:t>
      </w:r>
      <w:r w:rsidRPr="009A075A">
        <w:t>uspected urinary retention with palpable/suspected enlarged bladder.</w:t>
      </w:r>
    </w:p>
    <w:p w:rsidR="00664018" w:rsidRDefault="00664018" w:rsidP="0007017F"/>
    <w:p w:rsidR="00377AE5" w:rsidRDefault="00664018" w:rsidP="0007017F">
      <w:r w:rsidRPr="009A075A">
        <w:t>Referral for community ultrasound not typically indicated</w:t>
      </w:r>
      <w:r>
        <w:t>:</w:t>
      </w:r>
    </w:p>
    <w:p w:rsidR="00664018" w:rsidRPr="009A075A" w:rsidRDefault="00664018" w:rsidP="0007017F">
      <w:pPr>
        <w:pStyle w:val="Bullet"/>
      </w:pPr>
      <w:r>
        <w:t>r</w:t>
      </w:r>
      <w:r w:rsidRPr="009A075A">
        <w:t xml:space="preserve">ecurrent uncomplicated UTIs in adult females </w:t>
      </w:r>
      <w:r>
        <w:t>(</w:t>
      </w:r>
      <w:r w:rsidRPr="009A075A">
        <w:t>underlying abnormalities are uncommon</w:t>
      </w:r>
      <w:r>
        <w:t>)</w:t>
      </w:r>
    </w:p>
    <w:p w:rsidR="00664018" w:rsidRPr="009A075A" w:rsidRDefault="00664018" w:rsidP="0007017F">
      <w:pPr>
        <w:pStyle w:val="Bullet"/>
      </w:pPr>
      <w:r>
        <w:t>i</w:t>
      </w:r>
      <w:r w:rsidRPr="009A075A">
        <w:t>nvestigation of hypertension</w:t>
      </w:r>
    </w:p>
    <w:p w:rsidR="00664018" w:rsidRPr="009A075A" w:rsidRDefault="00664018" w:rsidP="0007017F">
      <w:pPr>
        <w:pStyle w:val="Bullet"/>
      </w:pPr>
      <w:r>
        <w:t>e</w:t>
      </w:r>
      <w:r w:rsidRPr="009A075A">
        <w:t xml:space="preserve">levated </w:t>
      </w:r>
      <w:r>
        <w:t>prostate-s</w:t>
      </w:r>
      <w:r w:rsidRPr="009A075A">
        <w:t xml:space="preserve">pecific </w:t>
      </w:r>
      <w:r>
        <w:t>a</w:t>
      </w:r>
      <w:r w:rsidRPr="009A075A">
        <w:t>ntigen</w:t>
      </w:r>
    </w:p>
    <w:p w:rsidR="00664018" w:rsidRPr="009A075A" w:rsidRDefault="00664018" w:rsidP="0007017F">
      <w:pPr>
        <w:pStyle w:val="Bullet"/>
      </w:pPr>
      <w:r>
        <w:t>l</w:t>
      </w:r>
      <w:r w:rsidRPr="009A075A">
        <w:t>ower urinary tract symptoms</w:t>
      </w:r>
    </w:p>
    <w:p w:rsidR="00664018" w:rsidRPr="009A075A" w:rsidRDefault="00664018" w:rsidP="0007017F">
      <w:pPr>
        <w:pStyle w:val="Bullet"/>
      </w:pPr>
      <w:r>
        <w:t>i</w:t>
      </w:r>
      <w:r w:rsidRPr="009A075A">
        <w:t>nvestigation of isolated proteinuria (discuss with local relevant specialist)</w:t>
      </w:r>
    </w:p>
    <w:p w:rsidR="00377AE5" w:rsidRDefault="00664018" w:rsidP="0007017F">
      <w:pPr>
        <w:pStyle w:val="Bullet"/>
      </w:pPr>
      <w:r>
        <w:t>s</w:t>
      </w:r>
      <w:r w:rsidRPr="009A075A">
        <w:t>erial ultrasounds for polycystic kidneys</w:t>
      </w:r>
      <w:r>
        <w:t>,</w:t>
      </w:r>
      <w:r w:rsidRPr="009A075A">
        <w:t xml:space="preserve"> unless there are clinical symptoms.</w:t>
      </w:r>
    </w:p>
    <w:p w:rsidR="00664018" w:rsidRDefault="00664018" w:rsidP="0007017F"/>
    <w:p w:rsidR="00377AE5" w:rsidRDefault="00664018" w:rsidP="0007017F">
      <w:pPr>
        <w:pStyle w:val="Heading3"/>
      </w:pPr>
      <w:r w:rsidRPr="009A075A">
        <w:t>Scrot</w:t>
      </w:r>
      <w:r>
        <w:t>um</w:t>
      </w:r>
    </w:p>
    <w:p w:rsidR="00664018" w:rsidRPr="009A075A" w:rsidRDefault="00664018" w:rsidP="0007017F">
      <w:r w:rsidRPr="009A075A">
        <w:t>Standard indications for imaging referral</w:t>
      </w:r>
      <w:r>
        <w:t>:</w:t>
      </w:r>
    </w:p>
    <w:p w:rsidR="00664018" w:rsidRPr="00377AE5" w:rsidRDefault="00664018" w:rsidP="0007017F">
      <w:pPr>
        <w:pStyle w:val="Bullet"/>
      </w:pPr>
      <w:r w:rsidRPr="00377AE5">
        <w:t>scrotal masses with concerning features (eg, testicular mass, painless, non-transilluminating, rapidly growing (urgent urology referral recommended))</w:t>
      </w:r>
    </w:p>
    <w:p w:rsidR="00377AE5" w:rsidRDefault="00664018" w:rsidP="0007017F">
      <w:pPr>
        <w:pStyle w:val="Bullet"/>
      </w:pPr>
      <w:r>
        <w:t>s</w:t>
      </w:r>
      <w:r w:rsidRPr="009A075A">
        <w:t>crotal masses where either the clinical diagnosis is in doubt or it is unclear if the swelling is testicular or extra-testicular</w:t>
      </w:r>
    </w:p>
    <w:p w:rsidR="0007017F" w:rsidRPr="0007017F" w:rsidRDefault="00664018" w:rsidP="0007017F">
      <w:pPr>
        <w:pStyle w:val="Bullet"/>
        <w:rPr>
          <w:b/>
        </w:rPr>
      </w:pPr>
      <w:r>
        <w:t>n</w:t>
      </w:r>
      <w:r w:rsidRPr="009A075A">
        <w:t>ew hydrocoele in adults (may be secondary to testicular cancer).</w:t>
      </w:r>
    </w:p>
    <w:p w:rsidR="00664018" w:rsidRPr="00CC168F" w:rsidRDefault="00664018" w:rsidP="0007017F"/>
    <w:p w:rsidR="00377AE5" w:rsidRDefault="00664018" w:rsidP="0007017F">
      <w:r w:rsidRPr="009A075A">
        <w:t>Referral for community imaging not typically indicated</w:t>
      </w:r>
      <w:r>
        <w:t>:</w:t>
      </w:r>
    </w:p>
    <w:p w:rsidR="00664018" w:rsidRPr="009A075A" w:rsidRDefault="00664018" w:rsidP="0007017F">
      <w:pPr>
        <w:pStyle w:val="Bullet"/>
      </w:pPr>
      <w:r>
        <w:t>n</w:t>
      </w:r>
      <w:r w:rsidRPr="009A075A">
        <w:t>on-solid (transilluminating) scrotal masses</w:t>
      </w:r>
    </w:p>
    <w:p w:rsidR="00664018" w:rsidRPr="009A075A" w:rsidRDefault="00664018" w:rsidP="0007017F">
      <w:pPr>
        <w:pStyle w:val="Bullet"/>
      </w:pPr>
      <w:r>
        <w:t>h</w:t>
      </w:r>
      <w:r w:rsidRPr="009A075A">
        <w:t>ydrocoele in children</w:t>
      </w:r>
    </w:p>
    <w:p w:rsidR="00664018" w:rsidRPr="009A075A" w:rsidRDefault="00664018" w:rsidP="0007017F">
      <w:pPr>
        <w:pStyle w:val="Bullet"/>
      </w:pPr>
      <w:r>
        <w:t>l</w:t>
      </w:r>
      <w:r w:rsidRPr="009A075A">
        <w:t>ong-standing hydrocoele in adults</w:t>
      </w:r>
    </w:p>
    <w:p w:rsidR="00664018" w:rsidRPr="009A075A" w:rsidRDefault="00664018" w:rsidP="0007017F">
      <w:pPr>
        <w:pStyle w:val="Bullet"/>
      </w:pPr>
      <w:r>
        <w:t>a</w:t>
      </w:r>
      <w:r w:rsidRPr="009A075A">
        <w:t xml:space="preserve">cute inflammatory conditions </w:t>
      </w:r>
      <w:r>
        <w:t>–</w:t>
      </w:r>
      <w:r w:rsidRPr="009A075A">
        <w:t xml:space="preserve"> only refer for ultrasound if symptoms and/or swelling fail to resolve with antibiotics</w:t>
      </w:r>
    </w:p>
    <w:p w:rsidR="0007017F" w:rsidRDefault="00664018" w:rsidP="0007017F">
      <w:pPr>
        <w:pStyle w:val="Bullet"/>
      </w:pPr>
      <w:r>
        <w:t>c</w:t>
      </w:r>
      <w:r w:rsidRPr="009A075A">
        <w:t>hronic testicular pain in the absence of abnormality on examination.</w:t>
      </w:r>
    </w:p>
    <w:p w:rsidR="00664018" w:rsidRPr="009A075A" w:rsidRDefault="00664018" w:rsidP="0007017F"/>
    <w:p w:rsidR="0007017F" w:rsidRDefault="0007017F" w:rsidP="0007017F">
      <w:pPr>
        <w:pStyle w:val="BoxHeading"/>
      </w:pPr>
      <w:r w:rsidRPr="009A075A">
        <w:t>Guidance</w:t>
      </w:r>
    </w:p>
    <w:p w:rsidR="0007017F" w:rsidRDefault="0007017F" w:rsidP="0007017F">
      <w:pPr>
        <w:pStyle w:val="Box"/>
      </w:pPr>
      <w:r>
        <w:t>Refer u</w:t>
      </w:r>
      <w:r w:rsidRPr="009A075A">
        <w:t>rgent</w:t>
      </w:r>
      <w:r>
        <w:t>ly</w:t>
      </w:r>
      <w:r w:rsidRPr="009A075A">
        <w:t xml:space="preserve"> </w:t>
      </w:r>
      <w:r>
        <w:t>to surgical service for surgery</w:t>
      </w:r>
      <w:r w:rsidRPr="009A075A">
        <w:t xml:space="preserve"> if the following conditions are suspected:</w:t>
      </w:r>
    </w:p>
    <w:p w:rsidR="0007017F" w:rsidRPr="009A075A" w:rsidRDefault="0007017F" w:rsidP="0007017F">
      <w:pPr>
        <w:pStyle w:val="BoxBullet"/>
      </w:pPr>
      <w:r>
        <w:t>t</w:t>
      </w:r>
      <w:r w:rsidRPr="009A075A">
        <w:t>esticular torsion</w:t>
      </w:r>
    </w:p>
    <w:p w:rsidR="0007017F" w:rsidRPr="009A075A" w:rsidRDefault="0007017F" w:rsidP="0007017F">
      <w:pPr>
        <w:pStyle w:val="BoxBullet"/>
      </w:pPr>
      <w:r>
        <w:t>t</w:t>
      </w:r>
      <w:r w:rsidRPr="009A075A">
        <w:t>esticular cancer</w:t>
      </w:r>
    </w:p>
    <w:p w:rsidR="0007017F" w:rsidRPr="009A075A" w:rsidRDefault="0007017F" w:rsidP="0007017F">
      <w:pPr>
        <w:pStyle w:val="BoxBullet"/>
      </w:pPr>
      <w:r>
        <w:t>s</w:t>
      </w:r>
      <w:r w:rsidRPr="00A93761">
        <w:t>trangulated</w:t>
      </w:r>
      <w:r w:rsidRPr="009A075A">
        <w:t xml:space="preserve"> inguinal hernia</w:t>
      </w:r>
      <w:r w:rsidRPr="009A075A">
        <w:rPr>
          <w:i/>
        </w:rPr>
        <w:t>.</w:t>
      </w:r>
    </w:p>
    <w:p w:rsidR="0007017F" w:rsidRPr="009A075A" w:rsidRDefault="0007017F" w:rsidP="0007017F">
      <w:pPr>
        <w:pStyle w:val="Box"/>
      </w:pPr>
      <w:r w:rsidRPr="009A075A">
        <w:t>Scrotal masses can often be diagnosed clinically. If unsure, seek a second opinion from a general practitioner colleague or specialist.</w:t>
      </w:r>
    </w:p>
    <w:p w:rsidR="00664018" w:rsidRPr="009A075A" w:rsidRDefault="00664018" w:rsidP="0007017F"/>
    <w:p w:rsidR="00664018" w:rsidRPr="0007017F" w:rsidRDefault="00664018" w:rsidP="0007017F">
      <w:pPr>
        <w:pStyle w:val="Heading3"/>
      </w:pPr>
      <w:r w:rsidRPr="009A075A">
        <w:t>Shoulder</w:t>
      </w:r>
    </w:p>
    <w:p w:rsidR="00664018" w:rsidRPr="009A075A" w:rsidRDefault="00664018" w:rsidP="0007017F">
      <w:pPr>
        <w:keepNext/>
      </w:pPr>
      <w:r w:rsidRPr="009A075A">
        <w:t>Standard indications for ultrasound referral</w:t>
      </w:r>
      <w:r>
        <w:t>:</w:t>
      </w:r>
    </w:p>
    <w:p w:rsidR="00664018" w:rsidRPr="009A075A" w:rsidRDefault="00664018" w:rsidP="0007017F">
      <w:pPr>
        <w:pStyle w:val="Bullet"/>
        <w:keepNext/>
      </w:pPr>
      <w:r>
        <w:t>p</w:t>
      </w:r>
      <w:r w:rsidRPr="009A075A">
        <w:t xml:space="preserve">ain and restricted movement </w:t>
      </w:r>
      <w:r>
        <w:t xml:space="preserve">that </w:t>
      </w:r>
      <w:r w:rsidRPr="009A075A">
        <w:t xml:space="preserve">persists after </w:t>
      </w:r>
      <w:r>
        <w:t xml:space="preserve">eight </w:t>
      </w:r>
      <w:r w:rsidRPr="009A075A">
        <w:t>weeks of conservative treatment including physiotherapy and/or cortisone injection</w:t>
      </w:r>
    </w:p>
    <w:p w:rsidR="00664018" w:rsidRDefault="00664018" w:rsidP="0007017F">
      <w:pPr>
        <w:pStyle w:val="Bullet"/>
        <w:keepNext/>
      </w:pPr>
      <w:r>
        <w:t>w</w:t>
      </w:r>
      <w:r w:rsidRPr="006C5513">
        <w:t>hen a full thickness tear is suspected and immediate surgical repair is being considered.</w:t>
      </w:r>
    </w:p>
    <w:p w:rsidR="0007017F" w:rsidRPr="006C5513" w:rsidRDefault="0007017F" w:rsidP="0007017F">
      <w:pPr>
        <w:keepNext/>
      </w:pPr>
    </w:p>
    <w:p w:rsidR="0007017F" w:rsidRPr="009A075A" w:rsidRDefault="0007017F" w:rsidP="0007017F">
      <w:pPr>
        <w:pStyle w:val="BoxHeading"/>
      </w:pPr>
      <w:r w:rsidRPr="009A075A">
        <w:t>Guidance</w:t>
      </w:r>
    </w:p>
    <w:p w:rsidR="0007017F" w:rsidRPr="009A075A" w:rsidRDefault="0007017F" w:rsidP="0007017F">
      <w:pPr>
        <w:pStyle w:val="BoxBullet"/>
      </w:pPr>
      <w:r w:rsidRPr="009A075A">
        <w:t>Radiology is not a prerequisite for a trial of steroid injection when a reasonable clinical diagnosis has b</w:t>
      </w:r>
      <w:r>
        <w:t>een made and red flags have been excluded.</w:t>
      </w:r>
    </w:p>
    <w:p w:rsidR="0007017F" w:rsidRDefault="0007017F" w:rsidP="0007017F"/>
    <w:p w:rsidR="00664018" w:rsidRPr="002C5E2B" w:rsidRDefault="00664018" w:rsidP="0007017F">
      <w:pPr>
        <w:pStyle w:val="Heading3"/>
      </w:pPr>
      <w:r w:rsidRPr="002C5E2B">
        <w:t>S</w:t>
      </w:r>
      <w:r w:rsidRPr="009A075A">
        <w:t>oft tissue</w:t>
      </w:r>
    </w:p>
    <w:p w:rsidR="00664018" w:rsidRPr="009A075A" w:rsidRDefault="00664018" w:rsidP="0007017F">
      <w:r w:rsidRPr="009A075A">
        <w:t>Standard indications for community imaging referral</w:t>
      </w:r>
      <w:r>
        <w:t>:</w:t>
      </w:r>
    </w:p>
    <w:p w:rsidR="00664018" w:rsidRPr="009A075A" w:rsidRDefault="00664018" w:rsidP="0007017F">
      <w:pPr>
        <w:pStyle w:val="Bullet"/>
      </w:pPr>
      <w:r>
        <w:t>s</w:t>
      </w:r>
      <w:r w:rsidRPr="009A075A">
        <w:t>oft tissue mass with red flags</w:t>
      </w:r>
      <w:r>
        <w:t>;</w:t>
      </w:r>
      <w:r w:rsidRPr="009A075A">
        <w:t xml:space="preserve"> however</w:t>
      </w:r>
      <w:r>
        <w:t>,</w:t>
      </w:r>
      <w:r w:rsidRPr="009A075A">
        <w:t xml:space="preserve"> specialist assessment is preferred</w:t>
      </w:r>
      <w:r>
        <w:t>,</w:t>
      </w:r>
      <w:r w:rsidR="0007017F">
        <w:t xml:space="preserve"> </w:t>
      </w:r>
      <w:r w:rsidRPr="009A075A">
        <w:t>so only request imaging if there is likely to be a delay before the patient is seen</w:t>
      </w:r>
    </w:p>
    <w:p w:rsidR="0007017F" w:rsidRDefault="00664018" w:rsidP="0007017F">
      <w:pPr>
        <w:pStyle w:val="Bullet"/>
      </w:pPr>
      <w:r>
        <w:t>s</w:t>
      </w:r>
      <w:r w:rsidRPr="009A075A">
        <w:t>uspicion of a foreign body where not covered by ACC.</w:t>
      </w:r>
    </w:p>
    <w:p w:rsidR="00664018" w:rsidRDefault="00664018" w:rsidP="0007017F"/>
    <w:p w:rsidR="00664018" w:rsidRPr="009A075A" w:rsidRDefault="00664018" w:rsidP="0007017F">
      <w:r w:rsidRPr="009A075A">
        <w:t>Red flags include</w:t>
      </w:r>
      <w:r w:rsidR="00377AE5">
        <w:t xml:space="preserve"> </w:t>
      </w:r>
      <w:r>
        <w:t>a soft tissue mass with</w:t>
      </w:r>
      <w:r w:rsidR="00223DAB">
        <w:t xml:space="preserve"> </w:t>
      </w:r>
      <w:r w:rsidRPr="009A075A">
        <w:t>any of the following</w:t>
      </w:r>
      <w:r>
        <w:t xml:space="preserve"> characteristics</w:t>
      </w:r>
      <w:r w:rsidRPr="009A075A">
        <w:t>)</w:t>
      </w:r>
      <w:r>
        <w:t>:</w:t>
      </w:r>
      <w:r w:rsidRPr="00910A28">
        <w:rPr>
          <w:vertAlign w:val="superscript"/>
        </w:rPr>
        <w:t>12</w:t>
      </w:r>
    </w:p>
    <w:p w:rsidR="00664018" w:rsidRPr="00A93761" w:rsidRDefault="00664018" w:rsidP="0007017F">
      <w:pPr>
        <w:pStyle w:val="Bullet"/>
      </w:pPr>
      <w:r>
        <w:t>g</w:t>
      </w:r>
      <w:r w:rsidRPr="00A93761">
        <w:t>rowing</w:t>
      </w:r>
    </w:p>
    <w:p w:rsidR="00664018" w:rsidRPr="00A93761" w:rsidRDefault="00664018" w:rsidP="0007017F">
      <w:pPr>
        <w:pStyle w:val="Bullet"/>
      </w:pPr>
      <w:r w:rsidRPr="009A075A">
        <w:t>&gt;</w:t>
      </w:r>
      <w:r w:rsidR="0007017F">
        <w:t> </w:t>
      </w:r>
      <w:r w:rsidRPr="009A075A">
        <w:t>5</w:t>
      </w:r>
      <w:r w:rsidR="0007017F">
        <w:t> </w:t>
      </w:r>
      <w:r w:rsidRPr="009A075A">
        <w:t>cm in size</w:t>
      </w:r>
    </w:p>
    <w:p w:rsidR="00664018" w:rsidRPr="009A075A" w:rsidRDefault="00664018" w:rsidP="0007017F">
      <w:pPr>
        <w:pStyle w:val="Bullet"/>
      </w:pPr>
      <w:r>
        <w:t>d</w:t>
      </w:r>
      <w:r w:rsidRPr="009A075A">
        <w:t>eep to deep fascia (limited mobility, less mobile with muscle flexion)</w:t>
      </w:r>
    </w:p>
    <w:p w:rsidR="00664018" w:rsidRPr="00A93761" w:rsidRDefault="00664018" w:rsidP="0007017F">
      <w:pPr>
        <w:pStyle w:val="Bullet"/>
      </w:pPr>
      <w:r>
        <w:t>p</w:t>
      </w:r>
      <w:r w:rsidRPr="009A075A">
        <w:t>ainful (most malignant lumps are painless</w:t>
      </w:r>
      <w:r>
        <w:t>;</w:t>
      </w:r>
      <w:r w:rsidRPr="009A075A">
        <w:t xml:space="preserve"> pain suggests nerve or bone</w:t>
      </w:r>
      <w:r w:rsidR="00377AE5">
        <w:t xml:space="preserve"> </w:t>
      </w:r>
      <w:r w:rsidRPr="009A075A">
        <w:t>involvement)</w:t>
      </w:r>
    </w:p>
    <w:p w:rsidR="00664018" w:rsidRDefault="00664018" w:rsidP="0007017F">
      <w:pPr>
        <w:pStyle w:val="Bullet"/>
      </w:pPr>
      <w:r>
        <w:t>r</w:t>
      </w:r>
      <w:r w:rsidRPr="00A93761">
        <w:t>ecurring</w:t>
      </w:r>
      <w:r>
        <w:t xml:space="preserve"> after a previous excision.</w:t>
      </w:r>
    </w:p>
    <w:p w:rsidR="00664018" w:rsidRPr="009A075A" w:rsidRDefault="00664018" w:rsidP="0007017F"/>
    <w:p w:rsidR="0007017F" w:rsidRPr="009A075A" w:rsidRDefault="0007017F" w:rsidP="0007017F">
      <w:pPr>
        <w:pStyle w:val="BoxHeading"/>
      </w:pPr>
      <w:r w:rsidRPr="009A075A">
        <w:t>Guidance</w:t>
      </w:r>
    </w:p>
    <w:p w:rsidR="0007017F" w:rsidRPr="009A075A" w:rsidRDefault="0007017F" w:rsidP="0007017F">
      <w:pPr>
        <w:pStyle w:val="BoxBullet"/>
      </w:pPr>
      <w:r>
        <w:t>Apply c</w:t>
      </w:r>
      <w:r w:rsidRPr="009A075A">
        <w:t xml:space="preserve">aution in </w:t>
      </w:r>
      <w:r>
        <w:t xml:space="preserve">the </w:t>
      </w:r>
      <w:r w:rsidRPr="009A075A">
        <w:t xml:space="preserve">use of </w:t>
      </w:r>
      <w:r>
        <w:t>ultrasound,</w:t>
      </w:r>
      <w:r w:rsidRPr="009A075A">
        <w:t xml:space="preserve"> as its ability to characterise solid mass lesions is limited and incorrect diagnosis can lead to significant treatment delays</w:t>
      </w:r>
      <w:r>
        <w:t>.</w:t>
      </w:r>
    </w:p>
    <w:p w:rsidR="0007017F" w:rsidRPr="009A075A" w:rsidRDefault="0007017F" w:rsidP="0007017F">
      <w:pPr>
        <w:pStyle w:val="BoxBullet"/>
      </w:pPr>
      <w:r w:rsidRPr="009A075A">
        <w:t xml:space="preserve">Consider requesting </w:t>
      </w:r>
      <w:r>
        <w:t xml:space="preserve">a </w:t>
      </w:r>
      <w:r w:rsidRPr="009A075A">
        <w:t xml:space="preserve">plain </w:t>
      </w:r>
      <w:r>
        <w:t>X</w:t>
      </w:r>
      <w:r w:rsidRPr="009A075A">
        <w:t>-ray as well.</w:t>
      </w:r>
    </w:p>
    <w:p w:rsidR="0007017F" w:rsidRPr="009A075A" w:rsidRDefault="0007017F" w:rsidP="0007017F">
      <w:pPr>
        <w:pStyle w:val="BoxBullet"/>
      </w:pPr>
      <w:r w:rsidRPr="009A075A">
        <w:t>If a sarcoma is suspected</w:t>
      </w:r>
      <w:r>
        <w:t>, reserve</w:t>
      </w:r>
      <w:r w:rsidRPr="009A075A">
        <w:t xml:space="preserve"> biopsy for an orthopaedic or sarcoma specialist.</w:t>
      </w:r>
    </w:p>
    <w:p w:rsidR="00664018" w:rsidRDefault="00664018" w:rsidP="0007017F"/>
    <w:p w:rsidR="00377AE5" w:rsidRDefault="00664018" w:rsidP="0007017F">
      <w:pPr>
        <w:pStyle w:val="Heading3"/>
      </w:pPr>
      <w:r w:rsidRPr="002C5E2B">
        <w:t>T</w:t>
      </w:r>
      <w:r w:rsidRPr="009A075A">
        <w:t>hyroid</w:t>
      </w:r>
    </w:p>
    <w:p w:rsidR="00664018" w:rsidRPr="009A075A" w:rsidRDefault="00664018" w:rsidP="0007017F">
      <w:r w:rsidRPr="009A075A">
        <w:t>Standard indications for ultrasound referral</w:t>
      </w:r>
      <w:r>
        <w:t>:</w:t>
      </w:r>
    </w:p>
    <w:p w:rsidR="00377AE5" w:rsidRDefault="00664018" w:rsidP="0007017F">
      <w:pPr>
        <w:pStyle w:val="Bullet"/>
      </w:pPr>
      <w:r>
        <w:t>p</w:t>
      </w:r>
      <w:r w:rsidRPr="009A075A">
        <w:t>alpable nodules</w:t>
      </w:r>
    </w:p>
    <w:p w:rsidR="0007017F" w:rsidRDefault="00664018" w:rsidP="0007017F">
      <w:pPr>
        <w:pStyle w:val="Bullet"/>
      </w:pPr>
      <w:r>
        <w:t>e</w:t>
      </w:r>
      <w:r w:rsidRPr="009A075A">
        <w:t>uthyroid goitre.</w:t>
      </w:r>
    </w:p>
    <w:p w:rsidR="00664018" w:rsidRPr="00CC168F" w:rsidRDefault="00664018" w:rsidP="0007017F"/>
    <w:p w:rsidR="00664018" w:rsidRPr="009A075A" w:rsidRDefault="00664018" w:rsidP="0007017F">
      <w:r w:rsidRPr="009A075A">
        <w:t>Referral for community ultrasound not typically indicated</w:t>
      </w:r>
      <w:r>
        <w:t>:</w:t>
      </w:r>
    </w:p>
    <w:p w:rsidR="00664018" w:rsidRPr="009A075A" w:rsidRDefault="00664018" w:rsidP="0007017F">
      <w:pPr>
        <w:pStyle w:val="Bullet"/>
      </w:pPr>
      <w:r>
        <w:t>t</w:t>
      </w:r>
      <w:r w:rsidRPr="009A075A">
        <w:t>hryotoxicosis (with or without goitre)</w:t>
      </w:r>
      <w:r w:rsidRPr="00910A28">
        <w:rPr>
          <w:vertAlign w:val="superscript"/>
        </w:rPr>
        <w:t>13</w:t>
      </w:r>
    </w:p>
    <w:p w:rsidR="00377AE5" w:rsidRDefault="00664018" w:rsidP="0007017F">
      <w:pPr>
        <w:pStyle w:val="Bullet"/>
      </w:pPr>
      <w:r>
        <w:t>g</w:t>
      </w:r>
      <w:r w:rsidRPr="009A075A">
        <w:t>oitre with hypothyroidism.</w:t>
      </w:r>
    </w:p>
    <w:p w:rsidR="00664018" w:rsidRPr="00B146AD" w:rsidRDefault="00664018" w:rsidP="0007017F"/>
    <w:p w:rsidR="0007017F" w:rsidRPr="009A075A" w:rsidRDefault="0007017F" w:rsidP="0007017F">
      <w:pPr>
        <w:pStyle w:val="BoxHeading"/>
        <w:keepNext/>
      </w:pPr>
      <w:r w:rsidRPr="009A075A">
        <w:t>Guidance</w:t>
      </w:r>
    </w:p>
    <w:p w:rsidR="0007017F" w:rsidRDefault="0007017F" w:rsidP="0007017F">
      <w:pPr>
        <w:pStyle w:val="Box"/>
      </w:pPr>
      <w:r>
        <w:t>R</w:t>
      </w:r>
      <w:r w:rsidRPr="009A075A">
        <w:t>ed flags for thyroid malignancy</w:t>
      </w:r>
      <w:r>
        <w:t>,</w:t>
      </w:r>
      <w:r w:rsidRPr="009A075A">
        <w:t xml:space="preserve"> consider discussing with </w:t>
      </w:r>
      <w:r>
        <w:t xml:space="preserve">a </w:t>
      </w:r>
      <w:r w:rsidRPr="009A075A">
        <w:t>loc</w:t>
      </w:r>
      <w:r w:rsidRPr="00A93761">
        <w:t>al relevant specialist service</w:t>
      </w:r>
      <w:r>
        <w:t xml:space="preserve"> where a patient presents with:</w:t>
      </w:r>
    </w:p>
    <w:p w:rsidR="0007017F" w:rsidRPr="009A075A" w:rsidRDefault="0007017F" w:rsidP="0007017F">
      <w:pPr>
        <w:pStyle w:val="BoxBullet"/>
      </w:pPr>
      <w:r>
        <w:t>&lt; </w:t>
      </w:r>
      <w:r w:rsidRPr="009A075A">
        <w:t xml:space="preserve">20 </w:t>
      </w:r>
      <w:r w:rsidRPr="00A93761">
        <w:t>years</w:t>
      </w:r>
      <w:r w:rsidRPr="009A075A">
        <w:t xml:space="preserve"> or &gt;</w:t>
      </w:r>
      <w:r>
        <w:t> </w:t>
      </w:r>
      <w:r w:rsidRPr="009A075A">
        <w:t xml:space="preserve">60 </w:t>
      </w:r>
      <w:r w:rsidRPr="00A93761">
        <w:t>years</w:t>
      </w:r>
    </w:p>
    <w:p w:rsidR="0007017F" w:rsidRDefault="0007017F" w:rsidP="0007017F">
      <w:pPr>
        <w:pStyle w:val="BoxBullet"/>
      </w:pPr>
      <w:r w:rsidRPr="009A075A">
        <w:t>history of head or neck malignancy</w:t>
      </w:r>
    </w:p>
    <w:p w:rsidR="0007017F" w:rsidRPr="009A075A" w:rsidRDefault="0007017F" w:rsidP="0007017F">
      <w:pPr>
        <w:pStyle w:val="BoxBullet"/>
      </w:pPr>
      <w:r>
        <w:t>f</w:t>
      </w:r>
      <w:r w:rsidRPr="009A075A">
        <w:t>amily history o</w:t>
      </w:r>
      <w:r>
        <w:t>f</w:t>
      </w:r>
      <w:r w:rsidRPr="009A075A">
        <w:t xml:space="preserve"> thyroid cancer</w:t>
      </w:r>
    </w:p>
    <w:p w:rsidR="0007017F" w:rsidRPr="009A075A" w:rsidRDefault="0007017F" w:rsidP="0007017F">
      <w:pPr>
        <w:pStyle w:val="BoxBullet"/>
      </w:pPr>
      <w:r>
        <w:t>r</w:t>
      </w:r>
      <w:r w:rsidRPr="009A075A">
        <w:t>apid growth of a nodule</w:t>
      </w:r>
    </w:p>
    <w:p w:rsidR="0007017F" w:rsidRPr="009A075A" w:rsidRDefault="0007017F" w:rsidP="0007017F">
      <w:pPr>
        <w:pStyle w:val="BoxBullet"/>
      </w:pPr>
      <w:r>
        <w:t>h</w:t>
      </w:r>
      <w:r w:rsidRPr="009A075A">
        <w:t>ard, ill-defined or fixed nodule</w:t>
      </w:r>
    </w:p>
    <w:p w:rsidR="0007017F" w:rsidRPr="009A075A" w:rsidRDefault="0007017F" w:rsidP="0007017F">
      <w:pPr>
        <w:pStyle w:val="BoxBullet"/>
      </w:pPr>
      <w:r>
        <w:t>h</w:t>
      </w:r>
      <w:r w:rsidRPr="009A075A">
        <w:t>oarseness, dysphagia or dysphonia</w:t>
      </w:r>
    </w:p>
    <w:p w:rsidR="0007017F" w:rsidRPr="009A075A" w:rsidRDefault="0007017F" w:rsidP="0007017F">
      <w:pPr>
        <w:pStyle w:val="BoxBullet"/>
      </w:pPr>
      <w:r>
        <w:t>cervical lymphadenopath</w:t>
      </w:r>
      <w:r w:rsidRPr="009A075A">
        <w:t>y</w:t>
      </w:r>
      <w:r>
        <w:t>.</w:t>
      </w:r>
    </w:p>
    <w:p w:rsidR="00664018" w:rsidRPr="009A075A" w:rsidRDefault="00664018" w:rsidP="0007017F"/>
    <w:p w:rsidR="00664018" w:rsidRPr="002C5E2B" w:rsidRDefault="00664018" w:rsidP="0007017F">
      <w:pPr>
        <w:pStyle w:val="Heading3"/>
      </w:pPr>
      <w:r w:rsidRPr="009A075A">
        <w:t>Vascular</w:t>
      </w:r>
    </w:p>
    <w:p w:rsidR="00664018" w:rsidRPr="009A075A" w:rsidRDefault="00664018" w:rsidP="0007017F">
      <w:r w:rsidRPr="009A075A">
        <w:t>Standard indications for ultrasound referral</w:t>
      </w:r>
      <w:r>
        <w:t>:</w:t>
      </w:r>
    </w:p>
    <w:p w:rsidR="00664018" w:rsidRPr="009A075A" w:rsidRDefault="00664018" w:rsidP="0007017F">
      <w:pPr>
        <w:pStyle w:val="Bullet"/>
      </w:pPr>
      <w:r>
        <w:t>p</w:t>
      </w:r>
      <w:r w:rsidRPr="009A075A">
        <w:t>ulsatile mass for investigation</w:t>
      </w:r>
    </w:p>
    <w:p w:rsidR="00664018" w:rsidRPr="009A075A" w:rsidRDefault="00664018" w:rsidP="0007017F">
      <w:pPr>
        <w:pStyle w:val="Bullet"/>
      </w:pPr>
      <w:r>
        <w:t>s</w:t>
      </w:r>
      <w:r w:rsidRPr="009A075A">
        <w:t>uspected DVT</w:t>
      </w:r>
      <w:r>
        <w:rPr>
          <w:szCs w:val="22"/>
        </w:rPr>
        <w:t xml:space="preserve"> (r</w:t>
      </w:r>
      <w:r w:rsidRPr="009A075A">
        <w:t>efer to local pathway if available</w:t>
      </w:r>
      <w:r>
        <w:t>)</w:t>
      </w:r>
    </w:p>
    <w:p w:rsidR="00377AE5" w:rsidRDefault="00664018" w:rsidP="0007017F">
      <w:pPr>
        <w:pStyle w:val="Bullet"/>
      </w:pPr>
      <w:r>
        <w:t>p</w:t>
      </w:r>
      <w:r w:rsidRPr="009A075A">
        <w:t>roximal superficial thrombophlebitis in thigh</w:t>
      </w:r>
      <w:r>
        <w:t>.</w:t>
      </w:r>
    </w:p>
    <w:p w:rsidR="00664018" w:rsidRDefault="00664018" w:rsidP="0007017F"/>
    <w:p w:rsidR="00664018" w:rsidRPr="009A075A" w:rsidRDefault="00664018" w:rsidP="0007017F">
      <w:pPr>
        <w:rPr>
          <w:color w:val="44546A"/>
        </w:rPr>
      </w:pPr>
      <w:r w:rsidRPr="009A075A">
        <w:t>Referral for community ultrasound not typically indicated</w:t>
      </w:r>
      <w:r>
        <w:t>:</w:t>
      </w:r>
    </w:p>
    <w:p w:rsidR="00664018" w:rsidRPr="009A075A" w:rsidRDefault="00664018" w:rsidP="0007017F">
      <w:pPr>
        <w:pStyle w:val="Bullet"/>
      </w:pPr>
      <w:r>
        <w:t>s</w:t>
      </w:r>
      <w:r w:rsidRPr="009A075A">
        <w:t xml:space="preserve">uspected </w:t>
      </w:r>
      <w:r>
        <w:t>v</w:t>
      </w:r>
      <w:r w:rsidRPr="009A075A">
        <w:rPr>
          <w:szCs w:val="22"/>
        </w:rPr>
        <w:t xml:space="preserve">enous and </w:t>
      </w:r>
      <w:r>
        <w:rPr>
          <w:szCs w:val="22"/>
        </w:rPr>
        <w:t>a</w:t>
      </w:r>
      <w:r w:rsidRPr="009A075A">
        <w:t>rterial insufficiency – unless directed by local pathway</w:t>
      </w:r>
      <w:r>
        <w:t>.</w:t>
      </w:r>
    </w:p>
    <w:p w:rsidR="00664018" w:rsidRPr="009A075A" w:rsidRDefault="00664018" w:rsidP="0007017F"/>
    <w:p w:rsidR="0007017F" w:rsidRPr="009A075A" w:rsidRDefault="0007017F" w:rsidP="0007017F">
      <w:pPr>
        <w:pStyle w:val="BoxHeading"/>
      </w:pPr>
      <w:r w:rsidRPr="009A075A">
        <w:t>Guidance</w:t>
      </w:r>
    </w:p>
    <w:p w:rsidR="0007017F" w:rsidRPr="009A075A" w:rsidRDefault="0007017F" w:rsidP="0007017F">
      <w:pPr>
        <w:pStyle w:val="Box"/>
      </w:pPr>
      <w:r w:rsidRPr="009A075A">
        <w:t>For patients with progressive uni</w:t>
      </w:r>
      <w:r>
        <w:t>-</w:t>
      </w:r>
      <w:r w:rsidRPr="009A075A">
        <w:t xml:space="preserve"> or bilateral lower limb oedema</w:t>
      </w:r>
      <w:r>
        <w:t>,</w:t>
      </w:r>
      <w:r w:rsidRPr="009A075A">
        <w:t xml:space="preserve"> consider referral for </w:t>
      </w:r>
      <w:r>
        <w:t>abdomino-pelvic ultrasound,</w:t>
      </w:r>
      <w:r w:rsidRPr="009A075A">
        <w:t xml:space="preserve"> to exclude proximal lymphatic obstruction.</w:t>
      </w:r>
    </w:p>
    <w:p w:rsidR="00664018" w:rsidRDefault="00664018" w:rsidP="0007017F"/>
    <w:p w:rsidR="0007017F" w:rsidRPr="009A075A" w:rsidRDefault="0007017F" w:rsidP="0007017F">
      <w:pPr>
        <w:pStyle w:val="Heading2"/>
      </w:pPr>
      <w:bookmarkStart w:id="15" w:name="_Toc408998586"/>
      <w:r>
        <w:t>CT scans</w:t>
      </w:r>
      <w:bookmarkEnd w:id="15"/>
    </w:p>
    <w:p w:rsidR="00377AE5" w:rsidRDefault="00664018" w:rsidP="0007017F">
      <w:pPr>
        <w:pStyle w:val="Heading3"/>
      </w:pPr>
      <w:r w:rsidRPr="009A075A">
        <w:t xml:space="preserve">CT </w:t>
      </w:r>
      <w:r>
        <w:t>h</w:t>
      </w:r>
      <w:r w:rsidRPr="009A075A">
        <w:t>ead</w:t>
      </w:r>
    </w:p>
    <w:p w:rsidR="00664018" w:rsidRPr="009A075A" w:rsidRDefault="00664018" w:rsidP="0007017F">
      <w:r w:rsidRPr="009A075A">
        <w:t>Sta</w:t>
      </w:r>
      <w:r>
        <w:t>ndard indications for CT</w:t>
      </w:r>
      <w:r w:rsidRPr="009A075A">
        <w:t xml:space="preserve"> referral</w:t>
      </w:r>
      <w:r>
        <w:t>:</w:t>
      </w:r>
    </w:p>
    <w:p w:rsidR="00664018" w:rsidRPr="002C5E2B" w:rsidRDefault="00664018" w:rsidP="0007017F">
      <w:pPr>
        <w:pStyle w:val="Bullet"/>
      </w:pPr>
      <w:r>
        <w:t>u</w:t>
      </w:r>
      <w:r w:rsidRPr="002C5E2B">
        <w:t>ndiagnosed cognitive impairment with one or more high</w:t>
      </w:r>
      <w:r>
        <w:t>-</w:t>
      </w:r>
      <w:r w:rsidRPr="002C5E2B">
        <w:t>risk feature</w:t>
      </w:r>
      <w:r>
        <w:t>:</w:t>
      </w:r>
      <w:r w:rsidRPr="00910A28">
        <w:rPr>
          <w:vertAlign w:val="superscript"/>
        </w:rPr>
        <w:t>14</w:t>
      </w:r>
    </w:p>
    <w:p w:rsidR="00664018" w:rsidRPr="002C5E2B" w:rsidRDefault="00664018" w:rsidP="0007017F">
      <w:pPr>
        <w:pStyle w:val="Dash"/>
      </w:pPr>
      <w:r>
        <w:t>a</w:t>
      </w:r>
      <w:r w:rsidRPr="002C5E2B">
        <w:t xml:space="preserve">ge </w:t>
      </w:r>
      <w:r>
        <w:t>&lt;</w:t>
      </w:r>
      <w:r w:rsidR="0007017F">
        <w:t> </w:t>
      </w:r>
      <w:r w:rsidRPr="002C5E2B">
        <w:t>60 years</w:t>
      </w:r>
    </w:p>
    <w:p w:rsidR="00664018" w:rsidRPr="002C5E2B" w:rsidRDefault="00664018" w:rsidP="0007017F">
      <w:pPr>
        <w:pStyle w:val="Dash"/>
      </w:pPr>
      <w:r>
        <w:t>r</w:t>
      </w:r>
      <w:r w:rsidRPr="002C5E2B">
        <w:t>apid (</w:t>
      </w:r>
      <w:r>
        <w:t>ie,</w:t>
      </w:r>
      <w:r w:rsidRPr="002C5E2B">
        <w:t xml:space="preserve"> </w:t>
      </w:r>
      <w:r>
        <w:t xml:space="preserve">one </w:t>
      </w:r>
      <w:r w:rsidRPr="002C5E2B">
        <w:t xml:space="preserve">or </w:t>
      </w:r>
      <w:r>
        <w:t xml:space="preserve">two </w:t>
      </w:r>
      <w:r w:rsidRPr="002C5E2B">
        <w:t>months) unexplained decline in cognition or function</w:t>
      </w:r>
    </w:p>
    <w:p w:rsidR="00664018" w:rsidRPr="002C5E2B" w:rsidRDefault="00664018" w:rsidP="0007017F">
      <w:pPr>
        <w:pStyle w:val="Dash"/>
      </w:pPr>
      <w:r>
        <w:t>r</w:t>
      </w:r>
      <w:r w:rsidRPr="002C5E2B">
        <w:t>ecent and significant head trauma</w:t>
      </w:r>
    </w:p>
    <w:p w:rsidR="00664018" w:rsidRPr="002C5E2B" w:rsidRDefault="00664018" w:rsidP="0007017F">
      <w:pPr>
        <w:pStyle w:val="Dash"/>
      </w:pPr>
      <w:r>
        <w:t>u</w:t>
      </w:r>
      <w:r w:rsidRPr="002C5E2B">
        <w:t>nexplained neurological symptoms (eg</w:t>
      </w:r>
      <w:r>
        <w:t>,</w:t>
      </w:r>
      <w:r w:rsidRPr="002C5E2B">
        <w:t xml:space="preserve"> new onset of severe headache or seizures)</w:t>
      </w:r>
    </w:p>
    <w:p w:rsidR="00664018" w:rsidRPr="002C5E2B" w:rsidRDefault="00664018" w:rsidP="0007017F">
      <w:pPr>
        <w:pStyle w:val="Dash"/>
      </w:pPr>
      <w:r>
        <w:t>h</w:t>
      </w:r>
      <w:r w:rsidRPr="002C5E2B">
        <w:t>istory of cancer (especially in sites and types that metastasize to the brain)</w:t>
      </w:r>
    </w:p>
    <w:p w:rsidR="00664018" w:rsidRPr="002C5E2B" w:rsidRDefault="00664018" w:rsidP="0007017F">
      <w:pPr>
        <w:pStyle w:val="Dash"/>
      </w:pPr>
      <w:r>
        <w:t>u</w:t>
      </w:r>
      <w:r w:rsidRPr="002C5E2B">
        <w:t>se of anticoagulants or history of bleeding disorder</w:t>
      </w:r>
    </w:p>
    <w:p w:rsidR="00664018" w:rsidRPr="002C5E2B" w:rsidRDefault="00664018" w:rsidP="0007017F">
      <w:pPr>
        <w:pStyle w:val="Dash"/>
      </w:pPr>
      <w:r>
        <w:t>h</w:t>
      </w:r>
      <w:r w:rsidRPr="002C5E2B">
        <w:t>istory of urinary incontinence and gait disorder early in the course of dementia (as may be found in normal pressure hydrocephalus)</w:t>
      </w:r>
    </w:p>
    <w:p w:rsidR="00664018" w:rsidRPr="002C5E2B" w:rsidRDefault="00664018" w:rsidP="0007017F">
      <w:pPr>
        <w:pStyle w:val="Dash"/>
      </w:pPr>
      <w:r>
        <w:t>a</w:t>
      </w:r>
      <w:r w:rsidRPr="002C5E2B">
        <w:t>ny new localizing sign (eg</w:t>
      </w:r>
      <w:r>
        <w:t>,</w:t>
      </w:r>
      <w:r w:rsidRPr="002C5E2B">
        <w:t xml:space="preserve"> hemiparesis or a Babinski reflex)</w:t>
      </w:r>
    </w:p>
    <w:p w:rsidR="00664018" w:rsidRPr="002C5E2B" w:rsidRDefault="00664018" w:rsidP="0007017F">
      <w:pPr>
        <w:pStyle w:val="Dash"/>
      </w:pPr>
      <w:r>
        <w:t>u</w:t>
      </w:r>
      <w:r w:rsidRPr="002C5E2B">
        <w:t>nusual or atypical cognitive symptoms or presentation (eg</w:t>
      </w:r>
      <w:r>
        <w:t>,</w:t>
      </w:r>
      <w:r w:rsidRPr="002C5E2B">
        <w:t xml:space="preserve"> progressive aphasia)</w:t>
      </w:r>
    </w:p>
    <w:p w:rsidR="00664018" w:rsidRPr="002C5E2B" w:rsidRDefault="00664018" w:rsidP="0007017F">
      <w:pPr>
        <w:pStyle w:val="Dash"/>
      </w:pPr>
      <w:r>
        <w:t>g</w:t>
      </w:r>
      <w:r w:rsidRPr="002C5E2B">
        <w:t>ait disturbance</w:t>
      </w:r>
    </w:p>
    <w:p w:rsidR="00664018" w:rsidRPr="002C5E2B" w:rsidRDefault="00664018" w:rsidP="0007017F">
      <w:pPr>
        <w:pStyle w:val="Bullet"/>
      </w:pPr>
      <w:r>
        <w:t>h</w:t>
      </w:r>
      <w:r w:rsidRPr="002C5E2B">
        <w:t>eadaches where at least one of the following apply:</w:t>
      </w:r>
    </w:p>
    <w:p w:rsidR="00664018" w:rsidRPr="002C5E2B" w:rsidRDefault="00664018" w:rsidP="0007017F">
      <w:pPr>
        <w:pStyle w:val="Dash"/>
      </w:pPr>
      <w:r>
        <w:t>n</w:t>
      </w:r>
      <w:r w:rsidRPr="002C5E2B">
        <w:t>ew onset &gt;</w:t>
      </w:r>
      <w:r w:rsidR="0007017F">
        <w:t> </w:t>
      </w:r>
      <w:r w:rsidRPr="002C5E2B">
        <w:t>50 y</w:t>
      </w:r>
      <w:r>
        <w:t>ea</w:t>
      </w:r>
      <w:r w:rsidRPr="002C5E2B">
        <w:t>rs</w:t>
      </w:r>
    </w:p>
    <w:p w:rsidR="00664018" w:rsidRPr="002C5E2B" w:rsidRDefault="00664018" w:rsidP="0007017F">
      <w:pPr>
        <w:pStyle w:val="Dash"/>
      </w:pPr>
      <w:r>
        <w:t>c</w:t>
      </w:r>
      <w:r w:rsidRPr="002C5E2B">
        <w:t>hange in pattern of headaches with increase in frequency or severity</w:t>
      </w:r>
    </w:p>
    <w:p w:rsidR="00664018" w:rsidRPr="002C5E2B" w:rsidRDefault="00664018" w:rsidP="0007017F">
      <w:pPr>
        <w:pStyle w:val="Dash"/>
      </w:pPr>
      <w:r>
        <w:t>a</w:t>
      </w:r>
      <w:r w:rsidRPr="002C5E2B">
        <w:t>ggravated by exertion or Valsalva</w:t>
      </w:r>
    </w:p>
    <w:p w:rsidR="00664018" w:rsidRPr="002C5E2B" w:rsidRDefault="00664018" w:rsidP="0007017F">
      <w:pPr>
        <w:pStyle w:val="Dash"/>
      </w:pPr>
      <w:r>
        <w:t>a</w:t>
      </w:r>
      <w:r w:rsidRPr="002C5E2B">
        <w:t>ssociated with nausea and vomiting</w:t>
      </w:r>
    </w:p>
    <w:p w:rsidR="00664018" w:rsidRPr="002C5E2B" w:rsidRDefault="00664018" w:rsidP="0007017F">
      <w:pPr>
        <w:pStyle w:val="Dash"/>
      </w:pPr>
      <w:r>
        <w:t>b</w:t>
      </w:r>
      <w:r w:rsidRPr="002C5E2B">
        <w:t>ackground systemic illness with cerebral complications or in</w:t>
      </w:r>
      <w:r>
        <w:t>volvement; especially malignancy</w:t>
      </w:r>
      <w:r w:rsidRPr="002C5E2B">
        <w:t xml:space="preserve"> (breast, lung, melanoma).</w:t>
      </w:r>
    </w:p>
    <w:p w:rsidR="00664018" w:rsidRPr="009A075A" w:rsidRDefault="00664018" w:rsidP="0007017F"/>
    <w:p w:rsidR="0007017F" w:rsidRDefault="0007017F" w:rsidP="0007017F">
      <w:pPr>
        <w:pStyle w:val="BoxHeading"/>
      </w:pPr>
      <w:r w:rsidRPr="009A075A">
        <w:t>Guidance</w:t>
      </w:r>
    </w:p>
    <w:p w:rsidR="0007017F" w:rsidRPr="0007017F" w:rsidRDefault="0007017F" w:rsidP="0007017F">
      <w:pPr>
        <w:pStyle w:val="Box"/>
      </w:pPr>
      <w:r w:rsidRPr="009A075A">
        <w:t>While CT may be appropriate as part of the work</w:t>
      </w:r>
      <w:r>
        <w:t>-</w:t>
      </w:r>
      <w:r w:rsidRPr="009A075A">
        <w:t>up, initial</w:t>
      </w:r>
      <w:r>
        <w:t>ly</w:t>
      </w:r>
      <w:r w:rsidRPr="009A075A">
        <w:t xml:space="preserve"> discuss with local relevant specialist for patients </w:t>
      </w:r>
      <w:r>
        <w:t>who have</w:t>
      </w:r>
      <w:r w:rsidRPr="009A075A">
        <w:t>:</w:t>
      </w:r>
    </w:p>
    <w:p w:rsidR="0007017F" w:rsidRPr="009A075A" w:rsidRDefault="0007017F" w:rsidP="0007017F">
      <w:pPr>
        <w:pStyle w:val="BoxBullet"/>
      </w:pPr>
      <w:r>
        <w:t>f</w:t>
      </w:r>
      <w:r w:rsidRPr="009A075A">
        <w:t>ocal neurological signs</w:t>
      </w:r>
    </w:p>
    <w:p w:rsidR="0007017F" w:rsidRPr="009A075A" w:rsidRDefault="0007017F" w:rsidP="0007017F">
      <w:pPr>
        <w:pStyle w:val="BoxBullet"/>
      </w:pPr>
      <w:r>
        <w:t>a</w:t>
      </w:r>
      <w:r w:rsidRPr="009A075A">
        <w:t>cute cognitive decline or change in personality.</w:t>
      </w:r>
    </w:p>
    <w:p w:rsidR="0007017F" w:rsidRDefault="0007017F" w:rsidP="0007017F"/>
    <w:p w:rsidR="00664018" w:rsidRDefault="00664018" w:rsidP="0007017F">
      <w:pPr>
        <w:pStyle w:val="Heading3"/>
      </w:pPr>
      <w:r>
        <w:t>CT abdomen</w:t>
      </w:r>
    </w:p>
    <w:p w:rsidR="00377AE5" w:rsidRDefault="00664018" w:rsidP="0007017F">
      <w:pPr>
        <w:pStyle w:val="Heading4"/>
        <w:rPr>
          <w:color w:val="44546A"/>
        </w:rPr>
      </w:pPr>
      <w:r w:rsidRPr="009A075A">
        <w:t>CT KUB</w:t>
      </w:r>
    </w:p>
    <w:p w:rsidR="00664018" w:rsidRPr="009A075A" w:rsidRDefault="00664018" w:rsidP="0007017F">
      <w:r w:rsidRPr="009A075A">
        <w:t>Sta</w:t>
      </w:r>
      <w:r>
        <w:t>ndard indications for CT</w:t>
      </w:r>
      <w:r w:rsidRPr="009A075A">
        <w:t xml:space="preserve"> </w:t>
      </w:r>
      <w:r>
        <w:t xml:space="preserve">KUB </w:t>
      </w:r>
      <w:r w:rsidRPr="009A075A">
        <w:t>referral</w:t>
      </w:r>
      <w:r>
        <w:t>:</w:t>
      </w:r>
    </w:p>
    <w:p w:rsidR="00664018" w:rsidRDefault="00664018" w:rsidP="0007017F">
      <w:pPr>
        <w:pStyle w:val="Bullet"/>
      </w:pPr>
      <w:r>
        <w:t>n</w:t>
      </w:r>
      <w:r w:rsidRPr="009A075A">
        <w:t>on</w:t>
      </w:r>
      <w:r>
        <w:t>-</w:t>
      </w:r>
      <w:r w:rsidRPr="009A075A">
        <w:t xml:space="preserve">pregnant patients with renal colic </w:t>
      </w:r>
      <w:r>
        <w:t>according to local pathway</w:t>
      </w:r>
      <w:r w:rsidR="0007017F">
        <w:t>.</w:t>
      </w:r>
    </w:p>
    <w:p w:rsidR="0007017F" w:rsidRPr="009A075A" w:rsidRDefault="0007017F" w:rsidP="0007017F"/>
    <w:p w:rsidR="00664018" w:rsidRPr="00711DC9" w:rsidRDefault="00664018" w:rsidP="00711DC9">
      <w:pPr>
        <w:pStyle w:val="Heading4"/>
      </w:pPr>
      <w:r w:rsidRPr="009A075A">
        <w:t xml:space="preserve">CT </w:t>
      </w:r>
      <w:r>
        <w:t>c</w:t>
      </w:r>
      <w:r w:rsidRPr="009A075A">
        <w:t>olonography</w:t>
      </w:r>
      <w:r>
        <w:rPr>
          <w:vertAlign w:val="superscript"/>
        </w:rPr>
        <w:t>1</w:t>
      </w:r>
      <w:r w:rsidR="0042749E">
        <w:rPr>
          <w:vertAlign w:val="superscript"/>
        </w:rPr>
        <w:t>5,1</w:t>
      </w:r>
      <w:r>
        <w:rPr>
          <w:vertAlign w:val="superscript"/>
        </w:rPr>
        <w:t>6, 17, 18</w:t>
      </w:r>
    </w:p>
    <w:p w:rsidR="00664018" w:rsidRPr="009A075A" w:rsidRDefault="00664018" w:rsidP="00711DC9">
      <w:r w:rsidRPr="009A075A">
        <w:t>Sta</w:t>
      </w:r>
      <w:r>
        <w:t xml:space="preserve">ndard indications for </w:t>
      </w:r>
      <w:r w:rsidRPr="004D7F24">
        <w:t>CT colonography</w:t>
      </w:r>
      <w:r>
        <w:t xml:space="preserve"> (CTC) </w:t>
      </w:r>
      <w:r w:rsidRPr="009A075A">
        <w:t>referral</w:t>
      </w:r>
      <w:r>
        <w:t xml:space="preserve"> </w:t>
      </w:r>
      <w:r w:rsidRPr="00516029">
        <w:t>in patients where colorectal cancer is suspected</w:t>
      </w:r>
      <w:r>
        <w:t>:</w:t>
      </w:r>
    </w:p>
    <w:p w:rsidR="00377AE5" w:rsidRDefault="00664018" w:rsidP="00711DC9">
      <w:pPr>
        <w:pStyle w:val="Bullet"/>
      </w:pPr>
      <w:r>
        <w:t>s</w:t>
      </w:r>
      <w:r w:rsidRPr="009A075A">
        <w:t>ymptomatic patients over 80 years</w:t>
      </w:r>
    </w:p>
    <w:p w:rsidR="00664018" w:rsidRPr="009A075A" w:rsidRDefault="00664018" w:rsidP="00711DC9">
      <w:pPr>
        <w:pStyle w:val="Bullet"/>
      </w:pPr>
      <w:r>
        <w:t>p</w:t>
      </w:r>
      <w:r w:rsidRPr="009A075A">
        <w:t xml:space="preserve">atients with co-morbidities </w:t>
      </w:r>
      <w:r>
        <w:t>when colonoscopy presents a higher risk (eg, patients on warfarin therapy, respiratory risk from sedation)</w:t>
      </w:r>
    </w:p>
    <w:p w:rsidR="00377AE5" w:rsidRDefault="00664018" w:rsidP="00711DC9">
      <w:pPr>
        <w:pStyle w:val="Bullet"/>
      </w:pPr>
      <w:r>
        <w:t>p</w:t>
      </w:r>
      <w:r w:rsidRPr="009A075A">
        <w:t>atients presenting with abdominal mass</w:t>
      </w:r>
    </w:p>
    <w:p w:rsidR="00664018" w:rsidRPr="009A075A" w:rsidRDefault="00664018" w:rsidP="00711DC9">
      <w:pPr>
        <w:pStyle w:val="Bullet"/>
      </w:pPr>
      <w:r>
        <w:t>f</w:t>
      </w:r>
      <w:r w:rsidRPr="009A075A">
        <w:t>ollowing failed or incomplete colonoscopy</w:t>
      </w:r>
    </w:p>
    <w:p w:rsidR="00664018" w:rsidRPr="002C5E2B" w:rsidRDefault="00D41AB0" w:rsidP="00BB1AFE">
      <w:pPr>
        <w:pStyle w:val="Bullet"/>
      </w:pPr>
      <w:r>
        <w:t>p</w:t>
      </w:r>
      <w:r w:rsidR="00664018">
        <w:t>atients with symptoms which are average to low risk for malignancy</w:t>
      </w:r>
      <w:r w:rsidR="00664018" w:rsidRPr="009A075A">
        <w:t xml:space="preserve"> (patients who previously would have been referred for barium enema).</w:t>
      </w:r>
      <w:r w:rsidR="00664018">
        <w:t xml:space="preserve"> </w:t>
      </w:r>
    </w:p>
    <w:p w:rsidR="00664018" w:rsidRPr="00E55000" w:rsidRDefault="00664018" w:rsidP="00711DC9">
      <w:r w:rsidRPr="00E55000">
        <w:t>Referral for CTC not typically indicated</w:t>
      </w:r>
      <w:r w:rsidRPr="00E55000" w:rsidDel="002A1AE0">
        <w:t xml:space="preserve"> </w:t>
      </w:r>
      <w:r w:rsidRPr="00E55000">
        <w:t>(</w:t>
      </w:r>
      <w:r>
        <w:t xml:space="preserve">ie, </w:t>
      </w:r>
      <w:r w:rsidRPr="00E55000">
        <w:t>refer for colonoscopy)</w:t>
      </w:r>
      <w:r>
        <w:t>:</w:t>
      </w:r>
    </w:p>
    <w:p w:rsidR="00377AE5" w:rsidRDefault="00664018" w:rsidP="00711DC9">
      <w:pPr>
        <w:pStyle w:val="Bullet"/>
      </w:pPr>
      <w:r>
        <w:t>diarrhoea as the predominant presenting symptom</w:t>
      </w:r>
    </w:p>
    <w:p w:rsidR="00664018" w:rsidRPr="00987EEA" w:rsidRDefault="00664018" w:rsidP="00711DC9">
      <w:pPr>
        <w:pStyle w:val="Bullet"/>
      </w:pPr>
      <w:r>
        <w:t>k</w:t>
      </w:r>
      <w:r w:rsidRPr="009A075A">
        <w:t>nown polyp syndromes (including familial) where biopsy/removal is likely to be required</w:t>
      </w:r>
    </w:p>
    <w:p w:rsidR="00377AE5" w:rsidRDefault="00664018" w:rsidP="00711DC9">
      <w:pPr>
        <w:pStyle w:val="Bullet"/>
      </w:pPr>
      <w:r>
        <w:t>s</w:t>
      </w:r>
      <w:r w:rsidRPr="00E3367D">
        <w:t>uspected inflammatory bowel disease</w:t>
      </w:r>
      <w:r w:rsidR="00D41AB0">
        <w:t xml:space="preserve"> where mucosal visualisation and biopsy are </w:t>
      </w:r>
      <w:r w:rsidR="00D41AB0" w:rsidRPr="009A075A">
        <w:t xml:space="preserve"> </w:t>
      </w:r>
      <w:r w:rsidR="00D41AB0">
        <w:t>required for diagnosis</w:t>
      </w:r>
    </w:p>
    <w:p w:rsidR="00664018" w:rsidRPr="009A075A" w:rsidRDefault="00664018" w:rsidP="00711DC9">
      <w:pPr>
        <w:pStyle w:val="Bullet"/>
      </w:pPr>
      <w:r>
        <w:t>y</w:t>
      </w:r>
      <w:r w:rsidRPr="009A075A">
        <w:t>oung patients (&lt;</w:t>
      </w:r>
      <w:r w:rsidR="00711DC9">
        <w:t> </w:t>
      </w:r>
      <w:r w:rsidRPr="009A075A">
        <w:t>40 years)</w:t>
      </w:r>
      <w:r>
        <w:t>.</w:t>
      </w:r>
    </w:p>
    <w:p w:rsidR="00664018" w:rsidRPr="00516029" w:rsidRDefault="00664018" w:rsidP="00711DC9"/>
    <w:p w:rsidR="00711DC9" w:rsidRPr="009A075A" w:rsidRDefault="00711DC9" w:rsidP="00E6707A">
      <w:pPr>
        <w:pStyle w:val="BoxHeading"/>
        <w:keepNext/>
      </w:pPr>
      <w:r w:rsidRPr="009A075A">
        <w:t>Guidance</w:t>
      </w:r>
    </w:p>
    <w:p w:rsidR="00711DC9" w:rsidRPr="00886A80" w:rsidRDefault="00711DC9" w:rsidP="00E6707A">
      <w:pPr>
        <w:pStyle w:val="Box"/>
        <w:keepNext/>
      </w:pPr>
      <w:r w:rsidRPr="00886A80">
        <w:t xml:space="preserve">Referral </w:t>
      </w:r>
      <w:r>
        <w:t xml:space="preserve">is </w:t>
      </w:r>
      <w:r w:rsidRPr="00886A80">
        <w:t xml:space="preserve">not typically indicated for either CTC or </w:t>
      </w:r>
      <w:r>
        <w:t>c</w:t>
      </w:r>
      <w:r w:rsidRPr="00886A80">
        <w:t>olonoscopy</w:t>
      </w:r>
      <w:r>
        <w:t xml:space="preserve"> where there is</w:t>
      </w:r>
      <w:r w:rsidRPr="00886A80">
        <w:t>:</w:t>
      </w:r>
    </w:p>
    <w:p w:rsidR="00711DC9" w:rsidRPr="00E1790C" w:rsidRDefault="00711DC9" w:rsidP="00E6707A">
      <w:pPr>
        <w:pStyle w:val="BoxBullet"/>
        <w:keepNext/>
      </w:pPr>
      <w:r w:rsidRPr="00E1790C">
        <w:t>abdominal pain alone</w:t>
      </w:r>
    </w:p>
    <w:p w:rsidR="00711DC9" w:rsidRPr="00E1790C" w:rsidRDefault="00711DC9" w:rsidP="00711DC9">
      <w:pPr>
        <w:pStyle w:val="BoxBullet"/>
      </w:pPr>
      <w:r w:rsidRPr="00E1790C">
        <w:t>constipation as a single symptom</w:t>
      </w:r>
    </w:p>
    <w:p w:rsidR="00711DC9" w:rsidRPr="00E1790C" w:rsidRDefault="00711DC9" w:rsidP="00711DC9">
      <w:pPr>
        <w:pStyle w:val="BoxBullet"/>
      </w:pPr>
      <w:r w:rsidRPr="00E1790C">
        <w:t>irritable bowel syndrome (consider specialist referral first</w:t>
      </w:r>
      <w:r>
        <w:t>)</w:t>
      </w:r>
    </w:p>
    <w:p w:rsidR="00711DC9" w:rsidRPr="00E1790C" w:rsidRDefault="00711DC9" w:rsidP="00711DC9">
      <w:pPr>
        <w:pStyle w:val="BoxBullet"/>
      </w:pPr>
      <w:r w:rsidRPr="00E1790C">
        <w:t>uncomplicated CT</w:t>
      </w:r>
      <w:r>
        <w:t>-</w:t>
      </w:r>
      <w:r w:rsidRPr="00E1790C">
        <w:t>proven diverticulitis without suspicious radiological features</w:t>
      </w:r>
      <w:r>
        <w:t>.</w:t>
      </w:r>
    </w:p>
    <w:p w:rsidR="00711DC9" w:rsidRDefault="00711DC9" w:rsidP="00711DC9">
      <w:pPr>
        <w:pStyle w:val="Box"/>
      </w:pPr>
      <w:r>
        <w:t xml:space="preserve">The local DHB is likely to triage referrals for investigation of bowel symptoms to either CTC or colonoscopy, depending on clinical presentation and </w:t>
      </w:r>
      <w:r w:rsidRPr="009A075A">
        <w:t>resource availability</w:t>
      </w:r>
      <w:r>
        <w:t>.</w:t>
      </w:r>
    </w:p>
    <w:p w:rsidR="00711DC9" w:rsidRDefault="00711DC9" w:rsidP="00711DC9">
      <w:pPr>
        <w:pStyle w:val="Box"/>
      </w:pPr>
      <w:r>
        <w:t>CTC requires bowel preparation similar to colonoscopy, including fasting. The procedure involves rectal air insufflation and changing position on the scanner table.</w:t>
      </w:r>
    </w:p>
    <w:p w:rsidR="009373A3" w:rsidRDefault="009373A3" w:rsidP="009373A3">
      <w:pPr>
        <w:pStyle w:val="Box"/>
      </w:pPr>
      <w:r>
        <w:t xml:space="preserve">Where patient fitness level would preclude active treatment if a cancer is diagnosed, a minimal preparation CT colon (MPCT ) should be considered. Discussion with local radiologist recommended. </w:t>
      </w:r>
    </w:p>
    <w:p w:rsidR="009373A3" w:rsidRDefault="009373A3" w:rsidP="009373A3">
      <w:pPr>
        <w:pStyle w:val="Box"/>
      </w:pPr>
      <w:r w:rsidRPr="00E55000">
        <w:t xml:space="preserve">The </w:t>
      </w:r>
      <w:r>
        <w:t>‘</w:t>
      </w:r>
      <w:r w:rsidRPr="00E55000">
        <w:t>miss</w:t>
      </w:r>
      <w:r>
        <w:t>’</w:t>
      </w:r>
      <w:r w:rsidRPr="00E55000">
        <w:t xml:space="preserve"> rate of lesions &gt;</w:t>
      </w:r>
      <w:r>
        <w:t> </w:t>
      </w:r>
      <w:r w:rsidRPr="00E55000">
        <w:t>1</w:t>
      </w:r>
      <w:r>
        <w:t> </w:t>
      </w:r>
      <w:r w:rsidRPr="00E55000">
        <w:t>cm with both well</w:t>
      </w:r>
      <w:r>
        <w:t>-</w:t>
      </w:r>
      <w:r w:rsidRPr="00E55000">
        <w:t xml:space="preserve">performed colonoscopy and CTC is approximately </w:t>
      </w:r>
      <w:r>
        <w:t>6</w:t>
      </w:r>
      <w:r w:rsidRPr="00E55000">
        <w:t xml:space="preserve"> percent.</w:t>
      </w:r>
    </w:p>
    <w:p w:rsidR="009373A3" w:rsidRDefault="009373A3" w:rsidP="009373A3">
      <w:pPr>
        <w:pStyle w:val="Box"/>
      </w:pPr>
      <w:r>
        <w:t>CTC is not intended for the detection of diminutive polyps &lt;5mm.</w:t>
      </w:r>
    </w:p>
    <w:p w:rsidR="009373A3" w:rsidRPr="00711DC9" w:rsidRDefault="009373A3" w:rsidP="00711DC9">
      <w:pPr>
        <w:pStyle w:val="Box"/>
      </w:pPr>
    </w:p>
    <w:p w:rsidR="00664018" w:rsidRPr="009A075A" w:rsidRDefault="00664018" w:rsidP="00711DC9"/>
    <w:p w:rsidR="00711DC9" w:rsidRDefault="00664018" w:rsidP="00711DC9">
      <w:pPr>
        <w:pStyle w:val="Heading3"/>
      </w:pPr>
      <w:r w:rsidRPr="009A075A">
        <w:t>CT sinus</w:t>
      </w:r>
    </w:p>
    <w:p w:rsidR="00711DC9" w:rsidRDefault="00711DC9" w:rsidP="00711DC9">
      <w:pPr>
        <w:pStyle w:val="BoxHeading"/>
      </w:pPr>
      <w:r w:rsidRPr="009A075A">
        <w:t>Guidance</w:t>
      </w:r>
    </w:p>
    <w:p w:rsidR="00711DC9" w:rsidRDefault="00711DC9" w:rsidP="00711DC9">
      <w:pPr>
        <w:pStyle w:val="Box"/>
      </w:pPr>
      <w:r w:rsidRPr="009A075A">
        <w:t>Sinus CT is not generally indicated without failed medical management. The main role of sinus CT is for pre-surgical planning</w:t>
      </w:r>
      <w:r>
        <w:t>,</w:t>
      </w:r>
      <w:r w:rsidRPr="009A075A">
        <w:t xml:space="preserve"> rather than determining the need for surgery.</w:t>
      </w:r>
    </w:p>
    <w:p w:rsidR="00711DC9" w:rsidRDefault="00711DC9" w:rsidP="00711DC9"/>
    <w:p w:rsidR="00711DC9" w:rsidRPr="00E55000" w:rsidRDefault="00711DC9" w:rsidP="00711DC9">
      <w:pPr>
        <w:pStyle w:val="Heading2"/>
      </w:pPr>
      <w:bookmarkStart w:id="16" w:name="_Toc408998587"/>
      <w:r>
        <w:t>Paediatric imaging</w:t>
      </w:r>
      <w:bookmarkEnd w:id="16"/>
    </w:p>
    <w:p w:rsidR="00377AE5" w:rsidRDefault="00664018" w:rsidP="00711DC9">
      <w:pPr>
        <w:pStyle w:val="Heading3"/>
      </w:pPr>
      <w:r w:rsidRPr="009A075A">
        <w:t>X-ray</w:t>
      </w:r>
      <w:r w:rsidRPr="002C5E2B">
        <w:t xml:space="preserve"> </w:t>
      </w:r>
      <w:r>
        <w:t>–</w:t>
      </w:r>
      <w:r w:rsidRPr="002C5E2B">
        <w:t xml:space="preserve"> </w:t>
      </w:r>
      <w:r>
        <w:t>c</w:t>
      </w:r>
      <w:r w:rsidRPr="002C5E2B">
        <w:t>hest</w:t>
      </w:r>
    </w:p>
    <w:p w:rsidR="00664018" w:rsidRPr="009A075A" w:rsidRDefault="00664018" w:rsidP="00711DC9">
      <w:r w:rsidRPr="009A075A">
        <w:t xml:space="preserve">Standard indications for </w:t>
      </w:r>
      <w:r>
        <w:t>X</w:t>
      </w:r>
      <w:r w:rsidRPr="009A075A">
        <w:t>-ray referral</w:t>
      </w:r>
      <w:r>
        <w:t>:</w:t>
      </w:r>
    </w:p>
    <w:p w:rsidR="00377AE5" w:rsidRDefault="00664018" w:rsidP="00711DC9">
      <w:pPr>
        <w:pStyle w:val="Bullet"/>
      </w:pPr>
      <w:r>
        <w:t>l</w:t>
      </w:r>
      <w:r w:rsidRPr="009A075A">
        <w:t>ower respiratory tract disease (includ</w:t>
      </w:r>
      <w:r>
        <w:t>ing</w:t>
      </w:r>
      <w:r w:rsidRPr="009A075A">
        <w:t xml:space="preserve"> asthma/bronchiolitis/pneumonia) unresponsive to treatment</w:t>
      </w:r>
    </w:p>
    <w:p w:rsidR="00377AE5" w:rsidRDefault="00664018" w:rsidP="00711DC9">
      <w:pPr>
        <w:pStyle w:val="Bullet"/>
      </w:pPr>
      <w:r>
        <w:t>inhalation or s</w:t>
      </w:r>
      <w:r w:rsidRPr="009A075A">
        <w:t>uspected</w:t>
      </w:r>
      <w:r>
        <w:t xml:space="preserve"> </w:t>
      </w:r>
      <w:r w:rsidRPr="009A075A">
        <w:t xml:space="preserve">inhalation </w:t>
      </w:r>
      <w:r>
        <w:t xml:space="preserve">of </w:t>
      </w:r>
      <w:r w:rsidRPr="009A075A">
        <w:t>foreign body.</w:t>
      </w:r>
    </w:p>
    <w:p w:rsidR="00377AE5" w:rsidRDefault="00377AE5" w:rsidP="00711DC9"/>
    <w:p w:rsidR="00664018" w:rsidRPr="009A075A" w:rsidRDefault="00664018" w:rsidP="00711DC9">
      <w:pPr>
        <w:rPr>
          <w:color w:val="44546A"/>
        </w:rPr>
      </w:pPr>
      <w:r w:rsidRPr="009A075A">
        <w:t xml:space="preserve">Referral for </w:t>
      </w:r>
      <w:r>
        <w:t>X</w:t>
      </w:r>
      <w:r w:rsidRPr="009A075A">
        <w:t>-ray not typically indicated</w:t>
      </w:r>
      <w:r>
        <w:t>:</w:t>
      </w:r>
    </w:p>
    <w:p w:rsidR="00664018" w:rsidRPr="009A075A" w:rsidRDefault="00664018" w:rsidP="00711DC9">
      <w:pPr>
        <w:pStyle w:val="Bullet"/>
      </w:pPr>
      <w:r>
        <w:t>i</w:t>
      </w:r>
      <w:r w:rsidRPr="009A075A">
        <w:t>ncidental finding of a murmur</w:t>
      </w:r>
    </w:p>
    <w:p w:rsidR="00377AE5" w:rsidRDefault="00664018" w:rsidP="00711DC9">
      <w:pPr>
        <w:pStyle w:val="Bullet"/>
      </w:pPr>
      <w:r>
        <w:t>u</w:t>
      </w:r>
      <w:r w:rsidRPr="009A075A">
        <w:t>ncomplicated (afebrile) presentation of asthma/bronchiolitis.</w:t>
      </w:r>
    </w:p>
    <w:p w:rsidR="00711DC9" w:rsidRDefault="00711DC9" w:rsidP="00711DC9"/>
    <w:p w:rsidR="004D6272" w:rsidRPr="009A075A" w:rsidRDefault="004D6272" w:rsidP="004D6272">
      <w:pPr>
        <w:pStyle w:val="Heading3"/>
      </w:pPr>
      <w:r w:rsidRPr="002C5E2B">
        <w:t xml:space="preserve">X-ray </w:t>
      </w:r>
      <w:r>
        <w:t>– l</w:t>
      </w:r>
      <w:r w:rsidRPr="009A075A">
        <w:t>ower limb</w:t>
      </w:r>
    </w:p>
    <w:p w:rsidR="004D6272" w:rsidRPr="009A075A" w:rsidRDefault="004D6272" w:rsidP="004D6272">
      <w:r w:rsidRPr="009A075A">
        <w:t xml:space="preserve">Referral for </w:t>
      </w:r>
      <w:r>
        <w:t>X</w:t>
      </w:r>
      <w:r w:rsidRPr="009A075A">
        <w:t>-ray not typically indicated</w:t>
      </w:r>
      <w:r>
        <w:t>:</w:t>
      </w:r>
    </w:p>
    <w:p w:rsidR="004D6272" w:rsidRDefault="004D6272" w:rsidP="00EF274D">
      <w:pPr>
        <w:pStyle w:val="Bullet"/>
      </w:pPr>
      <w:r w:rsidRPr="009A075A">
        <w:t>Osgood-Schlatters, Sever</w:t>
      </w:r>
      <w:r>
        <w:t>’</w:t>
      </w:r>
      <w:r w:rsidRPr="009A075A">
        <w:t>s and other apophysitides</w:t>
      </w:r>
      <w:r w:rsidRPr="002C5E2B">
        <w:t xml:space="preserve"> </w:t>
      </w:r>
    </w:p>
    <w:p w:rsidR="00EF274D" w:rsidRDefault="00EF274D" w:rsidP="00EF274D">
      <w:pPr>
        <w:pStyle w:val="Bullet"/>
        <w:numPr>
          <w:ilvl w:val="0"/>
          <w:numId w:val="0"/>
        </w:numPr>
        <w:ind w:left="284"/>
      </w:pPr>
    </w:p>
    <w:p w:rsidR="00664018" w:rsidRPr="009A075A" w:rsidRDefault="00664018" w:rsidP="004D6272">
      <w:pPr>
        <w:pStyle w:val="Heading3"/>
        <w:rPr>
          <w:color w:val="44546A"/>
        </w:rPr>
      </w:pPr>
      <w:r w:rsidRPr="002C5E2B">
        <w:t xml:space="preserve">X-ray </w:t>
      </w:r>
      <w:r>
        <w:t>–</w:t>
      </w:r>
      <w:r w:rsidRPr="002C5E2B">
        <w:t xml:space="preserve"> </w:t>
      </w:r>
      <w:r>
        <w:t>p</w:t>
      </w:r>
      <w:r w:rsidRPr="009A075A">
        <w:t>elvis/hips</w:t>
      </w:r>
    </w:p>
    <w:p w:rsidR="00664018" w:rsidRPr="009A075A" w:rsidRDefault="00664018" w:rsidP="00711DC9">
      <w:r w:rsidRPr="009A075A">
        <w:t xml:space="preserve">Standard indications for </w:t>
      </w:r>
      <w:r>
        <w:t>X</w:t>
      </w:r>
      <w:r w:rsidRPr="009A075A">
        <w:t>-ray referral</w:t>
      </w:r>
      <w:r>
        <w:t>:</w:t>
      </w:r>
    </w:p>
    <w:p w:rsidR="00377AE5" w:rsidRDefault="00664018" w:rsidP="00711DC9">
      <w:pPr>
        <w:pStyle w:val="Bullet"/>
      </w:pPr>
      <w:r>
        <w:t>p</w:t>
      </w:r>
      <w:r w:rsidRPr="009A075A">
        <w:t>ain</w:t>
      </w:r>
    </w:p>
    <w:p w:rsidR="00377AE5" w:rsidRDefault="00664018" w:rsidP="00711DC9">
      <w:pPr>
        <w:pStyle w:val="Bullet"/>
      </w:pPr>
      <w:r>
        <w:t>l</w:t>
      </w:r>
      <w:r w:rsidRPr="009A075A">
        <w:t>imp</w:t>
      </w:r>
    </w:p>
    <w:p w:rsidR="00664018" w:rsidRPr="009A075A" w:rsidRDefault="00664018" w:rsidP="00711DC9">
      <w:pPr>
        <w:pStyle w:val="Bullet"/>
      </w:pPr>
      <w:r>
        <w:t>r</w:t>
      </w:r>
      <w:r w:rsidRPr="009A075A">
        <w:t>isk factors/soft signs or suspected development</w:t>
      </w:r>
      <w:r>
        <w:t>al</w:t>
      </w:r>
      <w:r w:rsidRPr="009A075A">
        <w:t xml:space="preserve"> dysplasia of the hip (DDH).</w:t>
      </w:r>
    </w:p>
    <w:p w:rsidR="00664018" w:rsidRPr="009A075A" w:rsidRDefault="00664018" w:rsidP="00711DC9"/>
    <w:p w:rsidR="00711DC9" w:rsidRPr="009A075A" w:rsidRDefault="00711DC9" w:rsidP="00711DC9">
      <w:pPr>
        <w:pStyle w:val="BoxHeading"/>
        <w:keepNext/>
      </w:pPr>
      <w:r w:rsidRPr="009A075A">
        <w:t>Guidance</w:t>
      </w:r>
    </w:p>
    <w:p w:rsidR="00711DC9" w:rsidRDefault="00711DC9" w:rsidP="00E6707A">
      <w:pPr>
        <w:pStyle w:val="BoxBullet"/>
        <w:keepNext/>
      </w:pPr>
      <w:r w:rsidRPr="009A075A">
        <w:t xml:space="preserve">Capital femoral epiphyses ossify on average at </w:t>
      </w:r>
      <w:r>
        <w:t>5–6</w:t>
      </w:r>
      <w:r w:rsidRPr="009A075A">
        <w:t xml:space="preserve"> months of age; DDH can usually be reliably excluded from this age onwards on </w:t>
      </w:r>
      <w:r>
        <w:t>X</w:t>
      </w:r>
      <w:r w:rsidRPr="009A075A">
        <w:t>-ray</w:t>
      </w:r>
      <w:r>
        <w:t>.</w:t>
      </w:r>
      <w:r w:rsidRPr="00910A28">
        <w:rPr>
          <w:vertAlign w:val="superscript"/>
        </w:rPr>
        <w:t>1</w:t>
      </w:r>
      <w:r>
        <w:rPr>
          <w:vertAlign w:val="superscript"/>
        </w:rPr>
        <w:t>9</w:t>
      </w:r>
    </w:p>
    <w:p w:rsidR="00711DC9" w:rsidRPr="009A075A" w:rsidRDefault="00711DC9" w:rsidP="00711DC9">
      <w:pPr>
        <w:pStyle w:val="BoxBullet"/>
      </w:pPr>
      <w:r w:rsidRPr="009A075A">
        <w:t xml:space="preserve">Slipped upper femoral </w:t>
      </w:r>
      <w:r w:rsidRPr="005B6943">
        <w:t>epiphysis requires</w:t>
      </w:r>
      <w:r w:rsidRPr="009A075A">
        <w:t xml:space="preserve"> urgent orthopaedic referral.</w:t>
      </w:r>
    </w:p>
    <w:p w:rsidR="00664018" w:rsidRPr="009A075A" w:rsidRDefault="00664018" w:rsidP="00711DC9"/>
    <w:p w:rsidR="004D6272" w:rsidRPr="009A075A" w:rsidRDefault="004D6272" w:rsidP="004D6272">
      <w:pPr>
        <w:pStyle w:val="Heading3"/>
      </w:pPr>
      <w:r w:rsidRPr="002C5E2B">
        <w:t>Ultrasound</w:t>
      </w:r>
      <w:r>
        <w:t xml:space="preserve"> – h</w:t>
      </w:r>
      <w:r w:rsidRPr="009A075A">
        <w:t>ips</w:t>
      </w:r>
    </w:p>
    <w:p w:rsidR="004D6272" w:rsidRPr="009A075A" w:rsidRDefault="004D6272" w:rsidP="004D6272">
      <w:r w:rsidRPr="009A075A">
        <w:t>Standard indication for ultrasound referral</w:t>
      </w:r>
      <w:r>
        <w:t>:</w:t>
      </w:r>
    </w:p>
    <w:p w:rsidR="004D6272" w:rsidRPr="009A075A" w:rsidRDefault="004D6272" w:rsidP="004D6272">
      <w:pPr>
        <w:pStyle w:val="Bullet"/>
      </w:pPr>
      <w:r>
        <w:t>u</w:t>
      </w:r>
      <w:r w:rsidRPr="009A075A">
        <w:t xml:space="preserve">nstable or dislocated hip in child </w:t>
      </w:r>
      <w:r>
        <w:t>less than 3–4</w:t>
      </w:r>
      <w:r w:rsidRPr="009A075A">
        <w:t xml:space="preserve"> months age; also </w:t>
      </w:r>
      <w:r>
        <w:t xml:space="preserve">refer </w:t>
      </w:r>
      <w:r w:rsidRPr="009A075A">
        <w:t xml:space="preserve">to </w:t>
      </w:r>
      <w:r w:rsidRPr="005B6943">
        <w:t>orthopaedic</w:t>
      </w:r>
      <w:r w:rsidRPr="009A075A">
        <w:t xml:space="preserve"> specialist.</w:t>
      </w:r>
    </w:p>
    <w:p w:rsidR="004D6272" w:rsidRDefault="004D6272" w:rsidP="004D6272"/>
    <w:p w:rsidR="004D6272" w:rsidRPr="009A075A" w:rsidRDefault="004D6272" w:rsidP="004D6272">
      <w:pPr>
        <w:rPr>
          <w:color w:val="44546A"/>
        </w:rPr>
      </w:pPr>
      <w:r w:rsidRPr="009A075A">
        <w:t>Referral for ultrasound not typically indicated</w:t>
      </w:r>
      <w:r>
        <w:t>:</w:t>
      </w:r>
    </w:p>
    <w:p w:rsidR="004D6272" w:rsidRDefault="004D6272" w:rsidP="004D6272">
      <w:pPr>
        <w:pStyle w:val="Bullet"/>
      </w:pPr>
      <w:r>
        <w:t>s</w:t>
      </w:r>
      <w:r w:rsidRPr="009A075A">
        <w:t xml:space="preserve">oft signs (asymmetric buttock creases, leg length discrepancy, </w:t>
      </w:r>
      <w:r w:rsidRPr="005B6943">
        <w:t>clicky</w:t>
      </w:r>
      <w:r w:rsidRPr="009A075A">
        <w:t xml:space="preserve"> </w:t>
      </w:r>
      <w:r w:rsidRPr="005B6943">
        <w:t>hips)</w:t>
      </w:r>
      <w:r w:rsidRPr="009A075A">
        <w:t xml:space="preserve"> or risk factors (breech presentation, family history): refer for plain X-ray at </w:t>
      </w:r>
      <w:r>
        <w:t>5–6</w:t>
      </w:r>
      <w:r w:rsidRPr="009A075A">
        <w:t xml:space="preserve"> months.</w:t>
      </w:r>
    </w:p>
    <w:p w:rsidR="00EF274D" w:rsidRPr="009A075A" w:rsidRDefault="00EF274D" w:rsidP="00EF274D">
      <w:pPr>
        <w:pStyle w:val="Bullet"/>
        <w:numPr>
          <w:ilvl w:val="0"/>
          <w:numId w:val="0"/>
        </w:numPr>
        <w:ind w:left="284"/>
      </w:pPr>
    </w:p>
    <w:p w:rsidR="00664018" w:rsidRPr="002C5E2B" w:rsidRDefault="00664018" w:rsidP="00711DC9">
      <w:pPr>
        <w:pStyle w:val="Heading3"/>
      </w:pPr>
      <w:r w:rsidRPr="009A075A">
        <w:t>Ultrasound</w:t>
      </w:r>
      <w:r w:rsidRPr="002C5E2B">
        <w:t xml:space="preserve"> </w:t>
      </w:r>
      <w:r>
        <w:t>–</w:t>
      </w:r>
      <w:r w:rsidRPr="002C5E2B">
        <w:t xml:space="preserve"> </w:t>
      </w:r>
      <w:r>
        <w:t>n</w:t>
      </w:r>
      <w:r w:rsidRPr="009A075A">
        <w:t xml:space="preserve">eonatal </w:t>
      </w:r>
      <w:r>
        <w:t>s</w:t>
      </w:r>
      <w:r w:rsidRPr="009A075A">
        <w:t>pine</w:t>
      </w:r>
    </w:p>
    <w:p w:rsidR="00664018" w:rsidRPr="00E55000" w:rsidRDefault="00664018" w:rsidP="00711DC9">
      <w:r w:rsidRPr="00E55000">
        <w:t>Standard indications for ultrasound referral</w:t>
      </w:r>
      <w:r>
        <w:t>:</w:t>
      </w:r>
    </w:p>
    <w:p w:rsidR="00664018" w:rsidRPr="009A075A" w:rsidRDefault="00664018" w:rsidP="00711DC9">
      <w:pPr>
        <w:pStyle w:val="Bullet"/>
      </w:pPr>
      <w:r>
        <w:t>s</w:t>
      </w:r>
      <w:r w:rsidRPr="009A075A">
        <w:t>acral dimple or pit: non</w:t>
      </w:r>
      <w:r>
        <w:t>-</w:t>
      </w:r>
      <w:r w:rsidRPr="009A075A">
        <w:t xml:space="preserve">simple </w:t>
      </w:r>
      <w:r>
        <w:t>(</w:t>
      </w:r>
      <w:r w:rsidRPr="009A075A">
        <w:t>ie</w:t>
      </w:r>
      <w:r>
        <w:t>,</w:t>
      </w:r>
      <w:r w:rsidRPr="009A075A">
        <w:t xml:space="preserve"> with at least one of the following criteria</w:t>
      </w:r>
      <w:r>
        <w:t>):</w:t>
      </w:r>
      <w:r w:rsidRPr="00B54820">
        <w:rPr>
          <w:vertAlign w:val="superscript"/>
        </w:rPr>
        <w:t>18</w:t>
      </w:r>
    </w:p>
    <w:p w:rsidR="00664018" w:rsidRPr="009A075A" w:rsidRDefault="00664018" w:rsidP="00711DC9">
      <w:pPr>
        <w:pStyle w:val="Dash"/>
      </w:pPr>
      <w:r>
        <w:t>o</w:t>
      </w:r>
      <w:r w:rsidRPr="009A075A">
        <w:t>utside the natal cleft (&gt;</w:t>
      </w:r>
      <w:r w:rsidR="00711DC9">
        <w:t> </w:t>
      </w:r>
      <w:r w:rsidRPr="009A075A">
        <w:t>2.5</w:t>
      </w:r>
      <w:r w:rsidR="00711DC9">
        <w:t> </w:t>
      </w:r>
      <w:r w:rsidRPr="009A075A">
        <w:t>cm from anal verge in neonate)</w:t>
      </w:r>
    </w:p>
    <w:p w:rsidR="00664018" w:rsidRPr="009A075A" w:rsidRDefault="00664018" w:rsidP="00711DC9">
      <w:pPr>
        <w:pStyle w:val="Dash"/>
      </w:pPr>
      <w:r>
        <w:t>a</w:t>
      </w:r>
      <w:r w:rsidRPr="009A075A">
        <w:t xml:space="preserve">ssociated with cutaneous stigmata of spinal dysraphism </w:t>
      </w:r>
      <w:r>
        <w:t>–</w:t>
      </w:r>
      <w:r w:rsidRPr="009A075A">
        <w:t xml:space="preserve"> hairy tuft, haemangioma</w:t>
      </w:r>
    </w:p>
    <w:p w:rsidR="00377AE5" w:rsidRDefault="00664018" w:rsidP="00711DC9">
      <w:pPr>
        <w:pStyle w:val="Dash"/>
      </w:pPr>
      <w:r w:rsidRPr="009A075A">
        <w:t>&gt;</w:t>
      </w:r>
      <w:r w:rsidR="00711DC9">
        <w:t> </w:t>
      </w:r>
      <w:r w:rsidRPr="009A075A">
        <w:t>5</w:t>
      </w:r>
      <w:r w:rsidR="00711DC9">
        <w:t> </w:t>
      </w:r>
      <w:r w:rsidRPr="009A075A">
        <w:t>mm diameter</w:t>
      </w:r>
    </w:p>
    <w:p w:rsidR="00664018" w:rsidRDefault="00664018" w:rsidP="00711DC9">
      <w:pPr>
        <w:pStyle w:val="Dash"/>
      </w:pPr>
      <w:r>
        <w:t>d</w:t>
      </w:r>
      <w:r w:rsidRPr="003E68FF">
        <w:t>eep (bottom of dimple not visible)</w:t>
      </w:r>
      <w:r>
        <w:t>.</w:t>
      </w:r>
    </w:p>
    <w:p w:rsidR="00664018" w:rsidRDefault="00664018" w:rsidP="00711DC9"/>
    <w:p w:rsidR="00664018" w:rsidRPr="00B54820" w:rsidRDefault="00664018" w:rsidP="00711DC9">
      <w:r w:rsidRPr="00B54820">
        <w:t>Referral for ultrasound not typically indicated:</w:t>
      </w:r>
    </w:p>
    <w:p w:rsidR="00664018" w:rsidRPr="009A075A" w:rsidRDefault="00664018" w:rsidP="00711DC9">
      <w:pPr>
        <w:pStyle w:val="Bullet"/>
      </w:pPr>
      <w:r>
        <w:t>s</w:t>
      </w:r>
      <w:r w:rsidRPr="009A075A">
        <w:t>imple isolated dimples within the gluteal cleft</w:t>
      </w:r>
    </w:p>
    <w:p w:rsidR="00664018" w:rsidRPr="009A075A" w:rsidRDefault="00664018" w:rsidP="00711DC9">
      <w:pPr>
        <w:pStyle w:val="Bullet"/>
      </w:pPr>
      <w:r>
        <w:t>c</w:t>
      </w:r>
      <w:r w:rsidRPr="009A075A">
        <w:t xml:space="preserve">hild </w:t>
      </w:r>
      <w:r w:rsidR="00872959">
        <w:t xml:space="preserve">more </w:t>
      </w:r>
      <w:r w:rsidR="00711DC9">
        <w:t xml:space="preserve">than </w:t>
      </w:r>
      <w:r>
        <w:t>eight</w:t>
      </w:r>
      <w:r w:rsidRPr="009A075A">
        <w:t xml:space="preserve"> weeks</w:t>
      </w:r>
      <w:r w:rsidR="004D6272">
        <w:t xml:space="preserve"> age</w:t>
      </w:r>
      <w:r w:rsidRPr="009A075A">
        <w:t xml:space="preserve">: </w:t>
      </w:r>
      <w:r>
        <w:t xml:space="preserve">ultrasound </w:t>
      </w:r>
      <w:r w:rsidRPr="009A075A">
        <w:t>spine not technically feasible with ossification of the posterior elements. Suggest discussion or review by local specialist</w:t>
      </w:r>
      <w:r>
        <w:t>.</w:t>
      </w:r>
    </w:p>
    <w:p w:rsidR="00664018" w:rsidRPr="009A075A" w:rsidRDefault="00664018" w:rsidP="00711DC9"/>
    <w:p w:rsidR="00664018" w:rsidRPr="009A075A" w:rsidRDefault="00664018" w:rsidP="00711DC9">
      <w:pPr>
        <w:pStyle w:val="Heading3"/>
      </w:pPr>
      <w:r w:rsidRPr="002C5E2B">
        <w:t>Ultrasound</w:t>
      </w:r>
      <w:r>
        <w:t xml:space="preserve"> – r</w:t>
      </w:r>
      <w:r w:rsidRPr="009A075A">
        <w:t>enal</w:t>
      </w:r>
    </w:p>
    <w:p w:rsidR="00664018" w:rsidRPr="009A075A" w:rsidRDefault="00664018" w:rsidP="00711DC9">
      <w:r w:rsidRPr="009A075A">
        <w:t>Standard indications for ultrasound referral</w:t>
      </w:r>
      <w:r>
        <w:t>:</w:t>
      </w:r>
    </w:p>
    <w:p w:rsidR="00664018" w:rsidRPr="009A075A" w:rsidRDefault="00664018" w:rsidP="00711DC9">
      <w:pPr>
        <w:pStyle w:val="Bullet"/>
      </w:pPr>
      <w:r>
        <w:t>c</w:t>
      </w:r>
      <w:r w:rsidRPr="009A075A">
        <w:t>hild &lt;</w:t>
      </w:r>
      <w:r w:rsidR="00711DC9">
        <w:t> </w:t>
      </w:r>
      <w:r w:rsidRPr="009A075A">
        <w:t>12 months with first</w:t>
      </w:r>
      <w:r>
        <w:t>-</w:t>
      </w:r>
      <w:r w:rsidRPr="009A075A">
        <w:t>time documented UTI</w:t>
      </w:r>
    </w:p>
    <w:p w:rsidR="00664018" w:rsidRPr="009A075A" w:rsidRDefault="00664018" w:rsidP="00711DC9">
      <w:pPr>
        <w:pStyle w:val="Bullet"/>
      </w:pPr>
      <w:r>
        <w:t>c</w:t>
      </w:r>
      <w:r w:rsidRPr="009A075A">
        <w:t>hild of any age with recurrent UTI (no previous imaging)</w:t>
      </w:r>
    </w:p>
    <w:p w:rsidR="00664018" w:rsidRPr="009A075A" w:rsidRDefault="00664018" w:rsidP="00711DC9">
      <w:pPr>
        <w:pStyle w:val="Bullet"/>
      </w:pPr>
      <w:r>
        <w:t>c</w:t>
      </w:r>
      <w:r w:rsidRPr="009A075A">
        <w:t xml:space="preserve">hild of any age with complicated UTI </w:t>
      </w:r>
      <w:r>
        <w:t>(</w:t>
      </w:r>
      <w:r w:rsidRPr="005B6943">
        <w:t>eg</w:t>
      </w:r>
      <w:r>
        <w:t>,</w:t>
      </w:r>
      <w:r w:rsidRPr="009A075A">
        <w:t xml:space="preserve"> pyelonephritis, atypical UTI</w:t>
      </w:r>
      <w:r>
        <w:t>)</w:t>
      </w:r>
    </w:p>
    <w:p w:rsidR="00377AE5" w:rsidRDefault="00664018" w:rsidP="00711DC9">
      <w:pPr>
        <w:pStyle w:val="Bullet"/>
      </w:pPr>
      <w:r>
        <w:t>f</w:t>
      </w:r>
      <w:r w:rsidRPr="009A075A">
        <w:t>ollow</w:t>
      </w:r>
      <w:r>
        <w:t>-</w:t>
      </w:r>
      <w:r w:rsidRPr="009A075A">
        <w:t xml:space="preserve">up of antenatal hydronephrosis or other renal </w:t>
      </w:r>
      <w:r w:rsidRPr="005B6943">
        <w:t>abnormality as</w:t>
      </w:r>
      <w:r w:rsidRPr="009A075A">
        <w:t xml:space="preserve"> recommended by reporting radiologist.</w:t>
      </w:r>
    </w:p>
    <w:p w:rsidR="00664018" w:rsidRDefault="00664018" w:rsidP="00711DC9"/>
    <w:p w:rsidR="00664018" w:rsidRPr="009A075A" w:rsidRDefault="00664018" w:rsidP="00711DC9">
      <w:r w:rsidRPr="009A075A">
        <w:t>Referral for ultrasound not typically indicated</w:t>
      </w:r>
      <w:r>
        <w:t>:</w:t>
      </w:r>
    </w:p>
    <w:p w:rsidR="00711DC9" w:rsidRPr="009A075A" w:rsidRDefault="00664018" w:rsidP="00711DC9">
      <w:pPr>
        <w:pStyle w:val="Bullet"/>
      </w:pPr>
      <w:r>
        <w:t>a</w:t>
      </w:r>
      <w:r w:rsidRPr="009A075A">
        <w:t>symptomatic bacteriuria.</w:t>
      </w:r>
    </w:p>
    <w:p w:rsidR="00711DC9" w:rsidRDefault="00711DC9" w:rsidP="00711DC9">
      <w:r>
        <w:br w:type="page"/>
      </w:r>
    </w:p>
    <w:p w:rsidR="00377AE5" w:rsidRDefault="00664018" w:rsidP="00711DC9">
      <w:pPr>
        <w:pStyle w:val="Heading1"/>
      </w:pPr>
      <w:bookmarkStart w:id="17" w:name="_Toc408998588"/>
      <w:r w:rsidRPr="009A075A">
        <w:t>Abbreviations</w:t>
      </w:r>
      <w:bookmarkEnd w:id="17"/>
    </w:p>
    <w:p w:rsidR="00664018" w:rsidRDefault="00664018" w:rsidP="00711DC9">
      <w:pPr>
        <w:spacing w:before="60"/>
        <w:ind w:left="1701" w:hanging="1701"/>
      </w:pPr>
      <w:r w:rsidRPr="009A075A">
        <w:t>AAA</w:t>
      </w:r>
      <w:r w:rsidR="00711DC9">
        <w:tab/>
      </w:r>
      <w:r w:rsidRPr="009A075A">
        <w:t xml:space="preserve">Abdominal </w:t>
      </w:r>
      <w:r>
        <w:t>a</w:t>
      </w:r>
      <w:r w:rsidRPr="009A075A">
        <w:t xml:space="preserve">ortic </w:t>
      </w:r>
      <w:r>
        <w:t>a</w:t>
      </w:r>
      <w:r w:rsidRPr="009A075A">
        <w:t>neurysm</w:t>
      </w:r>
    </w:p>
    <w:p w:rsidR="00664018" w:rsidRDefault="00664018" w:rsidP="00711DC9">
      <w:pPr>
        <w:spacing w:before="60"/>
        <w:ind w:left="1701" w:hanging="1701"/>
      </w:pPr>
      <w:r>
        <w:t>ACC</w:t>
      </w:r>
      <w:r w:rsidR="00711DC9">
        <w:tab/>
      </w:r>
      <w:r>
        <w:t>A</w:t>
      </w:r>
      <w:r w:rsidRPr="009A075A">
        <w:t>ccident Compensation Corporation</w:t>
      </w:r>
    </w:p>
    <w:p w:rsidR="00664018" w:rsidRDefault="00664018" w:rsidP="00711DC9">
      <w:pPr>
        <w:spacing w:before="60"/>
        <w:ind w:left="1701" w:hanging="1701"/>
      </w:pPr>
      <w:r>
        <w:t>CT</w:t>
      </w:r>
      <w:r w:rsidR="00711DC9">
        <w:tab/>
      </w:r>
      <w:r>
        <w:t>Computed tomography</w:t>
      </w:r>
    </w:p>
    <w:p w:rsidR="00664018" w:rsidRPr="009A075A" w:rsidRDefault="00664018" w:rsidP="00711DC9">
      <w:pPr>
        <w:spacing w:before="60"/>
        <w:ind w:left="1701" w:hanging="1701"/>
      </w:pPr>
      <w:r w:rsidRPr="009A075A">
        <w:t>CTC</w:t>
      </w:r>
      <w:r w:rsidR="00711DC9">
        <w:tab/>
      </w:r>
      <w:r w:rsidRPr="009A075A">
        <w:t xml:space="preserve">CT </w:t>
      </w:r>
      <w:r>
        <w:t>c</w:t>
      </w:r>
      <w:r w:rsidRPr="009A075A">
        <w:t>olonography</w:t>
      </w:r>
    </w:p>
    <w:p w:rsidR="00664018" w:rsidRDefault="00664018" w:rsidP="00711DC9">
      <w:pPr>
        <w:spacing w:before="60"/>
        <w:ind w:left="1701" w:hanging="1701"/>
      </w:pPr>
      <w:r w:rsidRPr="009A075A">
        <w:t>CXR</w:t>
      </w:r>
      <w:r w:rsidR="00711DC9">
        <w:tab/>
      </w:r>
      <w:r w:rsidRPr="009A075A">
        <w:t xml:space="preserve">Chest </w:t>
      </w:r>
      <w:r>
        <w:t>X</w:t>
      </w:r>
      <w:r w:rsidRPr="009A075A">
        <w:t>-ray</w:t>
      </w:r>
    </w:p>
    <w:p w:rsidR="00664018" w:rsidRDefault="00664018" w:rsidP="00711DC9">
      <w:pPr>
        <w:spacing w:before="60"/>
        <w:ind w:left="1701" w:hanging="1701"/>
      </w:pPr>
      <w:r>
        <w:t>DEXA</w:t>
      </w:r>
      <w:r>
        <w:tab/>
        <w:t>Double energy X-ray absorption</w:t>
      </w:r>
    </w:p>
    <w:p w:rsidR="00377AE5" w:rsidRDefault="00664018" w:rsidP="00711DC9">
      <w:pPr>
        <w:spacing w:before="60"/>
        <w:ind w:left="1701" w:hanging="1701"/>
      </w:pPr>
      <w:r w:rsidRPr="009A075A">
        <w:t>DDH</w:t>
      </w:r>
      <w:r w:rsidR="00711DC9">
        <w:tab/>
      </w:r>
      <w:r w:rsidRPr="009A075A">
        <w:t>Development</w:t>
      </w:r>
      <w:r>
        <w:t>al</w:t>
      </w:r>
      <w:r w:rsidRPr="009A075A">
        <w:t xml:space="preserve"> dysplasia of the hip</w:t>
      </w:r>
    </w:p>
    <w:p w:rsidR="00664018" w:rsidRPr="009A075A" w:rsidRDefault="00664018" w:rsidP="00711DC9">
      <w:pPr>
        <w:spacing w:before="60"/>
        <w:ind w:left="1701" w:hanging="1701"/>
      </w:pPr>
      <w:r w:rsidRPr="009A075A">
        <w:t>DHB</w:t>
      </w:r>
      <w:r w:rsidR="00711DC9">
        <w:tab/>
      </w:r>
      <w:r w:rsidRPr="009A075A">
        <w:t xml:space="preserve">District </w:t>
      </w:r>
      <w:r>
        <w:t>h</w:t>
      </w:r>
      <w:r w:rsidRPr="009A075A">
        <w:t xml:space="preserve">ealth </w:t>
      </w:r>
      <w:r>
        <w:t>b</w:t>
      </w:r>
      <w:r w:rsidRPr="009A075A">
        <w:t>oard</w:t>
      </w:r>
    </w:p>
    <w:p w:rsidR="00664018" w:rsidRPr="009A075A" w:rsidRDefault="00664018" w:rsidP="00711DC9">
      <w:pPr>
        <w:spacing w:before="60"/>
        <w:ind w:left="1701" w:hanging="1701"/>
      </w:pPr>
      <w:r w:rsidRPr="009A075A">
        <w:t>DVT</w:t>
      </w:r>
      <w:r w:rsidR="00711DC9">
        <w:tab/>
      </w:r>
      <w:r w:rsidRPr="009A075A">
        <w:t>Deep venous thrombosis</w:t>
      </w:r>
    </w:p>
    <w:p w:rsidR="00664018" w:rsidRPr="009A075A" w:rsidRDefault="00664018" w:rsidP="00711DC9">
      <w:pPr>
        <w:spacing w:before="60"/>
        <w:ind w:left="1701" w:hanging="1701"/>
      </w:pPr>
      <w:r w:rsidRPr="009A075A">
        <w:t>GGT</w:t>
      </w:r>
      <w:r w:rsidR="00711DC9">
        <w:tab/>
      </w:r>
      <w:r w:rsidRPr="009A075A">
        <w:t xml:space="preserve">Gamma </w:t>
      </w:r>
      <w:r>
        <w:t>g</w:t>
      </w:r>
      <w:r w:rsidRPr="009A075A">
        <w:t xml:space="preserve">lutamyl </w:t>
      </w:r>
      <w:r>
        <w:t>t</w:t>
      </w:r>
      <w:r w:rsidRPr="009A075A">
        <w:t>ransferase</w:t>
      </w:r>
    </w:p>
    <w:p w:rsidR="00664018" w:rsidRDefault="00664018" w:rsidP="00711DC9">
      <w:pPr>
        <w:spacing w:before="60"/>
        <w:ind w:left="1701" w:hanging="1701"/>
      </w:pPr>
      <w:r>
        <w:t>e</w:t>
      </w:r>
      <w:r w:rsidRPr="009A075A">
        <w:t>GFR</w:t>
      </w:r>
      <w:r w:rsidR="00711DC9">
        <w:tab/>
      </w:r>
      <w:r>
        <w:t xml:space="preserve">Estimated </w:t>
      </w:r>
      <w:r w:rsidRPr="009A075A">
        <w:t xml:space="preserve">Glomerular </w:t>
      </w:r>
      <w:r>
        <w:t>f</w:t>
      </w:r>
      <w:r w:rsidRPr="009A075A">
        <w:t xml:space="preserve">iltration </w:t>
      </w:r>
      <w:r>
        <w:t>r</w:t>
      </w:r>
      <w:r w:rsidRPr="009A075A">
        <w:t>ate</w:t>
      </w:r>
    </w:p>
    <w:p w:rsidR="00664018" w:rsidRDefault="00664018" w:rsidP="00711DC9">
      <w:pPr>
        <w:spacing w:before="60"/>
        <w:ind w:left="1701" w:hanging="1701"/>
      </w:pPr>
      <w:r>
        <w:t>IUCD</w:t>
      </w:r>
      <w:r w:rsidR="00711DC9">
        <w:tab/>
      </w:r>
      <w:r>
        <w:t>Intrauterine contraceptive device</w:t>
      </w:r>
    </w:p>
    <w:p w:rsidR="00377AE5" w:rsidRDefault="00664018" w:rsidP="00711DC9">
      <w:pPr>
        <w:spacing w:before="60"/>
        <w:ind w:left="1701" w:hanging="1701"/>
      </w:pPr>
      <w:r w:rsidRPr="009A075A">
        <w:t>KUB</w:t>
      </w:r>
      <w:r w:rsidR="00711DC9">
        <w:tab/>
      </w:r>
      <w:r w:rsidRPr="009A075A">
        <w:t xml:space="preserve">Kidney, </w:t>
      </w:r>
      <w:r>
        <w:t>u</w:t>
      </w:r>
      <w:r w:rsidRPr="009A075A">
        <w:t xml:space="preserve">reter, </w:t>
      </w:r>
      <w:r>
        <w:t>b</w:t>
      </w:r>
      <w:r w:rsidRPr="009A075A">
        <w:t>ladder</w:t>
      </w:r>
    </w:p>
    <w:p w:rsidR="00664018" w:rsidRDefault="00664018" w:rsidP="00711DC9">
      <w:pPr>
        <w:spacing w:before="60"/>
        <w:ind w:left="1701" w:hanging="1701"/>
      </w:pPr>
      <w:r>
        <w:t>LFT</w:t>
      </w:r>
      <w:r w:rsidR="00711DC9">
        <w:tab/>
      </w:r>
      <w:r>
        <w:t>Liver function tests</w:t>
      </w:r>
    </w:p>
    <w:p w:rsidR="00377AE5" w:rsidRDefault="00664018" w:rsidP="00711DC9">
      <w:pPr>
        <w:spacing w:before="60"/>
        <w:ind w:left="1701" w:hanging="1701"/>
      </w:pPr>
      <w:r>
        <w:t>MRI</w:t>
      </w:r>
      <w:r w:rsidR="00711DC9">
        <w:tab/>
      </w:r>
      <w:r>
        <w:t>Magnetic resonance imaging</w:t>
      </w:r>
    </w:p>
    <w:p w:rsidR="00664018" w:rsidRPr="009A075A" w:rsidRDefault="00664018" w:rsidP="00711DC9">
      <w:pPr>
        <w:spacing w:before="60"/>
        <w:ind w:left="1701" w:hanging="1701"/>
      </w:pPr>
      <w:r>
        <w:t>TOP</w:t>
      </w:r>
      <w:r w:rsidR="00711DC9">
        <w:tab/>
      </w:r>
      <w:r>
        <w:t>Termination of pregnancy</w:t>
      </w:r>
    </w:p>
    <w:p w:rsidR="00664018" w:rsidRPr="009A075A" w:rsidRDefault="00664018" w:rsidP="00711DC9">
      <w:pPr>
        <w:spacing w:before="60"/>
        <w:ind w:left="1701" w:hanging="1701"/>
      </w:pPr>
      <w:r w:rsidRPr="009A075A">
        <w:t>UTI</w:t>
      </w:r>
      <w:r w:rsidR="00711DC9">
        <w:tab/>
      </w:r>
      <w:r w:rsidRPr="009A075A">
        <w:t xml:space="preserve">Urinary </w:t>
      </w:r>
      <w:r>
        <w:t>t</w:t>
      </w:r>
      <w:r w:rsidRPr="009A075A">
        <w:t xml:space="preserve">ract </w:t>
      </w:r>
      <w:r>
        <w:t>i</w:t>
      </w:r>
      <w:r w:rsidRPr="009A075A">
        <w:t>nfection</w:t>
      </w:r>
    </w:p>
    <w:p w:rsidR="00664018" w:rsidRPr="009A075A" w:rsidRDefault="00664018" w:rsidP="00711DC9"/>
    <w:p w:rsidR="00711DC9" w:rsidRDefault="00711DC9" w:rsidP="00711DC9">
      <w:pPr>
        <w:rPr>
          <w:rFonts w:eastAsiaTheme="minorHAnsi"/>
          <w:noProof/>
          <w:lang w:eastAsia="en-NZ"/>
        </w:rPr>
      </w:pPr>
      <w:r>
        <w:rPr>
          <w:rFonts w:eastAsiaTheme="minorHAnsi"/>
          <w:noProof/>
          <w:lang w:eastAsia="en-NZ"/>
        </w:rPr>
        <w:br w:type="page"/>
      </w:r>
    </w:p>
    <w:p w:rsidR="00664018" w:rsidRPr="00F14029" w:rsidRDefault="00664018" w:rsidP="00711DC9">
      <w:pPr>
        <w:pStyle w:val="Heading1"/>
        <w:rPr>
          <w:rFonts w:eastAsiaTheme="minorHAnsi"/>
          <w:noProof/>
          <w:lang w:eastAsia="en-NZ"/>
        </w:rPr>
      </w:pPr>
      <w:bookmarkStart w:id="18" w:name="_Toc408998589"/>
      <w:r>
        <w:rPr>
          <w:rFonts w:eastAsiaTheme="minorHAnsi"/>
          <w:noProof/>
          <w:lang w:eastAsia="en-NZ"/>
        </w:rPr>
        <w:t>Endnotes</w:t>
      </w:r>
      <w:bookmarkEnd w:id="18"/>
    </w:p>
    <w:p w:rsidR="00664018" w:rsidRPr="009A075A" w:rsidRDefault="00711DC9" w:rsidP="00711DC9">
      <w:pPr>
        <w:pStyle w:val="References"/>
        <w:ind w:left="567" w:hanging="567"/>
        <w:rPr>
          <w:rFonts w:eastAsiaTheme="minorHAnsi"/>
          <w:bCs/>
        </w:rPr>
      </w:pPr>
      <w:r>
        <w:rPr>
          <w:rFonts w:eastAsiaTheme="minorHAnsi"/>
          <w:noProof/>
          <w:lang w:eastAsia="en-NZ"/>
        </w:rPr>
        <w:t>1.</w:t>
      </w:r>
      <w:r>
        <w:rPr>
          <w:rFonts w:eastAsiaTheme="minorHAnsi"/>
          <w:noProof/>
          <w:lang w:eastAsia="en-NZ"/>
        </w:rPr>
        <w:tab/>
      </w:r>
      <w:r w:rsidR="00664018" w:rsidRPr="009A075A">
        <w:rPr>
          <w:rFonts w:eastAsiaTheme="minorHAnsi"/>
          <w:noProof/>
          <w:lang w:eastAsia="en-NZ"/>
        </w:rPr>
        <w:t xml:space="preserve">Tang KL, Minhas-Sandhu JK, et al. </w:t>
      </w:r>
      <w:r w:rsidR="00664018">
        <w:rPr>
          <w:rFonts w:eastAsiaTheme="minorHAnsi"/>
          <w:noProof/>
          <w:lang w:eastAsia="en-NZ"/>
        </w:rPr>
        <w:t xml:space="preserve">2011. </w:t>
      </w:r>
      <w:r w:rsidR="00664018" w:rsidRPr="009A075A">
        <w:rPr>
          <w:rFonts w:eastAsiaTheme="minorHAnsi"/>
          <w:noProof/>
          <w:lang w:eastAsia="en-NZ"/>
        </w:rPr>
        <w:t xml:space="preserve">Incidence, correlates, and chest radiographic yeild of new lung cancer diagnosis in 3398 patients with pneumonia. </w:t>
      </w:r>
      <w:r w:rsidR="00664018" w:rsidRPr="00A118D0">
        <w:rPr>
          <w:rFonts w:eastAsiaTheme="minorHAnsi"/>
          <w:i/>
          <w:noProof/>
          <w:lang w:eastAsia="en-NZ"/>
        </w:rPr>
        <w:t>Archives of Internal Medicine</w:t>
      </w:r>
      <w:r w:rsidR="00664018" w:rsidRPr="009A075A">
        <w:rPr>
          <w:rFonts w:eastAsiaTheme="minorHAnsi"/>
          <w:noProof/>
          <w:lang w:eastAsia="en-NZ"/>
        </w:rPr>
        <w:t xml:space="preserve"> 171:</w:t>
      </w:r>
      <w:r w:rsidR="00664018">
        <w:rPr>
          <w:rFonts w:eastAsiaTheme="minorHAnsi"/>
          <w:noProof/>
          <w:lang w:eastAsia="en-NZ"/>
        </w:rPr>
        <w:t xml:space="preserve"> </w:t>
      </w:r>
      <w:r w:rsidR="00664018" w:rsidRPr="009A075A">
        <w:rPr>
          <w:rFonts w:eastAsiaTheme="minorHAnsi"/>
          <w:noProof/>
          <w:lang w:eastAsia="en-NZ"/>
        </w:rPr>
        <w:t>1193</w:t>
      </w:r>
      <w:r w:rsidR="00664018">
        <w:rPr>
          <w:rFonts w:eastAsiaTheme="minorHAnsi"/>
          <w:noProof/>
          <w:lang w:eastAsia="en-NZ"/>
        </w:rPr>
        <w:t>.</w:t>
      </w:r>
    </w:p>
    <w:p w:rsidR="00664018" w:rsidRPr="009A075A" w:rsidRDefault="00711DC9" w:rsidP="00711DC9">
      <w:pPr>
        <w:pStyle w:val="References"/>
        <w:ind w:left="567" w:hanging="567"/>
        <w:rPr>
          <w:rFonts w:eastAsiaTheme="minorHAnsi"/>
          <w:noProof/>
          <w:lang w:eastAsia="en-NZ"/>
        </w:rPr>
      </w:pPr>
      <w:r>
        <w:rPr>
          <w:rFonts w:eastAsiaTheme="minorHAnsi"/>
          <w:noProof/>
          <w:lang w:eastAsia="en-NZ"/>
        </w:rPr>
        <w:t>2.</w:t>
      </w:r>
      <w:r>
        <w:rPr>
          <w:rFonts w:eastAsiaTheme="minorHAnsi"/>
          <w:noProof/>
          <w:lang w:eastAsia="en-NZ"/>
        </w:rPr>
        <w:tab/>
      </w:r>
      <w:r w:rsidR="00664018" w:rsidRPr="009A075A">
        <w:rPr>
          <w:rFonts w:eastAsiaTheme="minorHAnsi"/>
          <w:noProof/>
          <w:lang w:eastAsia="en-NZ"/>
        </w:rPr>
        <w:t>Downie A, Williams CM</w:t>
      </w:r>
      <w:r w:rsidR="00664018">
        <w:rPr>
          <w:rFonts w:eastAsiaTheme="minorHAnsi"/>
          <w:noProof/>
          <w:lang w:eastAsia="en-NZ"/>
        </w:rPr>
        <w:t>,</w:t>
      </w:r>
      <w:r w:rsidR="00664018" w:rsidRPr="009A075A">
        <w:rPr>
          <w:rFonts w:eastAsiaTheme="minorHAnsi"/>
          <w:noProof/>
          <w:lang w:eastAsia="en-NZ"/>
        </w:rPr>
        <w:t xml:space="preserve"> </w:t>
      </w:r>
      <w:r w:rsidR="00664018" w:rsidRPr="00B220FA">
        <w:rPr>
          <w:rFonts w:eastAsiaTheme="minorHAnsi"/>
          <w:noProof/>
          <w:lang w:eastAsia="en-NZ"/>
        </w:rPr>
        <w:t xml:space="preserve">Henschke </w:t>
      </w:r>
      <w:r w:rsidR="00664018">
        <w:rPr>
          <w:rFonts w:eastAsiaTheme="minorHAnsi"/>
          <w:noProof/>
          <w:lang w:eastAsia="en-NZ"/>
        </w:rPr>
        <w:t xml:space="preserve">N, </w:t>
      </w:r>
      <w:r w:rsidR="00664018" w:rsidRPr="009A075A">
        <w:rPr>
          <w:rFonts w:eastAsiaTheme="minorHAnsi"/>
          <w:noProof/>
          <w:lang w:eastAsia="en-NZ"/>
        </w:rPr>
        <w:t xml:space="preserve">et al. </w:t>
      </w:r>
      <w:r w:rsidR="00664018">
        <w:rPr>
          <w:rFonts w:eastAsiaTheme="minorHAnsi"/>
          <w:noProof/>
          <w:lang w:eastAsia="en-NZ"/>
        </w:rPr>
        <w:t xml:space="preserve">2013. </w:t>
      </w:r>
      <w:r w:rsidR="00664018" w:rsidRPr="009A075A">
        <w:rPr>
          <w:rFonts w:eastAsiaTheme="minorHAnsi"/>
          <w:noProof/>
          <w:lang w:eastAsia="en-NZ"/>
        </w:rPr>
        <w:t xml:space="preserve">Red flags to screen for malignancy and fracture in patients with low back pain: systematic review. </w:t>
      </w:r>
      <w:r w:rsidR="00664018" w:rsidRPr="00A118D0">
        <w:rPr>
          <w:rFonts w:eastAsiaTheme="minorHAnsi"/>
          <w:i/>
          <w:noProof/>
          <w:lang w:eastAsia="en-NZ"/>
        </w:rPr>
        <w:t>British Medical Journal</w:t>
      </w:r>
      <w:r w:rsidR="00664018" w:rsidRPr="009A075A">
        <w:rPr>
          <w:rFonts w:eastAsiaTheme="minorHAnsi"/>
          <w:noProof/>
          <w:lang w:eastAsia="en-NZ"/>
        </w:rPr>
        <w:t>: 347</w:t>
      </w:r>
      <w:r w:rsidR="00664018">
        <w:rPr>
          <w:rFonts w:eastAsiaTheme="minorHAnsi"/>
          <w:noProof/>
          <w:lang w:eastAsia="en-NZ"/>
        </w:rPr>
        <w:t xml:space="preserve">: </w:t>
      </w:r>
      <w:r w:rsidR="00664018" w:rsidRPr="00B220FA">
        <w:rPr>
          <w:rFonts w:eastAsiaTheme="minorHAnsi"/>
          <w:noProof/>
          <w:lang w:eastAsia="en-NZ"/>
        </w:rPr>
        <w:t>f7095</w:t>
      </w:r>
      <w:r w:rsidR="00664018">
        <w:rPr>
          <w:rFonts w:eastAsiaTheme="minorHAnsi"/>
          <w:noProof/>
          <w:lang w:eastAsia="en-NZ"/>
        </w:rPr>
        <w:t>.</w:t>
      </w:r>
    </w:p>
    <w:p w:rsidR="00664018" w:rsidRPr="009A075A" w:rsidRDefault="00711DC9" w:rsidP="00711DC9">
      <w:pPr>
        <w:pStyle w:val="References"/>
        <w:ind w:left="567" w:hanging="567"/>
        <w:rPr>
          <w:rFonts w:eastAsiaTheme="minorHAnsi"/>
          <w:noProof/>
          <w:lang w:eastAsia="en-NZ"/>
        </w:rPr>
      </w:pPr>
      <w:r>
        <w:rPr>
          <w:rFonts w:eastAsiaTheme="minorHAnsi"/>
          <w:noProof/>
          <w:lang w:eastAsia="en-NZ"/>
        </w:rPr>
        <w:t>3.</w:t>
      </w:r>
      <w:r>
        <w:rPr>
          <w:rFonts w:eastAsiaTheme="minorHAnsi"/>
          <w:noProof/>
          <w:lang w:eastAsia="en-NZ"/>
        </w:rPr>
        <w:tab/>
      </w:r>
      <w:r w:rsidR="00664018" w:rsidRPr="00A118D0">
        <w:rPr>
          <w:rFonts w:eastAsiaTheme="minorHAnsi"/>
          <w:noProof/>
          <w:lang w:eastAsia="en-NZ"/>
        </w:rPr>
        <w:t>Auckland DHB Gastroenterology and Hepatology. URL:</w:t>
      </w:r>
      <w:r w:rsidR="00664018">
        <w:t xml:space="preserve"> </w:t>
      </w:r>
      <w:hyperlink r:id="rId16" w:history="1">
        <w:r w:rsidR="00664018" w:rsidRPr="009A075A">
          <w:rPr>
            <w:rFonts w:eastAsiaTheme="minorHAnsi"/>
            <w:noProof/>
            <w:lang w:eastAsia="en-NZ"/>
          </w:rPr>
          <w:t>www.healthpoint.co.nz/specialists/gastroenterology-hepatology-liver/auckland-dhb-gastroenterology-and-hepatology/?medpro=show</w:t>
        </w:r>
      </w:hyperlink>
      <w:r w:rsidR="00664018">
        <w:rPr>
          <w:rFonts w:eastAsiaTheme="minorHAnsi"/>
          <w:noProof/>
          <w:lang w:eastAsia="en-NZ"/>
        </w:rPr>
        <w:t xml:space="preserve"> (accessed 1 December 2014).</w:t>
      </w:r>
    </w:p>
    <w:p w:rsidR="00664018" w:rsidRPr="00C25385" w:rsidRDefault="00711DC9" w:rsidP="00711DC9">
      <w:pPr>
        <w:pStyle w:val="References"/>
        <w:ind w:left="567" w:hanging="567"/>
        <w:rPr>
          <w:rFonts w:eastAsiaTheme="minorHAnsi"/>
          <w:noProof/>
          <w:lang w:eastAsia="en-NZ"/>
        </w:rPr>
      </w:pPr>
      <w:r>
        <w:t>4.</w:t>
      </w:r>
      <w:r>
        <w:tab/>
      </w:r>
      <w:hyperlink r:id="rId17" w:history="1">
        <w:r w:rsidR="00664018" w:rsidRPr="00C25385">
          <w:rPr>
            <w:rFonts w:eastAsiaTheme="minorHAnsi"/>
            <w:noProof/>
            <w:lang w:eastAsia="en-NZ"/>
          </w:rPr>
          <w:t>http://journals.lww.com/anesthesia-analgesia/Fulltext/2009/05000/Greater_Trochanteric_Pain_Syndrome__A_Review_of.49.aspx</w:t>
        </w:r>
      </w:hyperlink>
    </w:p>
    <w:p w:rsidR="00664018" w:rsidRPr="009A075A" w:rsidRDefault="00711DC9" w:rsidP="00711DC9">
      <w:pPr>
        <w:pStyle w:val="References"/>
        <w:ind w:left="567" w:hanging="567"/>
        <w:rPr>
          <w:rFonts w:eastAsiaTheme="minorHAnsi"/>
          <w:noProof/>
          <w:lang w:eastAsia="en-NZ"/>
        </w:rPr>
      </w:pPr>
      <w:r>
        <w:rPr>
          <w:rFonts w:eastAsiaTheme="minorHAnsi"/>
          <w:noProof/>
          <w:lang w:eastAsia="en-NZ"/>
        </w:rPr>
        <w:t>5.</w:t>
      </w:r>
      <w:r>
        <w:rPr>
          <w:rFonts w:eastAsiaTheme="minorHAnsi"/>
          <w:noProof/>
          <w:lang w:eastAsia="en-NZ"/>
        </w:rPr>
        <w:tab/>
      </w:r>
      <w:r w:rsidR="00664018" w:rsidRPr="009A075A">
        <w:rPr>
          <w:rFonts w:eastAsiaTheme="minorHAnsi"/>
          <w:noProof/>
          <w:lang w:eastAsia="en-NZ"/>
        </w:rPr>
        <w:t>Northern Region Head and Neck Multidisciplinary Group</w:t>
      </w:r>
      <w:r w:rsidR="00664018">
        <w:rPr>
          <w:rFonts w:eastAsiaTheme="minorHAnsi"/>
          <w:noProof/>
          <w:lang w:eastAsia="en-NZ"/>
        </w:rPr>
        <w:t>.</w:t>
      </w:r>
      <w:r w:rsidR="00664018" w:rsidRPr="009A075A">
        <w:rPr>
          <w:rFonts w:eastAsiaTheme="minorHAnsi"/>
          <w:noProof/>
          <w:lang w:eastAsia="en-NZ"/>
        </w:rPr>
        <w:t xml:space="preserve"> 2013</w:t>
      </w:r>
      <w:r w:rsidR="00664018">
        <w:rPr>
          <w:rFonts w:eastAsiaTheme="minorHAnsi"/>
          <w:noProof/>
          <w:lang w:eastAsia="en-NZ"/>
        </w:rPr>
        <w:t>.</w:t>
      </w:r>
    </w:p>
    <w:p w:rsidR="00664018" w:rsidRPr="009A075A" w:rsidRDefault="00711DC9" w:rsidP="00711DC9">
      <w:pPr>
        <w:pStyle w:val="References"/>
        <w:ind w:left="567" w:hanging="567"/>
        <w:rPr>
          <w:rFonts w:eastAsiaTheme="minorHAnsi"/>
        </w:rPr>
      </w:pPr>
      <w:r>
        <w:rPr>
          <w:rFonts w:eastAsiaTheme="minorHAnsi"/>
          <w:lang w:eastAsia="ja-JP"/>
        </w:rPr>
        <w:t>6.</w:t>
      </w:r>
      <w:r>
        <w:rPr>
          <w:rFonts w:eastAsiaTheme="minorHAnsi"/>
          <w:lang w:eastAsia="ja-JP"/>
        </w:rPr>
        <w:tab/>
      </w:r>
      <w:r w:rsidR="00664018" w:rsidRPr="00377AE5">
        <w:rPr>
          <w:rFonts w:eastAsiaTheme="minorHAnsi"/>
          <w:lang w:eastAsia="ja-JP"/>
        </w:rPr>
        <w:t>National Collaborating Centre for Women</w:t>
      </w:r>
      <w:r w:rsidR="00377AE5" w:rsidRPr="00377AE5">
        <w:rPr>
          <w:rFonts w:eastAsiaTheme="minorHAnsi"/>
          <w:lang w:eastAsia="ja-JP"/>
        </w:rPr>
        <w:t>’</w:t>
      </w:r>
      <w:r w:rsidR="00664018" w:rsidRPr="00377AE5">
        <w:rPr>
          <w:rFonts w:eastAsiaTheme="minorHAnsi"/>
          <w:lang w:eastAsia="ja-JP"/>
        </w:rPr>
        <w:t>s and Children</w:t>
      </w:r>
      <w:r w:rsidR="00377AE5" w:rsidRPr="00377AE5">
        <w:rPr>
          <w:rFonts w:eastAsiaTheme="minorHAnsi"/>
          <w:lang w:eastAsia="ja-JP"/>
        </w:rPr>
        <w:t>’</w:t>
      </w:r>
      <w:r w:rsidR="00664018" w:rsidRPr="00377AE5">
        <w:rPr>
          <w:rFonts w:eastAsiaTheme="minorHAnsi"/>
          <w:lang w:eastAsia="ja-JP"/>
        </w:rPr>
        <w:t xml:space="preserve">s Health. 2007. </w:t>
      </w:r>
      <w:hyperlink r:id="rId18" w:tgtFrame="_blank" w:history="1">
        <w:r w:rsidR="00664018" w:rsidRPr="00377AE5">
          <w:rPr>
            <w:rFonts w:eastAsiaTheme="minorHAnsi"/>
            <w:i/>
            <w:lang w:eastAsia="ja-JP"/>
          </w:rPr>
          <w:t xml:space="preserve">Heavy </w:t>
        </w:r>
        <w:r w:rsidR="00B17472">
          <w:rPr>
            <w:rFonts w:eastAsiaTheme="minorHAnsi"/>
            <w:i/>
            <w:lang w:eastAsia="ja-JP"/>
          </w:rPr>
          <w:t>M</w:t>
        </w:r>
        <w:r w:rsidR="00664018" w:rsidRPr="00377AE5">
          <w:rPr>
            <w:rFonts w:eastAsiaTheme="minorHAnsi"/>
            <w:i/>
            <w:lang w:eastAsia="ja-JP"/>
          </w:rPr>
          <w:t xml:space="preserve">enstrual </w:t>
        </w:r>
        <w:r w:rsidR="00B17472">
          <w:rPr>
            <w:rFonts w:eastAsiaTheme="minorHAnsi"/>
            <w:i/>
            <w:lang w:eastAsia="ja-JP"/>
          </w:rPr>
          <w:t>B</w:t>
        </w:r>
        <w:r w:rsidR="00664018" w:rsidRPr="00377AE5">
          <w:rPr>
            <w:rFonts w:eastAsiaTheme="minorHAnsi"/>
            <w:i/>
            <w:lang w:eastAsia="ja-JP"/>
          </w:rPr>
          <w:t>leeding</w:t>
        </w:r>
      </w:hyperlink>
      <w:r w:rsidR="00664018" w:rsidRPr="00377AE5">
        <w:rPr>
          <w:rFonts w:eastAsiaTheme="minorHAnsi"/>
          <w:lang w:eastAsia="ja-JP"/>
        </w:rPr>
        <w:t xml:space="preserve">. London: </w:t>
      </w:r>
      <w:r w:rsidR="00664018" w:rsidRPr="00DD2EAB">
        <w:t>Royal College of Obstetricians and Gynaecologists</w:t>
      </w:r>
      <w:r w:rsidR="00377AE5">
        <w:t>’</w:t>
      </w:r>
      <w:r w:rsidR="00B17472">
        <w:t xml:space="preserve"> </w:t>
      </w:r>
      <w:r w:rsidR="00664018" w:rsidRPr="00377AE5">
        <w:rPr>
          <w:rFonts w:eastAsiaTheme="minorHAnsi"/>
          <w:lang w:eastAsia="ja-JP"/>
        </w:rPr>
        <w:t>Press.</w:t>
      </w:r>
    </w:p>
    <w:p w:rsidR="00664018" w:rsidRPr="009A075A" w:rsidRDefault="00711DC9" w:rsidP="00711DC9">
      <w:pPr>
        <w:pStyle w:val="References"/>
        <w:ind w:left="567" w:hanging="567"/>
        <w:rPr>
          <w:rFonts w:eastAsiaTheme="minorHAnsi"/>
        </w:rPr>
      </w:pPr>
      <w:r>
        <w:rPr>
          <w:rFonts w:eastAsiaTheme="minorHAnsi"/>
        </w:rPr>
        <w:t>7.</w:t>
      </w:r>
      <w:r>
        <w:rPr>
          <w:rFonts w:eastAsiaTheme="minorHAnsi"/>
        </w:rPr>
        <w:tab/>
      </w:r>
      <w:r w:rsidR="00664018" w:rsidRPr="009A075A">
        <w:rPr>
          <w:rFonts w:eastAsiaTheme="minorHAnsi"/>
        </w:rPr>
        <w:t>Working Party of the New Zealand Guidelines Group</w:t>
      </w:r>
      <w:r w:rsidR="00664018">
        <w:rPr>
          <w:rFonts w:eastAsiaTheme="minorHAnsi"/>
        </w:rPr>
        <w:t>. 2000.</w:t>
      </w:r>
      <w:r w:rsidR="00664018" w:rsidRPr="00DD2EAB">
        <w:rPr>
          <w:rFonts w:eastAsiaTheme="minorHAnsi"/>
        </w:rPr>
        <w:t xml:space="preserve"> </w:t>
      </w:r>
      <w:r w:rsidR="00664018" w:rsidRPr="00A118D0">
        <w:rPr>
          <w:rFonts w:eastAsiaTheme="minorHAnsi"/>
          <w:i/>
        </w:rPr>
        <w:t>An Evidence-based Guideline for the Management of Uterine Fibroids</w:t>
      </w:r>
      <w:r w:rsidR="00664018" w:rsidRPr="009A075A">
        <w:rPr>
          <w:rFonts w:eastAsiaTheme="minorHAnsi"/>
        </w:rPr>
        <w:t xml:space="preserve">. </w:t>
      </w:r>
      <w:r w:rsidR="00664018">
        <w:rPr>
          <w:rFonts w:eastAsiaTheme="minorHAnsi"/>
        </w:rPr>
        <w:t xml:space="preserve">Wellington: </w:t>
      </w:r>
      <w:r w:rsidR="00664018" w:rsidRPr="009A075A">
        <w:rPr>
          <w:rFonts w:eastAsiaTheme="minorHAnsi"/>
        </w:rPr>
        <w:t>Working Party of the New Zealand Guidelines Group</w:t>
      </w:r>
      <w:r w:rsidR="00664018">
        <w:rPr>
          <w:rFonts w:eastAsiaTheme="minorHAnsi"/>
        </w:rPr>
        <w:t>. URL:</w:t>
      </w:r>
      <w:r w:rsidR="00664018" w:rsidRPr="009A075A">
        <w:rPr>
          <w:rFonts w:eastAsiaTheme="minorHAnsi"/>
        </w:rPr>
        <w:t xml:space="preserve"> </w:t>
      </w:r>
      <w:hyperlink r:id="rId19" w:history="1">
        <w:r w:rsidR="00664018" w:rsidRPr="009A075A">
          <w:rPr>
            <w:rFonts w:eastAsiaTheme="minorHAnsi"/>
            <w:noProof/>
            <w:lang w:eastAsia="en-NZ"/>
          </w:rPr>
          <w:t>www.health.govt.nz/system/files/documents/publications/050623_uterine_fibroids_summary_refreshed.pdf</w:t>
        </w:r>
      </w:hyperlink>
      <w:r w:rsidR="00664018">
        <w:rPr>
          <w:rFonts w:eastAsiaTheme="minorHAnsi"/>
        </w:rPr>
        <w:t xml:space="preserve"> </w:t>
      </w:r>
      <w:r w:rsidR="00664018">
        <w:rPr>
          <w:rFonts w:eastAsiaTheme="minorHAnsi"/>
          <w:noProof/>
          <w:lang w:eastAsia="en-NZ"/>
        </w:rPr>
        <w:t>(accessed 1 December 2014).</w:t>
      </w:r>
    </w:p>
    <w:p w:rsidR="00664018" w:rsidRPr="00377AE5" w:rsidRDefault="00711DC9" w:rsidP="00711DC9">
      <w:pPr>
        <w:pStyle w:val="References"/>
        <w:ind w:left="567" w:hanging="567"/>
        <w:rPr>
          <w:rFonts w:eastAsiaTheme="minorHAnsi"/>
          <w:lang w:eastAsia="ja-JP"/>
        </w:rPr>
      </w:pPr>
      <w:r>
        <w:rPr>
          <w:rFonts w:eastAsiaTheme="minorHAnsi"/>
          <w:bCs/>
          <w:lang w:eastAsia="ja-JP"/>
        </w:rPr>
        <w:t>8.</w:t>
      </w:r>
      <w:r>
        <w:rPr>
          <w:rFonts w:eastAsiaTheme="minorHAnsi"/>
          <w:bCs/>
          <w:lang w:eastAsia="ja-JP"/>
        </w:rPr>
        <w:tab/>
      </w:r>
      <w:r w:rsidR="00664018" w:rsidRPr="00377AE5">
        <w:rPr>
          <w:rFonts w:eastAsiaTheme="minorHAnsi"/>
          <w:bCs/>
          <w:lang w:eastAsia="ja-JP"/>
        </w:rPr>
        <w:t xml:space="preserve">Levine D, Brown DL, Andreotti RF, et al. 2010. Management of Asymptomatic Ovarian and Other Adnexal Cysts Imaged at US: Society of Radiologists in Ultrasound Consensus Conference Statement. </w:t>
      </w:r>
      <w:r w:rsidR="00664018" w:rsidRPr="00377AE5">
        <w:rPr>
          <w:rFonts w:eastAsiaTheme="minorHAnsi"/>
          <w:i/>
          <w:lang w:eastAsia="ja-JP"/>
        </w:rPr>
        <w:t>Radiology</w:t>
      </w:r>
      <w:r w:rsidR="00664018" w:rsidRPr="00377AE5">
        <w:rPr>
          <w:rFonts w:eastAsiaTheme="minorHAnsi"/>
          <w:lang w:eastAsia="ja-JP"/>
        </w:rPr>
        <w:t xml:space="preserve"> 256: 943–54.</w:t>
      </w:r>
    </w:p>
    <w:p w:rsidR="00664018" w:rsidRPr="00377AE5" w:rsidRDefault="00711DC9" w:rsidP="00711DC9">
      <w:pPr>
        <w:pStyle w:val="References"/>
        <w:ind w:left="567" w:hanging="567"/>
        <w:rPr>
          <w:rFonts w:eastAsiaTheme="minorHAnsi"/>
          <w:lang w:eastAsia="ja-JP"/>
        </w:rPr>
      </w:pPr>
      <w:r>
        <w:rPr>
          <w:rFonts w:eastAsiaTheme="minorHAnsi"/>
          <w:lang w:eastAsia="ja-JP"/>
        </w:rPr>
        <w:t>9.</w:t>
      </w:r>
      <w:r>
        <w:rPr>
          <w:rFonts w:eastAsiaTheme="minorHAnsi"/>
          <w:lang w:eastAsia="ja-JP"/>
        </w:rPr>
        <w:tab/>
      </w:r>
      <w:r w:rsidR="00664018" w:rsidRPr="00377AE5">
        <w:rPr>
          <w:rFonts w:eastAsiaTheme="minorHAnsi"/>
          <w:lang w:eastAsia="ja-JP"/>
        </w:rPr>
        <w:t xml:space="preserve">Farquhar C, Johnson N. 2008. Understanding </w:t>
      </w:r>
      <w:r w:rsidR="00B17472">
        <w:rPr>
          <w:rFonts w:eastAsiaTheme="minorHAnsi"/>
          <w:lang w:eastAsia="ja-JP"/>
        </w:rPr>
        <w:t>p</w:t>
      </w:r>
      <w:r w:rsidR="00664018" w:rsidRPr="00377AE5">
        <w:rPr>
          <w:rFonts w:eastAsiaTheme="minorHAnsi"/>
          <w:lang w:eastAsia="ja-JP"/>
        </w:rPr>
        <w:t xml:space="preserve">olycystic </w:t>
      </w:r>
      <w:r w:rsidR="00B17472">
        <w:rPr>
          <w:rFonts w:eastAsiaTheme="minorHAnsi"/>
          <w:lang w:eastAsia="ja-JP"/>
        </w:rPr>
        <w:t>o</w:t>
      </w:r>
      <w:r w:rsidR="00664018" w:rsidRPr="00377AE5">
        <w:rPr>
          <w:rFonts w:eastAsiaTheme="minorHAnsi"/>
          <w:lang w:eastAsia="ja-JP"/>
        </w:rPr>
        <w:t xml:space="preserve">vary syndrome. </w:t>
      </w:r>
      <w:r w:rsidR="00664018" w:rsidRPr="00377AE5">
        <w:rPr>
          <w:rFonts w:eastAsiaTheme="minorHAnsi"/>
          <w:i/>
          <w:lang w:eastAsia="ja-JP"/>
        </w:rPr>
        <w:t>Best Practice Journal</w:t>
      </w:r>
      <w:r w:rsidR="00664018" w:rsidRPr="00377AE5">
        <w:rPr>
          <w:rFonts w:eastAsiaTheme="minorHAnsi"/>
          <w:lang w:eastAsia="ja-JP"/>
        </w:rPr>
        <w:t xml:space="preserve"> 12: 7–13.</w:t>
      </w:r>
    </w:p>
    <w:p w:rsidR="00664018" w:rsidRPr="00377AE5" w:rsidRDefault="00711DC9" w:rsidP="00711DC9">
      <w:pPr>
        <w:pStyle w:val="References"/>
        <w:ind w:left="567" w:hanging="567"/>
        <w:rPr>
          <w:rFonts w:eastAsiaTheme="minorHAnsi"/>
          <w:lang w:eastAsia="ja-JP"/>
        </w:rPr>
      </w:pPr>
      <w:r>
        <w:rPr>
          <w:rFonts w:eastAsiaTheme="minorHAnsi"/>
          <w:bCs/>
          <w:lang w:eastAsia="ja-JP"/>
        </w:rPr>
        <w:t>10.</w:t>
      </w:r>
      <w:r>
        <w:rPr>
          <w:rFonts w:eastAsiaTheme="minorHAnsi"/>
          <w:bCs/>
          <w:lang w:eastAsia="ja-JP"/>
        </w:rPr>
        <w:tab/>
      </w:r>
      <w:r w:rsidR="00664018" w:rsidRPr="00377AE5">
        <w:rPr>
          <w:rFonts w:eastAsiaTheme="minorHAnsi"/>
          <w:bCs/>
          <w:lang w:eastAsia="ja-JP"/>
        </w:rPr>
        <w:t>Auckland DHB Renal Medicine. URL:</w:t>
      </w:r>
      <w:r w:rsidR="00664018">
        <w:t xml:space="preserve"> </w:t>
      </w:r>
      <w:hyperlink r:id="rId20" w:history="1">
        <w:r w:rsidR="00920751" w:rsidRPr="00047F18">
          <w:rPr>
            <w:rStyle w:val="Hyperlink"/>
            <w:rFonts w:eastAsiaTheme="minorHAnsi"/>
            <w:lang w:eastAsia="ja-JP"/>
          </w:rPr>
          <w:t>www.healthpoint.co.nz/specialists/nephrology/auckland-dhb-renal-medicine/?medpro=true</w:t>
        </w:r>
      </w:hyperlink>
      <w:r w:rsidR="00664018" w:rsidRPr="00377AE5">
        <w:rPr>
          <w:rFonts w:eastAsiaTheme="minorHAnsi"/>
          <w:lang w:eastAsia="ja-JP"/>
        </w:rPr>
        <w:t xml:space="preserve"> </w:t>
      </w:r>
      <w:r w:rsidR="00664018">
        <w:rPr>
          <w:rFonts w:eastAsiaTheme="minorHAnsi"/>
          <w:noProof/>
          <w:lang w:eastAsia="en-NZ"/>
        </w:rPr>
        <w:t>(accessed 1 December 2014).</w:t>
      </w:r>
    </w:p>
    <w:p w:rsidR="00664018" w:rsidRPr="00377AE5" w:rsidRDefault="00711DC9" w:rsidP="00711DC9">
      <w:pPr>
        <w:pStyle w:val="References"/>
        <w:ind w:left="567" w:hanging="567"/>
        <w:rPr>
          <w:rFonts w:eastAsiaTheme="minorHAnsi"/>
          <w:bCs/>
          <w:lang w:eastAsia="ja-JP"/>
        </w:rPr>
      </w:pPr>
      <w:r>
        <w:rPr>
          <w:rFonts w:eastAsiaTheme="minorHAnsi"/>
          <w:bCs/>
          <w:lang w:eastAsia="ja-JP"/>
        </w:rPr>
        <w:t>11.</w:t>
      </w:r>
      <w:r>
        <w:rPr>
          <w:rFonts w:eastAsiaTheme="minorHAnsi"/>
          <w:bCs/>
          <w:lang w:eastAsia="ja-JP"/>
        </w:rPr>
        <w:tab/>
      </w:r>
      <w:r w:rsidR="00664018" w:rsidRPr="00377AE5">
        <w:rPr>
          <w:rFonts w:eastAsiaTheme="minorHAnsi"/>
          <w:bCs/>
          <w:lang w:eastAsia="ja-JP"/>
        </w:rPr>
        <w:t xml:space="preserve">Dason S, Dason JT, Kapoor A. 2011. Guidelines for the diagnosis and management of recurrent urinary tract infection in women. </w:t>
      </w:r>
      <w:r w:rsidR="00664018" w:rsidRPr="00377AE5">
        <w:rPr>
          <w:rFonts w:eastAsiaTheme="minorHAnsi"/>
          <w:bCs/>
          <w:i/>
          <w:lang w:eastAsia="ja-JP"/>
        </w:rPr>
        <w:t>Canadian Urological Association Journal</w:t>
      </w:r>
      <w:r w:rsidR="00664018" w:rsidRPr="00377AE5">
        <w:rPr>
          <w:rFonts w:eastAsiaTheme="minorHAnsi"/>
          <w:bCs/>
          <w:lang w:eastAsia="ja-JP"/>
        </w:rPr>
        <w:t xml:space="preserve"> 5(5): 316–22.</w:t>
      </w:r>
    </w:p>
    <w:p w:rsidR="00664018" w:rsidRPr="00377AE5" w:rsidRDefault="00711DC9" w:rsidP="00711DC9">
      <w:pPr>
        <w:pStyle w:val="References"/>
        <w:ind w:left="567" w:hanging="567"/>
        <w:rPr>
          <w:rFonts w:eastAsiaTheme="minorHAnsi"/>
          <w:bCs/>
          <w:lang w:eastAsia="ja-JP"/>
        </w:rPr>
      </w:pPr>
      <w:r>
        <w:rPr>
          <w:rFonts w:eastAsiaTheme="minorHAnsi"/>
          <w:bCs/>
          <w:lang w:eastAsia="ja-JP"/>
        </w:rPr>
        <w:t>12.</w:t>
      </w:r>
      <w:r>
        <w:rPr>
          <w:rFonts w:eastAsiaTheme="minorHAnsi"/>
          <w:bCs/>
          <w:lang w:eastAsia="ja-JP"/>
        </w:rPr>
        <w:tab/>
      </w:r>
      <w:r w:rsidR="00664018" w:rsidRPr="00377AE5">
        <w:rPr>
          <w:rFonts w:eastAsiaTheme="minorHAnsi"/>
          <w:bCs/>
          <w:lang w:eastAsia="ja-JP"/>
        </w:rPr>
        <w:t>National Sarcoma Working Group.</w:t>
      </w:r>
      <w:r w:rsidR="00377AE5" w:rsidRPr="00377AE5">
        <w:rPr>
          <w:rFonts w:eastAsiaTheme="minorHAnsi"/>
          <w:bCs/>
          <w:lang w:eastAsia="ja-JP"/>
        </w:rPr>
        <w:t xml:space="preserve"> </w:t>
      </w:r>
      <w:r w:rsidR="00664018" w:rsidRPr="00377AE5">
        <w:rPr>
          <w:rFonts w:eastAsiaTheme="minorHAnsi"/>
          <w:bCs/>
          <w:lang w:eastAsia="ja-JP"/>
        </w:rPr>
        <w:t>2013</w:t>
      </w:r>
      <w:r w:rsidR="00B17472">
        <w:rPr>
          <w:rFonts w:eastAsiaTheme="minorHAnsi"/>
          <w:bCs/>
          <w:lang w:eastAsia="ja-JP"/>
        </w:rPr>
        <w:t>.</w:t>
      </w:r>
    </w:p>
    <w:p w:rsidR="00664018" w:rsidRPr="009A075A" w:rsidRDefault="00711DC9" w:rsidP="00711DC9">
      <w:pPr>
        <w:pStyle w:val="References"/>
        <w:ind w:left="567" w:hanging="567"/>
        <w:rPr>
          <w:b/>
          <w:bCs/>
          <w:kern w:val="36"/>
          <w:lang w:val="en" w:eastAsia="en-NZ"/>
        </w:rPr>
      </w:pPr>
      <w:r>
        <w:rPr>
          <w:rFonts w:eastAsiaTheme="minorHAnsi"/>
          <w:iCs/>
        </w:rPr>
        <w:t>13.</w:t>
      </w:r>
      <w:r>
        <w:rPr>
          <w:rFonts w:eastAsiaTheme="minorHAnsi"/>
          <w:iCs/>
        </w:rPr>
        <w:tab/>
      </w:r>
      <w:r w:rsidR="00664018" w:rsidRPr="00A118D0">
        <w:rPr>
          <w:rFonts w:eastAsiaTheme="minorHAnsi"/>
          <w:iCs/>
        </w:rPr>
        <w:t>Elston MS, Conaglen JV</w:t>
      </w:r>
      <w:r w:rsidR="00664018" w:rsidRPr="002D3D44">
        <w:rPr>
          <w:rFonts w:eastAsiaTheme="minorHAnsi"/>
          <w:iCs/>
        </w:rPr>
        <w:t>.</w:t>
      </w:r>
      <w:r w:rsidR="00664018" w:rsidRPr="009A075A">
        <w:rPr>
          <w:rFonts w:eastAsiaTheme="minorHAnsi"/>
          <w:iCs/>
        </w:rPr>
        <w:t xml:space="preserve"> </w:t>
      </w:r>
      <w:r w:rsidR="00664018">
        <w:rPr>
          <w:rFonts w:eastAsiaTheme="minorHAnsi"/>
          <w:bCs/>
        </w:rPr>
        <w:t xml:space="preserve">2005. </w:t>
      </w:r>
      <w:r w:rsidR="00664018" w:rsidRPr="009A075A">
        <w:rPr>
          <w:rFonts w:eastAsiaTheme="minorHAnsi"/>
          <w:bCs/>
        </w:rPr>
        <w:t>Thyrotoxicosis: Pathophysiology, assessment and management.</w:t>
      </w:r>
      <w:r w:rsidR="00664018" w:rsidRPr="009A075A">
        <w:rPr>
          <w:rFonts w:eastAsiaTheme="minorHAnsi"/>
          <w:iCs/>
        </w:rPr>
        <w:t xml:space="preserve"> </w:t>
      </w:r>
      <w:r w:rsidR="00664018" w:rsidRPr="00A118D0">
        <w:rPr>
          <w:rFonts w:eastAsiaTheme="minorHAnsi"/>
          <w:i/>
          <w:iCs/>
        </w:rPr>
        <w:t>Consultant Endocrinologist</w:t>
      </w:r>
      <w:r w:rsidR="00664018" w:rsidRPr="009A075A">
        <w:rPr>
          <w:rFonts w:eastAsiaTheme="minorHAnsi"/>
          <w:i/>
          <w:iCs/>
        </w:rPr>
        <w:t xml:space="preserve"> </w:t>
      </w:r>
      <w:r w:rsidR="00664018" w:rsidRPr="00377AE5">
        <w:rPr>
          <w:rFonts w:eastAsiaTheme="minorHAnsi"/>
          <w:lang w:eastAsia="ja-JP"/>
        </w:rPr>
        <w:t>32(6): 407–13.</w:t>
      </w:r>
    </w:p>
    <w:p w:rsidR="00377AE5" w:rsidRDefault="00711DC9" w:rsidP="00711DC9">
      <w:pPr>
        <w:pStyle w:val="References"/>
        <w:ind w:left="567" w:hanging="567"/>
        <w:rPr>
          <w:lang w:val="en" w:eastAsia="en-NZ"/>
        </w:rPr>
      </w:pPr>
      <w:r>
        <w:rPr>
          <w:rFonts w:eastAsiaTheme="minorHAnsi"/>
          <w:iCs/>
        </w:rPr>
        <w:t>14.</w:t>
      </w:r>
      <w:r>
        <w:rPr>
          <w:rFonts w:eastAsiaTheme="minorHAnsi"/>
          <w:iCs/>
        </w:rPr>
        <w:tab/>
      </w:r>
      <w:r w:rsidR="00664018" w:rsidRPr="009A075A">
        <w:rPr>
          <w:rFonts w:eastAsiaTheme="minorHAnsi"/>
          <w:iCs/>
        </w:rPr>
        <w:t>Gauthier S, Patterson C</w:t>
      </w:r>
      <w:r w:rsidR="00664018">
        <w:rPr>
          <w:rFonts w:eastAsiaTheme="minorHAnsi"/>
          <w:iCs/>
        </w:rPr>
        <w:t>,</w:t>
      </w:r>
      <w:r w:rsidR="00664018" w:rsidRPr="009A075A">
        <w:rPr>
          <w:rFonts w:eastAsiaTheme="minorHAnsi"/>
          <w:iCs/>
        </w:rPr>
        <w:t xml:space="preserve"> </w:t>
      </w:r>
      <w:r w:rsidR="00664018" w:rsidRPr="002F155E">
        <w:rPr>
          <w:rFonts w:eastAsiaTheme="minorHAnsi"/>
          <w:iCs/>
        </w:rPr>
        <w:t>Chertkow</w:t>
      </w:r>
      <w:r w:rsidR="00664018">
        <w:rPr>
          <w:rFonts w:eastAsiaTheme="minorHAnsi"/>
          <w:iCs/>
        </w:rPr>
        <w:t xml:space="preserve"> H, </w:t>
      </w:r>
      <w:r w:rsidR="00664018" w:rsidRPr="009A075A">
        <w:rPr>
          <w:rFonts w:eastAsiaTheme="minorHAnsi"/>
          <w:iCs/>
        </w:rPr>
        <w:t xml:space="preserve">et al. </w:t>
      </w:r>
      <w:r w:rsidR="00664018">
        <w:rPr>
          <w:rFonts w:eastAsiaTheme="minorHAnsi"/>
          <w:iCs/>
        </w:rPr>
        <w:t xml:space="preserve">2012. </w:t>
      </w:r>
      <w:r w:rsidR="00664018" w:rsidRPr="009A075A">
        <w:rPr>
          <w:bCs/>
          <w:kern w:val="36"/>
          <w:lang w:val="en" w:eastAsia="en-NZ"/>
        </w:rPr>
        <w:t xml:space="preserve">Recommendations of the 4th Canadian Consensus Conference on the Diagnosis and Treatment of Dementia (CCCDTD4). </w:t>
      </w:r>
      <w:r w:rsidR="00664018" w:rsidRPr="00A118D0">
        <w:rPr>
          <w:i/>
          <w:lang w:val="en" w:eastAsia="en-NZ"/>
        </w:rPr>
        <w:t>Canadian Geriatric</w:t>
      </w:r>
      <w:r w:rsidR="00664018">
        <w:rPr>
          <w:i/>
          <w:lang w:val="en" w:eastAsia="en-NZ"/>
        </w:rPr>
        <w:t>s</w:t>
      </w:r>
      <w:r w:rsidR="00664018" w:rsidRPr="00A118D0">
        <w:rPr>
          <w:i/>
          <w:lang w:val="en" w:eastAsia="en-NZ"/>
        </w:rPr>
        <w:t xml:space="preserve"> Journal</w:t>
      </w:r>
      <w:r w:rsidR="00664018" w:rsidRPr="009A075A">
        <w:rPr>
          <w:lang w:val="en" w:eastAsia="en-NZ"/>
        </w:rPr>
        <w:t xml:space="preserve"> 15(4): 120–6.</w:t>
      </w:r>
    </w:p>
    <w:p w:rsidR="00664018" w:rsidRPr="009A075A" w:rsidRDefault="00711DC9" w:rsidP="00711DC9">
      <w:pPr>
        <w:pStyle w:val="References"/>
        <w:ind w:left="567" w:hanging="567"/>
        <w:rPr>
          <w:rFonts w:eastAsiaTheme="minorHAnsi"/>
          <w:noProof/>
          <w:lang w:eastAsia="ja-JP"/>
        </w:rPr>
      </w:pPr>
      <w:r>
        <w:rPr>
          <w:rFonts w:eastAsiaTheme="minorHAnsi"/>
          <w:lang w:val="en" w:eastAsia="ja-JP"/>
        </w:rPr>
        <w:t>15.</w:t>
      </w:r>
      <w:r>
        <w:rPr>
          <w:rFonts w:eastAsiaTheme="minorHAnsi"/>
          <w:lang w:val="en" w:eastAsia="ja-JP"/>
        </w:rPr>
        <w:tab/>
      </w:r>
      <w:r w:rsidR="00664018" w:rsidRPr="009A075A">
        <w:rPr>
          <w:rFonts w:eastAsiaTheme="minorHAnsi"/>
          <w:lang w:val="en" w:eastAsia="ja-JP"/>
        </w:rPr>
        <w:t xml:space="preserve">Atkin W, Dadswell E, Wooldrage K, et al. </w:t>
      </w:r>
      <w:r w:rsidR="00664018">
        <w:rPr>
          <w:rFonts w:eastAsiaTheme="minorHAnsi"/>
          <w:lang w:val="en" w:eastAsia="ja-JP"/>
        </w:rPr>
        <w:t xml:space="preserve">2013. </w:t>
      </w:r>
      <w:r w:rsidR="00664018" w:rsidRPr="009A075A">
        <w:rPr>
          <w:rFonts w:eastAsiaTheme="minorHAnsi"/>
          <w:iCs/>
          <w:lang w:val="en" w:eastAsia="ja-JP"/>
        </w:rPr>
        <w:t xml:space="preserve">Computed tomographic colonography versus colonoscopy for investigation of patients with symptoms suggestive of colorectal cancer (SIGGAR): a multicentre randomised trial. </w:t>
      </w:r>
      <w:r w:rsidR="00664018" w:rsidRPr="00A118D0">
        <w:rPr>
          <w:rFonts w:eastAsiaTheme="minorHAnsi"/>
          <w:i/>
          <w:iCs/>
          <w:lang w:val="en" w:eastAsia="ja-JP"/>
        </w:rPr>
        <w:t>Lancet</w:t>
      </w:r>
      <w:r w:rsidR="00664018" w:rsidRPr="009A075A">
        <w:rPr>
          <w:rFonts w:eastAsiaTheme="minorHAnsi"/>
          <w:iCs/>
          <w:lang w:val="en" w:eastAsia="ja-JP"/>
        </w:rPr>
        <w:t xml:space="preserve"> </w:t>
      </w:r>
      <w:r w:rsidR="00664018" w:rsidRPr="00A118D0">
        <w:rPr>
          <w:rFonts w:eastAsiaTheme="minorHAnsi"/>
          <w:bCs/>
          <w:iCs/>
          <w:lang w:val="en" w:eastAsia="ja-JP"/>
        </w:rPr>
        <w:t>381</w:t>
      </w:r>
      <w:r w:rsidR="00664018" w:rsidRPr="009A075A">
        <w:rPr>
          <w:rFonts w:eastAsiaTheme="minorHAnsi"/>
          <w:iCs/>
          <w:lang w:val="en" w:eastAsia="ja-JP"/>
        </w:rPr>
        <w:t>:</w:t>
      </w:r>
      <w:r w:rsidR="00664018">
        <w:rPr>
          <w:rFonts w:eastAsiaTheme="minorHAnsi"/>
          <w:iCs/>
          <w:lang w:val="en" w:eastAsia="ja-JP"/>
        </w:rPr>
        <w:t xml:space="preserve"> </w:t>
      </w:r>
      <w:r w:rsidR="00664018" w:rsidRPr="009A075A">
        <w:rPr>
          <w:rFonts w:eastAsiaTheme="minorHAnsi"/>
          <w:iCs/>
          <w:lang w:val="en" w:eastAsia="ja-JP"/>
        </w:rPr>
        <w:t>1194–202.</w:t>
      </w:r>
    </w:p>
    <w:p w:rsidR="00377AE5" w:rsidRDefault="00711DC9" w:rsidP="00711DC9">
      <w:pPr>
        <w:pStyle w:val="References"/>
        <w:ind w:left="567" w:hanging="567"/>
        <w:rPr>
          <w:rFonts w:eastAsiaTheme="minorHAnsi"/>
          <w:noProof/>
          <w:lang w:eastAsia="ja-JP"/>
        </w:rPr>
      </w:pPr>
      <w:r>
        <w:rPr>
          <w:rFonts w:eastAsiaTheme="minorHAnsi"/>
          <w:noProof/>
          <w:lang w:eastAsia="ja-JP"/>
        </w:rPr>
        <w:t>16.</w:t>
      </w:r>
      <w:r>
        <w:rPr>
          <w:rFonts w:eastAsiaTheme="minorHAnsi"/>
          <w:noProof/>
          <w:lang w:eastAsia="ja-JP"/>
        </w:rPr>
        <w:tab/>
      </w:r>
      <w:r w:rsidR="00664018" w:rsidRPr="009A075A">
        <w:rPr>
          <w:rFonts w:eastAsiaTheme="minorHAnsi"/>
          <w:noProof/>
          <w:lang w:eastAsia="ja-JP"/>
        </w:rPr>
        <w:t>Sanders A</w:t>
      </w:r>
      <w:r w:rsidR="00664018">
        <w:rPr>
          <w:rFonts w:eastAsiaTheme="minorHAnsi"/>
          <w:noProof/>
          <w:lang w:eastAsia="ja-JP"/>
        </w:rPr>
        <w:t>,</w:t>
      </w:r>
      <w:r w:rsidR="00664018" w:rsidRPr="009A075A">
        <w:rPr>
          <w:rFonts w:eastAsiaTheme="minorHAnsi"/>
          <w:noProof/>
          <w:lang w:eastAsia="ja-JP"/>
        </w:rPr>
        <w:t xml:space="preserve"> </w:t>
      </w:r>
      <w:r w:rsidR="00664018" w:rsidRPr="002F155E">
        <w:rPr>
          <w:rFonts w:eastAsiaTheme="minorHAnsi"/>
          <w:noProof/>
          <w:lang w:eastAsia="ja-JP"/>
        </w:rPr>
        <w:t>Stevenson</w:t>
      </w:r>
      <w:r w:rsidR="00664018">
        <w:rPr>
          <w:rFonts w:eastAsiaTheme="minorHAnsi"/>
          <w:noProof/>
          <w:lang w:eastAsia="ja-JP"/>
        </w:rPr>
        <w:t xml:space="preserve"> C, </w:t>
      </w:r>
      <w:r w:rsidR="00664018" w:rsidRPr="002F155E">
        <w:rPr>
          <w:rFonts w:eastAsiaTheme="minorHAnsi"/>
          <w:noProof/>
          <w:lang w:eastAsia="ja-JP"/>
        </w:rPr>
        <w:t>Pearson</w:t>
      </w:r>
      <w:r w:rsidR="00664018">
        <w:rPr>
          <w:rFonts w:eastAsiaTheme="minorHAnsi"/>
          <w:noProof/>
          <w:lang w:eastAsia="ja-JP"/>
        </w:rPr>
        <w:t xml:space="preserve"> JF, </w:t>
      </w:r>
      <w:r w:rsidR="00664018" w:rsidRPr="009A075A">
        <w:rPr>
          <w:rFonts w:eastAsiaTheme="minorHAnsi"/>
          <w:noProof/>
          <w:lang w:eastAsia="ja-JP"/>
        </w:rPr>
        <w:t xml:space="preserve">et al. </w:t>
      </w:r>
      <w:r w:rsidR="00664018">
        <w:rPr>
          <w:rFonts w:eastAsiaTheme="minorHAnsi"/>
          <w:noProof/>
          <w:lang w:eastAsia="ja-JP"/>
        </w:rPr>
        <w:t xml:space="preserve">2013. </w:t>
      </w:r>
      <w:r w:rsidR="00664018" w:rsidRPr="009A075A">
        <w:rPr>
          <w:rFonts w:eastAsiaTheme="minorHAnsi"/>
          <w:noProof/>
          <w:lang w:eastAsia="ja-JP"/>
        </w:rPr>
        <w:t xml:space="preserve">A novel pathway for investigation of colorectal symptomswith colonoscopy or computed tomography colonography. </w:t>
      </w:r>
      <w:r w:rsidR="00664018" w:rsidRPr="00A118D0">
        <w:rPr>
          <w:rFonts w:eastAsiaTheme="minorHAnsi"/>
          <w:i/>
          <w:noProof/>
          <w:lang w:eastAsia="ja-JP"/>
        </w:rPr>
        <w:t>New Zealand Medical Journal</w:t>
      </w:r>
      <w:r w:rsidR="00664018">
        <w:rPr>
          <w:rFonts w:eastAsiaTheme="minorHAnsi"/>
          <w:noProof/>
          <w:lang w:eastAsia="ja-JP"/>
        </w:rPr>
        <w:t xml:space="preserve"> </w:t>
      </w:r>
      <w:r w:rsidR="00664018" w:rsidRPr="009A075A">
        <w:rPr>
          <w:rFonts w:eastAsiaTheme="minorHAnsi"/>
          <w:noProof/>
          <w:lang w:eastAsia="ja-JP"/>
        </w:rPr>
        <w:t>126</w:t>
      </w:r>
      <w:r w:rsidR="00664018">
        <w:rPr>
          <w:rFonts w:eastAsiaTheme="minorHAnsi"/>
          <w:noProof/>
          <w:lang w:eastAsia="ja-JP"/>
        </w:rPr>
        <w:t>(</w:t>
      </w:r>
      <w:r w:rsidR="00664018" w:rsidRPr="009A075A">
        <w:rPr>
          <w:rFonts w:eastAsiaTheme="minorHAnsi"/>
          <w:noProof/>
          <w:lang w:eastAsia="ja-JP"/>
        </w:rPr>
        <w:t>1382</w:t>
      </w:r>
      <w:r w:rsidR="00664018">
        <w:rPr>
          <w:rFonts w:eastAsiaTheme="minorHAnsi"/>
          <w:noProof/>
          <w:lang w:eastAsia="ja-JP"/>
        </w:rPr>
        <w:t>):</w:t>
      </w:r>
      <w:r w:rsidR="00664018" w:rsidRPr="009A075A">
        <w:rPr>
          <w:rFonts w:eastAsiaTheme="minorHAnsi"/>
          <w:noProof/>
          <w:lang w:eastAsia="ja-JP"/>
        </w:rPr>
        <w:t xml:space="preserve"> 45.</w:t>
      </w:r>
    </w:p>
    <w:p w:rsidR="00664018" w:rsidRPr="00A118D0" w:rsidRDefault="00711DC9" w:rsidP="00711DC9">
      <w:pPr>
        <w:pStyle w:val="References"/>
        <w:ind w:left="567" w:hanging="567"/>
        <w:rPr>
          <w:rFonts w:eastAsiaTheme="minorHAnsi"/>
          <w:noProof/>
          <w:lang w:eastAsia="ja-JP"/>
        </w:rPr>
      </w:pPr>
      <w:r>
        <w:rPr>
          <w:rFonts w:eastAsiaTheme="minorHAnsi"/>
          <w:noProof/>
          <w:lang w:eastAsia="ja-JP"/>
        </w:rPr>
        <w:t>17.</w:t>
      </w:r>
      <w:r>
        <w:rPr>
          <w:rFonts w:eastAsiaTheme="minorHAnsi"/>
          <w:noProof/>
          <w:lang w:eastAsia="ja-JP"/>
        </w:rPr>
        <w:tab/>
      </w:r>
      <w:r w:rsidR="00664018" w:rsidRPr="00A118D0">
        <w:rPr>
          <w:rFonts w:eastAsiaTheme="minorHAnsi"/>
          <w:noProof/>
          <w:lang w:eastAsia="ja-JP"/>
        </w:rPr>
        <w:t xml:space="preserve">Banerjee S, Van Dam J. 2006. CT colonography for colon cancer screening. </w:t>
      </w:r>
      <w:r w:rsidR="00664018" w:rsidRPr="00A118D0">
        <w:rPr>
          <w:rFonts w:eastAsiaTheme="minorHAnsi"/>
          <w:i/>
          <w:noProof/>
          <w:lang w:eastAsia="ja-JP"/>
        </w:rPr>
        <w:t>Gastrointestinal Endoscopy</w:t>
      </w:r>
      <w:r w:rsidR="00664018" w:rsidRPr="00A118D0">
        <w:rPr>
          <w:rFonts w:eastAsiaTheme="minorHAnsi"/>
          <w:noProof/>
          <w:lang w:eastAsia="ja-JP"/>
        </w:rPr>
        <w:t xml:space="preserve"> 63</w:t>
      </w:r>
      <w:r w:rsidR="00664018">
        <w:rPr>
          <w:rFonts w:eastAsiaTheme="minorHAnsi"/>
          <w:noProof/>
          <w:lang w:eastAsia="ja-JP"/>
        </w:rPr>
        <w:t>:</w:t>
      </w:r>
      <w:r w:rsidR="00664018" w:rsidRPr="00A118D0">
        <w:rPr>
          <w:rFonts w:eastAsiaTheme="minorHAnsi"/>
          <w:noProof/>
          <w:lang w:eastAsia="ja-JP"/>
        </w:rPr>
        <w:t xml:space="preserve"> 121</w:t>
      </w:r>
      <w:r w:rsidR="00664018">
        <w:rPr>
          <w:rFonts w:eastAsiaTheme="minorHAnsi"/>
          <w:noProof/>
          <w:lang w:eastAsia="ja-JP"/>
        </w:rPr>
        <w:t>–</w:t>
      </w:r>
      <w:r w:rsidR="00664018" w:rsidRPr="00A118D0">
        <w:rPr>
          <w:rFonts w:eastAsiaTheme="minorHAnsi"/>
          <w:noProof/>
          <w:lang w:eastAsia="ja-JP"/>
        </w:rPr>
        <w:t>33.</w:t>
      </w:r>
    </w:p>
    <w:p w:rsidR="00664018" w:rsidRPr="00C37A83" w:rsidRDefault="00711DC9" w:rsidP="00711DC9">
      <w:pPr>
        <w:pStyle w:val="References"/>
        <w:ind w:left="567" w:hanging="567"/>
        <w:rPr>
          <w:rFonts w:eastAsiaTheme="minorHAnsi"/>
          <w:noProof/>
          <w:lang w:eastAsia="ja-JP"/>
        </w:rPr>
      </w:pPr>
      <w:r>
        <w:rPr>
          <w:rFonts w:eastAsiaTheme="minorHAnsi"/>
          <w:noProof/>
          <w:lang w:eastAsia="ja-JP"/>
        </w:rPr>
        <w:t>18.</w:t>
      </w:r>
      <w:r>
        <w:rPr>
          <w:rFonts w:eastAsiaTheme="minorHAnsi"/>
          <w:noProof/>
          <w:lang w:eastAsia="ja-JP"/>
        </w:rPr>
        <w:tab/>
      </w:r>
      <w:r w:rsidR="00664018">
        <w:rPr>
          <w:rFonts w:eastAsiaTheme="minorHAnsi"/>
          <w:noProof/>
          <w:lang w:eastAsia="ja-JP"/>
        </w:rPr>
        <w:t xml:space="preserve">Starship Clinical Guidelines. </w:t>
      </w:r>
      <w:r w:rsidR="00664018" w:rsidRPr="00A118D0">
        <w:rPr>
          <w:rFonts w:eastAsiaTheme="minorHAnsi"/>
          <w:noProof/>
          <w:lang w:eastAsia="ja-JP"/>
        </w:rPr>
        <w:t>URL:</w:t>
      </w:r>
      <w:r w:rsidR="00664018">
        <w:rPr>
          <w:rFonts w:eastAsiaTheme="minorHAnsi"/>
          <w:noProof/>
          <w:color w:val="548DD4" w:themeColor="text2" w:themeTint="99"/>
          <w:lang w:eastAsia="en-NZ"/>
        </w:rPr>
        <w:t xml:space="preserve"> </w:t>
      </w:r>
      <w:hyperlink r:id="rId21" w:history="1">
        <w:r w:rsidR="00664018" w:rsidRPr="00C37A83">
          <w:rPr>
            <w:rFonts w:eastAsiaTheme="minorHAnsi"/>
            <w:noProof/>
            <w:lang w:eastAsia="ja-JP"/>
          </w:rPr>
          <w:t>www.starship.org.nz/for-health-professionals/starship-clinical-guidelines</w:t>
        </w:r>
      </w:hyperlink>
      <w:r w:rsidR="00664018">
        <w:rPr>
          <w:rFonts w:eastAsiaTheme="minorHAnsi"/>
          <w:noProof/>
          <w:lang w:eastAsia="ja-JP"/>
        </w:rPr>
        <w:t xml:space="preserve"> (last accessed 2 December 2014).</w:t>
      </w:r>
    </w:p>
    <w:p w:rsidR="00377AE5" w:rsidRDefault="00711DC9" w:rsidP="00711DC9">
      <w:pPr>
        <w:pStyle w:val="References"/>
        <w:ind w:left="567" w:hanging="567"/>
        <w:rPr>
          <w:rFonts w:eastAsiaTheme="minorHAnsi"/>
          <w:iCs/>
        </w:rPr>
      </w:pPr>
      <w:r>
        <w:rPr>
          <w:rFonts w:eastAsiaTheme="minorHAnsi"/>
          <w:iCs/>
        </w:rPr>
        <w:t>19.</w:t>
      </w:r>
      <w:r>
        <w:rPr>
          <w:rFonts w:eastAsiaTheme="minorHAnsi"/>
          <w:iCs/>
        </w:rPr>
        <w:tab/>
      </w:r>
      <w:r w:rsidR="00664018" w:rsidRPr="009A075A">
        <w:rPr>
          <w:rFonts w:eastAsiaTheme="minorHAnsi"/>
          <w:iCs/>
        </w:rPr>
        <w:t xml:space="preserve">Zywicke HA, Rozzelle CJ. </w:t>
      </w:r>
      <w:r w:rsidR="00664018">
        <w:rPr>
          <w:rFonts w:eastAsiaTheme="minorHAnsi"/>
          <w:iCs/>
        </w:rPr>
        <w:t xml:space="preserve">2011. </w:t>
      </w:r>
      <w:r w:rsidR="00664018" w:rsidRPr="009A075A">
        <w:rPr>
          <w:rFonts w:eastAsiaTheme="minorHAnsi"/>
          <w:iCs/>
        </w:rPr>
        <w:t xml:space="preserve">Sacral Dimples. </w:t>
      </w:r>
      <w:r w:rsidR="00664018" w:rsidRPr="00A118D0">
        <w:rPr>
          <w:rFonts w:eastAsiaTheme="minorHAnsi"/>
          <w:i/>
          <w:iCs/>
        </w:rPr>
        <w:t>Pediatric</w:t>
      </w:r>
      <w:r w:rsidR="00664018">
        <w:rPr>
          <w:rFonts w:eastAsiaTheme="minorHAnsi"/>
          <w:i/>
          <w:iCs/>
        </w:rPr>
        <w:t xml:space="preserve">s in </w:t>
      </w:r>
      <w:r w:rsidR="00664018" w:rsidRPr="00A118D0">
        <w:rPr>
          <w:rFonts w:eastAsiaTheme="minorHAnsi"/>
          <w:i/>
          <w:iCs/>
        </w:rPr>
        <w:t>Review</w:t>
      </w:r>
      <w:r w:rsidR="00664018" w:rsidRPr="009A075A">
        <w:rPr>
          <w:rFonts w:eastAsiaTheme="minorHAnsi"/>
          <w:iCs/>
        </w:rPr>
        <w:t xml:space="preserve"> 32</w:t>
      </w:r>
      <w:r w:rsidR="00664018">
        <w:rPr>
          <w:rFonts w:eastAsiaTheme="minorHAnsi"/>
          <w:iCs/>
        </w:rPr>
        <w:t xml:space="preserve">(3): </w:t>
      </w:r>
      <w:r w:rsidR="00664018" w:rsidRPr="009A075A">
        <w:rPr>
          <w:rFonts w:eastAsiaTheme="minorHAnsi"/>
          <w:iCs/>
        </w:rPr>
        <w:t>109</w:t>
      </w:r>
      <w:r w:rsidR="00664018">
        <w:rPr>
          <w:rFonts w:eastAsiaTheme="minorHAnsi"/>
          <w:iCs/>
        </w:rPr>
        <w:t>–</w:t>
      </w:r>
      <w:r w:rsidR="00664018" w:rsidRPr="009A075A">
        <w:rPr>
          <w:rFonts w:eastAsiaTheme="minorHAnsi"/>
          <w:iCs/>
        </w:rPr>
        <w:t>14.</w:t>
      </w:r>
    </w:p>
    <w:p w:rsidR="00664018" w:rsidRPr="00664018" w:rsidRDefault="00664018" w:rsidP="00664018"/>
    <w:sectPr w:rsidR="00664018" w:rsidRPr="00664018" w:rsidSect="00AC39B5">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28" w:rsidRDefault="00CD4628">
      <w:pPr>
        <w:spacing w:line="240" w:lineRule="auto"/>
      </w:pPr>
      <w:r>
        <w:separator/>
      </w:r>
    </w:p>
  </w:endnote>
  <w:endnote w:type="continuationSeparator" w:id="0">
    <w:p w:rsidR="00CD4628" w:rsidRDefault="00CD4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F" w:rsidRPr="003648EF" w:rsidRDefault="00CD013F"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F" w:rsidRPr="009D3949" w:rsidRDefault="00CD013F" w:rsidP="009D3949">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F" w:rsidRDefault="00CD01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F" w:rsidRPr="00AC39B5" w:rsidRDefault="00CD013F" w:rsidP="00AC39B5">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047569">
      <w:rPr>
        <w:rStyle w:val="PageNumber"/>
        <w:noProof/>
      </w:rPr>
      <w:t>16</w:t>
    </w:r>
    <w:r w:rsidRPr="00FC46E7">
      <w:rPr>
        <w:rStyle w:val="PageNumber"/>
      </w:rPr>
      <w:fldChar w:fldCharType="end"/>
    </w:r>
    <w:r>
      <w:tab/>
      <w:t>National Criteria for Access to Community Radiology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F" w:rsidRDefault="00CD013F" w:rsidP="00533B90">
    <w:pPr>
      <w:pStyle w:val="RectoFooter"/>
    </w:pPr>
    <w:r>
      <w:tab/>
      <w:t>National Criteria for Access to Community Radiology</w:t>
    </w:r>
    <w:r>
      <w:tab/>
    </w:r>
    <w:r>
      <w:rPr>
        <w:rStyle w:val="PageNumber"/>
      </w:rPr>
      <w:fldChar w:fldCharType="begin"/>
    </w:r>
    <w:r>
      <w:rPr>
        <w:rStyle w:val="PageNumber"/>
      </w:rPr>
      <w:instrText xml:space="preserve"> PAGE </w:instrText>
    </w:r>
    <w:r>
      <w:rPr>
        <w:rStyle w:val="PageNumber"/>
      </w:rPr>
      <w:fldChar w:fldCharType="separate"/>
    </w:r>
    <w:r w:rsidR="00047569">
      <w:rPr>
        <w:rStyle w:val="PageNumber"/>
        <w:noProof/>
      </w:rPr>
      <w:t>iii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28" w:rsidRPr="00E460B6" w:rsidRDefault="00CD4628" w:rsidP="007B4D3E"/>
  </w:footnote>
  <w:footnote w:type="continuationSeparator" w:id="0">
    <w:p w:rsidR="00CD4628" w:rsidRDefault="00CD46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F" w:rsidRDefault="00CD013F" w:rsidP="00D25FFE">
    <w:pPr>
      <w:pStyle w:val="Header"/>
      <w:ind w:left="-1559"/>
    </w:pPr>
    <w:r>
      <w:rPr>
        <w:noProof/>
        <w:lang w:eastAsia="en-NZ"/>
      </w:rPr>
      <w:drawing>
        <wp:inline distT="0" distB="0" distL="0" distR="0" wp14:anchorId="26E976E5" wp14:editId="6582F9E5">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3F" w:rsidRDefault="00CD013F"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367D"/>
    <w:rsid w:val="00023688"/>
    <w:rsid w:val="00030B26"/>
    <w:rsid w:val="00047569"/>
    <w:rsid w:val="0006228D"/>
    <w:rsid w:val="0007017F"/>
    <w:rsid w:val="00072BD6"/>
    <w:rsid w:val="00075B78"/>
    <w:rsid w:val="00082CD6"/>
    <w:rsid w:val="00085AFE"/>
    <w:rsid w:val="000A754D"/>
    <w:rsid w:val="000B0730"/>
    <w:rsid w:val="000C0308"/>
    <w:rsid w:val="000F2AE2"/>
    <w:rsid w:val="00102063"/>
    <w:rsid w:val="0010541C"/>
    <w:rsid w:val="00106F93"/>
    <w:rsid w:val="00111D50"/>
    <w:rsid w:val="00113B8E"/>
    <w:rsid w:val="001342C7"/>
    <w:rsid w:val="0013585C"/>
    <w:rsid w:val="00142954"/>
    <w:rsid w:val="001460E0"/>
    <w:rsid w:val="00147F71"/>
    <w:rsid w:val="00150A6E"/>
    <w:rsid w:val="0015450B"/>
    <w:rsid w:val="0016468A"/>
    <w:rsid w:val="00165A05"/>
    <w:rsid w:val="001820C1"/>
    <w:rsid w:val="001A5CF5"/>
    <w:rsid w:val="001B39D2"/>
    <w:rsid w:val="001C4326"/>
    <w:rsid w:val="001D3541"/>
    <w:rsid w:val="00201A01"/>
    <w:rsid w:val="002104D3"/>
    <w:rsid w:val="00213A33"/>
    <w:rsid w:val="0021763B"/>
    <w:rsid w:val="00223DAB"/>
    <w:rsid w:val="00232A83"/>
    <w:rsid w:val="00246DB1"/>
    <w:rsid w:val="002476B5"/>
    <w:rsid w:val="00253ECF"/>
    <w:rsid w:val="002546A1"/>
    <w:rsid w:val="00275D08"/>
    <w:rsid w:val="002858E3"/>
    <w:rsid w:val="0029190A"/>
    <w:rsid w:val="00292C5A"/>
    <w:rsid w:val="00295241"/>
    <w:rsid w:val="002B047D"/>
    <w:rsid w:val="002B732B"/>
    <w:rsid w:val="002C2219"/>
    <w:rsid w:val="002D0DF2"/>
    <w:rsid w:val="002D23BD"/>
    <w:rsid w:val="002E0B47"/>
    <w:rsid w:val="002F67AF"/>
    <w:rsid w:val="002F7213"/>
    <w:rsid w:val="002F7979"/>
    <w:rsid w:val="0030382F"/>
    <w:rsid w:val="0030408D"/>
    <w:rsid w:val="003060E4"/>
    <w:rsid w:val="003160E7"/>
    <w:rsid w:val="0031739E"/>
    <w:rsid w:val="00317B80"/>
    <w:rsid w:val="003325AB"/>
    <w:rsid w:val="0033412B"/>
    <w:rsid w:val="00343365"/>
    <w:rsid w:val="00353501"/>
    <w:rsid w:val="003606F8"/>
    <w:rsid w:val="003648EF"/>
    <w:rsid w:val="003673E6"/>
    <w:rsid w:val="00367C93"/>
    <w:rsid w:val="00377264"/>
    <w:rsid w:val="00377AE5"/>
    <w:rsid w:val="003A26A5"/>
    <w:rsid w:val="003A3761"/>
    <w:rsid w:val="003A5FEA"/>
    <w:rsid w:val="003B1D10"/>
    <w:rsid w:val="003B6A9B"/>
    <w:rsid w:val="003C76D4"/>
    <w:rsid w:val="003E7C46"/>
    <w:rsid w:val="003F52A7"/>
    <w:rsid w:val="0040240C"/>
    <w:rsid w:val="00413021"/>
    <w:rsid w:val="0042749E"/>
    <w:rsid w:val="00440BE0"/>
    <w:rsid w:val="00442016"/>
    <w:rsid w:val="00442C1C"/>
    <w:rsid w:val="0044584B"/>
    <w:rsid w:val="00447CB7"/>
    <w:rsid w:val="00460826"/>
    <w:rsid w:val="00460EA7"/>
    <w:rsid w:val="0046195B"/>
    <w:rsid w:val="004640A0"/>
    <w:rsid w:val="0046596D"/>
    <w:rsid w:val="00487C04"/>
    <w:rsid w:val="004907E1"/>
    <w:rsid w:val="004A035B"/>
    <w:rsid w:val="004A38D7"/>
    <w:rsid w:val="004A778C"/>
    <w:rsid w:val="004C2E6A"/>
    <w:rsid w:val="004D2A2D"/>
    <w:rsid w:val="004D6272"/>
    <w:rsid w:val="004D6689"/>
    <w:rsid w:val="004E1D1D"/>
    <w:rsid w:val="004E7AC8"/>
    <w:rsid w:val="004F0C94"/>
    <w:rsid w:val="005019AE"/>
    <w:rsid w:val="00503749"/>
    <w:rsid w:val="00504CF4"/>
    <w:rsid w:val="0050635B"/>
    <w:rsid w:val="00524452"/>
    <w:rsid w:val="0053199F"/>
    <w:rsid w:val="00533B90"/>
    <w:rsid w:val="005410F8"/>
    <w:rsid w:val="005448EC"/>
    <w:rsid w:val="00545963"/>
    <w:rsid w:val="00550256"/>
    <w:rsid w:val="00553958"/>
    <w:rsid w:val="0055763D"/>
    <w:rsid w:val="005621F2"/>
    <w:rsid w:val="00567B58"/>
    <w:rsid w:val="005763E0"/>
    <w:rsid w:val="005A27CA"/>
    <w:rsid w:val="005A43BD"/>
    <w:rsid w:val="005D317B"/>
    <w:rsid w:val="005D5D6B"/>
    <w:rsid w:val="005E226E"/>
    <w:rsid w:val="006015D7"/>
    <w:rsid w:val="00601B21"/>
    <w:rsid w:val="00621722"/>
    <w:rsid w:val="00626CF8"/>
    <w:rsid w:val="00636D7D"/>
    <w:rsid w:val="00637408"/>
    <w:rsid w:val="00642868"/>
    <w:rsid w:val="00647AFE"/>
    <w:rsid w:val="006512BC"/>
    <w:rsid w:val="00653A5A"/>
    <w:rsid w:val="006575F4"/>
    <w:rsid w:val="0065796F"/>
    <w:rsid w:val="006579E6"/>
    <w:rsid w:val="00663EDC"/>
    <w:rsid w:val="00664018"/>
    <w:rsid w:val="00671078"/>
    <w:rsid w:val="00680A04"/>
    <w:rsid w:val="006811C1"/>
    <w:rsid w:val="00686D80"/>
    <w:rsid w:val="00694895"/>
    <w:rsid w:val="00697E2E"/>
    <w:rsid w:val="006A25A2"/>
    <w:rsid w:val="006B0E73"/>
    <w:rsid w:val="006B4A4D"/>
    <w:rsid w:val="006B5695"/>
    <w:rsid w:val="006C78EB"/>
    <w:rsid w:val="006D1660"/>
    <w:rsid w:val="006D3ED7"/>
    <w:rsid w:val="006F1B67"/>
    <w:rsid w:val="0070091D"/>
    <w:rsid w:val="00702854"/>
    <w:rsid w:val="00703388"/>
    <w:rsid w:val="00711DC9"/>
    <w:rsid w:val="0071741C"/>
    <w:rsid w:val="00742B90"/>
    <w:rsid w:val="0074434D"/>
    <w:rsid w:val="00771B1E"/>
    <w:rsid w:val="00773C95"/>
    <w:rsid w:val="0078171E"/>
    <w:rsid w:val="00795B34"/>
    <w:rsid w:val="007A0E56"/>
    <w:rsid w:val="007A423A"/>
    <w:rsid w:val="007B165D"/>
    <w:rsid w:val="007B1770"/>
    <w:rsid w:val="007B4D3E"/>
    <w:rsid w:val="007B7C70"/>
    <w:rsid w:val="007D2151"/>
    <w:rsid w:val="007D42CC"/>
    <w:rsid w:val="007D5DE4"/>
    <w:rsid w:val="007E1341"/>
    <w:rsid w:val="007E1B41"/>
    <w:rsid w:val="007E30B9"/>
    <w:rsid w:val="007F0F0C"/>
    <w:rsid w:val="007F1288"/>
    <w:rsid w:val="00800A8A"/>
    <w:rsid w:val="0080155C"/>
    <w:rsid w:val="00801CF8"/>
    <w:rsid w:val="008052E1"/>
    <w:rsid w:val="00822F2C"/>
    <w:rsid w:val="008305E8"/>
    <w:rsid w:val="008409C7"/>
    <w:rsid w:val="00860826"/>
    <w:rsid w:val="00860E21"/>
    <w:rsid w:val="00861DDC"/>
    <w:rsid w:val="00863117"/>
    <w:rsid w:val="0086388B"/>
    <w:rsid w:val="008642E5"/>
    <w:rsid w:val="00872959"/>
    <w:rsid w:val="00872D93"/>
    <w:rsid w:val="008739A6"/>
    <w:rsid w:val="00880470"/>
    <w:rsid w:val="00880D94"/>
    <w:rsid w:val="00883F72"/>
    <w:rsid w:val="008902E2"/>
    <w:rsid w:val="008924DE"/>
    <w:rsid w:val="008A3755"/>
    <w:rsid w:val="008B264F"/>
    <w:rsid w:val="008B6F83"/>
    <w:rsid w:val="008B7FD8"/>
    <w:rsid w:val="008C2973"/>
    <w:rsid w:val="008C64C4"/>
    <w:rsid w:val="008D74D5"/>
    <w:rsid w:val="008F29BE"/>
    <w:rsid w:val="008F4AE5"/>
    <w:rsid w:val="008F51EB"/>
    <w:rsid w:val="00900197"/>
    <w:rsid w:val="00902F55"/>
    <w:rsid w:val="0090582B"/>
    <w:rsid w:val="009060C0"/>
    <w:rsid w:val="009133F5"/>
    <w:rsid w:val="00920751"/>
    <w:rsid w:val="00920A27"/>
    <w:rsid w:val="00921216"/>
    <w:rsid w:val="00932D69"/>
    <w:rsid w:val="009373A3"/>
    <w:rsid w:val="00944647"/>
    <w:rsid w:val="00950C0B"/>
    <w:rsid w:val="00977B8A"/>
    <w:rsid w:val="00982971"/>
    <w:rsid w:val="009845AD"/>
    <w:rsid w:val="00995BA0"/>
    <w:rsid w:val="009A418B"/>
    <w:rsid w:val="009A4473"/>
    <w:rsid w:val="009A729A"/>
    <w:rsid w:val="009C151C"/>
    <w:rsid w:val="009D3949"/>
    <w:rsid w:val="009D5125"/>
    <w:rsid w:val="009D60B8"/>
    <w:rsid w:val="009D7D4B"/>
    <w:rsid w:val="009E36ED"/>
    <w:rsid w:val="009E6B77"/>
    <w:rsid w:val="009F460A"/>
    <w:rsid w:val="009F5FE1"/>
    <w:rsid w:val="009F610A"/>
    <w:rsid w:val="00A043FB"/>
    <w:rsid w:val="00A0729C"/>
    <w:rsid w:val="00A07779"/>
    <w:rsid w:val="00A20B2E"/>
    <w:rsid w:val="00A3068F"/>
    <w:rsid w:val="00A3145B"/>
    <w:rsid w:val="00A339D0"/>
    <w:rsid w:val="00A41002"/>
    <w:rsid w:val="00A4201A"/>
    <w:rsid w:val="00A553CE"/>
    <w:rsid w:val="00A5677A"/>
    <w:rsid w:val="00A6490D"/>
    <w:rsid w:val="00A80363"/>
    <w:rsid w:val="00A9169D"/>
    <w:rsid w:val="00AA1805"/>
    <w:rsid w:val="00AC101C"/>
    <w:rsid w:val="00AC39B5"/>
    <w:rsid w:val="00AD10AB"/>
    <w:rsid w:val="00AD4CF1"/>
    <w:rsid w:val="00AD57C4"/>
    <w:rsid w:val="00AD5988"/>
    <w:rsid w:val="00AF7800"/>
    <w:rsid w:val="00B072E0"/>
    <w:rsid w:val="00B17472"/>
    <w:rsid w:val="00B253F6"/>
    <w:rsid w:val="00B332F8"/>
    <w:rsid w:val="00B3492B"/>
    <w:rsid w:val="00B4646F"/>
    <w:rsid w:val="00B549C7"/>
    <w:rsid w:val="00B55C7D"/>
    <w:rsid w:val="00B63038"/>
    <w:rsid w:val="00B64BD8"/>
    <w:rsid w:val="00B701D1"/>
    <w:rsid w:val="00B73AF2"/>
    <w:rsid w:val="00B7551A"/>
    <w:rsid w:val="00BB1AFE"/>
    <w:rsid w:val="00BC59F1"/>
    <w:rsid w:val="00BD7159"/>
    <w:rsid w:val="00BE3E0A"/>
    <w:rsid w:val="00BF3DE1"/>
    <w:rsid w:val="00BF4843"/>
    <w:rsid w:val="00BF5205"/>
    <w:rsid w:val="00BF7102"/>
    <w:rsid w:val="00C12508"/>
    <w:rsid w:val="00C13D6A"/>
    <w:rsid w:val="00C45AA2"/>
    <w:rsid w:val="00C56120"/>
    <w:rsid w:val="00C66296"/>
    <w:rsid w:val="00C70E85"/>
    <w:rsid w:val="00C77282"/>
    <w:rsid w:val="00C84DE5"/>
    <w:rsid w:val="00C86248"/>
    <w:rsid w:val="00CA4C33"/>
    <w:rsid w:val="00CA6F4A"/>
    <w:rsid w:val="00CB05D4"/>
    <w:rsid w:val="00CD013F"/>
    <w:rsid w:val="00CD2119"/>
    <w:rsid w:val="00CD36AC"/>
    <w:rsid w:val="00CD4628"/>
    <w:rsid w:val="00CE1CAB"/>
    <w:rsid w:val="00CF1747"/>
    <w:rsid w:val="00D22207"/>
    <w:rsid w:val="00D2392A"/>
    <w:rsid w:val="00D25FFE"/>
    <w:rsid w:val="00D41AB0"/>
    <w:rsid w:val="00D4476F"/>
    <w:rsid w:val="00D53CED"/>
    <w:rsid w:val="00D54D50"/>
    <w:rsid w:val="00D62F8A"/>
    <w:rsid w:val="00D66797"/>
    <w:rsid w:val="00D6792D"/>
    <w:rsid w:val="00D7087C"/>
    <w:rsid w:val="00D70C3C"/>
    <w:rsid w:val="00D72BE5"/>
    <w:rsid w:val="00D82F26"/>
    <w:rsid w:val="00D863D0"/>
    <w:rsid w:val="00D87C87"/>
    <w:rsid w:val="00DA7367"/>
    <w:rsid w:val="00DB07B1"/>
    <w:rsid w:val="00DB39CF"/>
    <w:rsid w:val="00DD447A"/>
    <w:rsid w:val="00DE3B20"/>
    <w:rsid w:val="00DE6C94"/>
    <w:rsid w:val="00DE6FD7"/>
    <w:rsid w:val="00E23271"/>
    <w:rsid w:val="00E24F80"/>
    <w:rsid w:val="00E259F3"/>
    <w:rsid w:val="00E33238"/>
    <w:rsid w:val="00E42FCE"/>
    <w:rsid w:val="00E4486C"/>
    <w:rsid w:val="00E460B6"/>
    <w:rsid w:val="00E511D5"/>
    <w:rsid w:val="00E60249"/>
    <w:rsid w:val="00E65269"/>
    <w:rsid w:val="00E6707A"/>
    <w:rsid w:val="00E76D66"/>
    <w:rsid w:val="00EA796A"/>
    <w:rsid w:val="00EB08EB"/>
    <w:rsid w:val="00EB1856"/>
    <w:rsid w:val="00EC50CE"/>
    <w:rsid w:val="00EC5B34"/>
    <w:rsid w:val="00EE4ADE"/>
    <w:rsid w:val="00EE5CB7"/>
    <w:rsid w:val="00EF274D"/>
    <w:rsid w:val="00F024FE"/>
    <w:rsid w:val="00F05AD4"/>
    <w:rsid w:val="00F16EEE"/>
    <w:rsid w:val="00F44B87"/>
    <w:rsid w:val="00F67496"/>
    <w:rsid w:val="00F71B9D"/>
    <w:rsid w:val="00F7412C"/>
    <w:rsid w:val="00F801BA"/>
    <w:rsid w:val="00F946C9"/>
    <w:rsid w:val="00FA060E"/>
    <w:rsid w:val="00FA74EE"/>
    <w:rsid w:val="00FC46E7"/>
    <w:rsid w:val="00FC5D25"/>
    <w:rsid w:val="00FD0D7E"/>
    <w:rsid w:val="00FD5C06"/>
    <w:rsid w:val="00FE10D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2963169-4566-4F7A-BE99-F44F1789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9"/>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link w:val="FootnoteText"/>
    <w:uiPriority w:val="99"/>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664018"/>
    <w:pPr>
      <w:ind w:right="1701"/>
    </w:pPr>
    <w:rPr>
      <w:b/>
      <w:sz w:val="76"/>
    </w:rPr>
  </w:style>
  <w:style w:type="character" w:customStyle="1" w:styleId="TitleChar">
    <w:name w:val="Title Char"/>
    <w:basedOn w:val="DefaultParagraphFont"/>
    <w:link w:val="Title"/>
    <w:uiPriority w:val="99"/>
    <w:rsid w:val="00664018"/>
    <w:rPr>
      <w:rFonts w:ascii="Georgia" w:hAnsi="Georgia"/>
      <w:b/>
      <w:sz w:val="76"/>
      <w:lang w:eastAsia="en-GB"/>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 w:type="paragraph" w:styleId="BalloonText">
    <w:name w:val="Balloon Text"/>
    <w:basedOn w:val="Normal"/>
    <w:link w:val="BalloonTextChar"/>
    <w:semiHidden/>
    <w:unhideWhenUsed/>
    <w:rsid w:val="00D53C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53CED"/>
    <w:rPr>
      <w:rFonts w:ascii="Tahoma" w:hAnsi="Tahoma" w:cs="Tahoma"/>
      <w:sz w:val="16"/>
      <w:szCs w:val="16"/>
      <w:lang w:eastAsia="en-GB"/>
    </w:rPr>
  </w:style>
  <w:style w:type="character" w:styleId="CommentReference">
    <w:name w:val="annotation reference"/>
    <w:basedOn w:val="DefaultParagraphFont"/>
    <w:uiPriority w:val="99"/>
    <w:semiHidden/>
    <w:unhideWhenUsed/>
    <w:rsid w:val="00C13D6A"/>
    <w:rPr>
      <w:sz w:val="16"/>
      <w:szCs w:val="16"/>
    </w:rPr>
  </w:style>
  <w:style w:type="paragraph" w:styleId="CommentText">
    <w:name w:val="annotation text"/>
    <w:basedOn w:val="Normal"/>
    <w:link w:val="CommentTextChar"/>
    <w:uiPriority w:val="99"/>
    <w:semiHidden/>
    <w:unhideWhenUsed/>
    <w:rsid w:val="00C13D6A"/>
    <w:pPr>
      <w:spacing w:line="240" w:lineRule="auto"/>
    </w:pPr>
    <w:rPr>
      <w:sz w:val="20"/>
    </w:rPr>
  </w:style>
  <w:style w:type="character" w:customStyle="1" w:styleId="CommentTextChar">
    <w:name w:val="Comment Text Char"/>
    <w:basedOn w:val="DefaultParagraphFont"/>
    <w:link w:val="CommentText"/>
    <w:uiPriority w:val="99"/>
    <w:semiHidden/>
    <w:rsid w:val="00C13D6A"/>
    <w:rPr>
      <w:rFonts w:ascii="Georgia" w:hAnsi="Georgia"/>
      <w:lang w:eastAsia="en-GB"/>
    </w:rPr>
  </w:style>
  <w:style w:type="paragraph" w:styleId="CommentSubject">
    <w:name w:val="annotation subject"/>
    <w:basedOn w:val="CommentText"/>
    <w:next w:val="CommentText"/>
    <w:link w:val="CommentSubjectChar"/>
    <w:semiHidden/>
    <w:unhideWhenUsed/>
    <w:rsid w:val="00C13D6A"/>
    <w:rPr>
      <w:b/>
      <w:bCs/>
    </w:rPr>
  </w:style>
  <w:style w:type="character" w:customStyle="1" w:styleId="CommentSubjectChar">
    <w:name w:val="Comment Subject Char"/>
    <w:basedOn w:val="CommentTextChar"/>
    <w:link w:val="CommentSubject"/>
    <w:semiHidden/>
    <w:rsid w:val="00C13D6A"/>
    <w:rPr>
      <w:rFonts w:ascii="Georgia" w:hAnsi="Georgia"/>
      <w:b/>
      <w:bCs/>
      <w:lang w:eastAsia="en-GB"/>
    </w:rPr>
  </w:style>
  <w:style w:type="character" w:customStyle="1" w:styleId="A4">
    <w:name w:val="A4"/>
    <w:uiPriority w:val="99"/>
    <w:rsid w:val="00047569"/>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nice.org.uk/CG44" TargetMode="External"/><Relationship Id="rId3" Type="http://schemas.openxmlformats.org/officeDocument/2006/relationships/settings" Target="settings.xml"/><Relationship Id="rId21" Type="http://schemas.openxmlformats.org/officeDocument/2006/relationships/hyperlink" Target="https://www.starship.org.nz/for-health-professionals/starship-clinical-guideline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journals.lww.com/anesthesia-analgesia/Fulltext/2009/05000/Greater_Trochanteric_Pain_Syndrome__A_Review_of.49.aspx" TargetMode="External"/><Relationship Id="rId2" Type="http://schemas.openxmlformats.org/officeDocument/2006/relationships/styles" Target="styles.xml"/><Relationship Id="rId16" Type="http://schemas.openxmlformats.org/officeDocument/2006/relationships/hyperlink" Target="http://www.healthpoint.co.nz/specialists/gastroenterology-hepatology-liver/auckland-dhb-gastroenterology-and-hepatology/?medpro=show" TargetMode="External"/><Relationship Id="rId20" Type="http://schemas.openxmlformats.org/officeDocument/2006/relationships/hyperlink" Target="http://www.healthpoint.co.nz/specialists/nephrology/auckland-dhb-renal-medicine/?medpro=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health.govt.nz/system/files/documents/publications/050623_uterine_fibroids_summary_refreshed.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1</TotalTime>
  <Pages>28</Pages>
  <Words>6337</Words>
  <Characters>36125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National Criteria for Access to Community Radiology</vt:lpstr>
    </vt:vector>
  </TitlesOfParts>
  <Company>Microsoft</Company>
  <LinksUpToDate>false</LinksUpToDate>
  <CharactersWithSpaces>42378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Criteria for Access to Community Radiology</dc:title>
  <dc:creator>Ministry of Health</dc:creator>
  <cp:lastModifiedBy>Logan Smith</cp:lastModifiedBy>
  <cp:revision>2</cp:revision>
  <cp:lastPrinted>2015-03-10T01:43:00Z</cp:lastPrinted>
  <dcterms:created xsi:type="dcterms:W3CDTF">2015-08-16T22:48:00Z</dcterms:created>
  <dcterms:modified xsi:type="dcterms:W3CDTF">2015-08-16T22:48:00Z</dcterms:modified>
</cp:coreProperties>
</file>