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524B5B" w:rsidP="00D54D50">
      <w:pPr>
        <w:pStyle w:val="Title"/>
      </w:pPr>
      <w:r>
        <w:t>Māori Provider Development Scheme (MPDS)</w:t>
      </w:r>
    </w:p>
    <w:p w:rsidR="00343365" w:rsidRDefault="00524B5B" w:rsidP="00343365">
      <w:pPr>
        <w:pStyle w:val="Year"/>
      </w:pPr>
      <w:r>
        <w:t>2015/16</w:t>
      </w:r>
    </w:p>
    <w:p w:rsidR="00C86248" w:rsidRDefault="006A2A53" w:rsidP="00343365">
      <w:pPr>
        <w:pStyle w:val="Subhead"/>
      </w:pPr>
      <w:r>
        <w:t>Purchasing intentions</w:t>
      </w: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524B5B">
        <w:t>2015</w:t>
      </w:r>
      <w:r w:rsidR="00442C1C">
        <w:t xml:space="preserve">. </w:t>
      </w:r>
      <w:r w:rsidR="00524B5B">
        <w:rPr>
          <w:i/>
        </w:rPr>
        <w:t>Māori Provider Development Scheme (MPDS)</w:t>
      </w:r>
      <w:r w:rsidR="00DE3B20">
        <w:rPr>
          <w:i/>
        </w:rPr>
        <w:t xml:space="preserve">: </w:t>
      </w:r>
      <w:r w:rsidR="00524B5B">
        <w:rPr>
          <w:i/>
        </w:rPr>
        <w:t xml:space="preserve">2015/16 </w:t>
      </w:r>
      <w:r w:rsidR="006A2A53">
        <w:rPr>
          <w:i/>
        </w:rPr>
        <w:t>Purchasing intentions</w:t>
      </w:r>
      <w:r w:rsidR="00442C1C">
        <w:t>. Wellington: Ministry of Health.</w:t>
      </w:r>
    </w:p>
    <w:p w:rsidR="00C86248" w:rsidRDefault="00C86248">
      <w:pPr>
        <w:pStyle w:val="Imprint"/>
      </w:pPr>
      <w:r>
        <w:t xml:space="preserve">Published in </w:t>
      </w:r>
      <w:r w:rsidR="005A2996">
        <w:t>February</w:t>
      </w:r>
      <w:r w:rsidR="00524B5B">
        <w:t xml:space="preserve">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F22177" w:rsidP="00082CD6">
      <w:pPr>
        <w:pStyle w:val="Imprint"/>
      </w:pPr>
      <w:r>
        <w:t>ISBN: 978-0-478-</w:t>
      </w:r>
      <w:r w:rsidR="005A2996">
        <w:t>44484-1</w:t>
      </w:r>
      <w:r>
        <w:t xml:space="preserve"> (online</w:t>
      </w:r>
      <w:proofErr w:type="gramStart"/>
      <w:r>
        <w:t>)</w:t>
      </w:r>
      <w:proofErr w:type="gramEnd"/>
      <w:r>
        <w:br/>
      </w:r>
      <w:r w:rsidR="00082CD6" w:rsidRPr="009C0F2D">
        <w:t xml:space="preserve">HP </w:t>
      </w:r>
      <w:r w:rsidR="005A2996">
        <w:t>6117</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6560F697" wp14:editId="53E0FB89">
            <wp:extent cx="1670685" cy="681355"/>
            <wp:effectExtent l="0" t="0" r="5715" b="4445"/>
            <wp:docPr id="2" name="Picture 2"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684867" w:rsidRPr="00D535D0" w:rsidRDefault="00684867" w:rsidP="00684867">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4" name="Picture 4"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C86248" w:rsidRDefault="00C86248">
      <w:pPr>
        <w:pStyle w:val="IntroHead"/>
      </w:pPr>
      <w:bookmarkStart w:id="1" w:name="_Toc405792991"/>
      <w:bookmarkStart w:id="2" w:name="_Toc405793224"/>
      <w:r>
        <w:lastRenderedPageBreak/>
        <w:t>Contents</w:t>
      </w:r>
      <w:bookmarkEnd w:id="1"/>
      <w:bookmarkEnd w:id="2"/>
    </w:p>
    <w:p w:rsidR="005D3401"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5D3401">
        <w:rPr>
          <w:noProof/>
        </w:rPr>
        <w:t>Introduction</w:t>
      </w:r>
      <w:r w:rsidR="005D3401">
        <w:rPr>
          <w:noProof/>
        </w:rPr>
        <w:tab/>
      </w:r>
      <w:r w:rsidR="005D3401">
        <w:rPr>
          <w:noProof/>
        </w:rPr>
        <w:fldChar w:fldCharType="begin"/>
      </w:r>
      <w:r w:rsidR="005D3401">
        <w:rPr>
          <w:noProof/>
        </w:rPr>
        <w:instrText xml:space="preserve"> PAGEREF _Toc410155458 \h </w:instrText>
      </w:r>
      <w:r w:rsidR="005D3401">
        <w:rPr>
          <w:noProof/>
        </w:rPr>
      </w:r>
      <w:r w:rsidR="005D3401">
        <w:rPr>
          <w:noProof/>
        </w:rPr>
        <w:fldChar w:fldCharType="separate"/>
      </w:r>
      <w:r w:rsidR="005D3401">
        <w:rPr>
          <w:noProof/>
        </w:rPr>
        <w:t>1</w:t>
      </w:r>
      <w:r w:rsidR="005D3401">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Funding streams</w:t>
      </w:r>
      <w:r>
        <w:rPr>
          <w:noProof/>
        </w:rPr>
        <w:tab/>
      </w:r>
      <w:r>
        <w:rPr>
          <w:noProof/>
        </w:rPr>
        <w:fldChar w:fldCharType="begin"/>
      </w:r>
      <w:r>
        <w:rPr>
          <w:noProof/>
        </w:rPr>
        <w:instrText xml:space="preserve"> PAGEREF _Toc410155459 \h </w:instrText>
      </w:r>
      <w:r>
        <w:rPr>
          <w:noProof/>
        </w:rPr>
      </w:r>
      <w:r>
        <w:rPr>
          <w:noProof/>
        </w:rPr>
        <w:fldChar w:fldCharType="separate"/>
      </w:r>
      <w:r>
        <w:rPr>
          <w:noProof/>
        </w:rPr>
        <w:t>2</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MPDS assessment process</w:t>
      </w:r>
      <w:r>
        <w:rPr>
          <w:noProof/>
        </w:rPr>
        <w:tab/>
      </w:r>
      <w:r>
        <w:rPr>
          <w:noProof/>
        </w:rPr>
        <w:fldChar w:fldCharType="begin"/>
      </w:r>
      <w:r>
        <w:rPr>
          <w:noProof/>
        </w:rPr>
        <w:instrText xml:space="preserve"> PAGEREF _Toc410155460 \h </w:instrText>
      </w:r>
      <w:r>
        <w:rPr>
          <w:noProof/>
        </w:rPr>
      </w:r>
      <w:r>
        <w:rPr>
          <w:noProof/>
        </w:rPr>
        <w:fldChar w:fldCharType="separate"/>
      </w:r>
      <w:r>
        <w:rPr>
          <w:noProof/>
        </w:rPr>
        <w:t>2</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Contracting pathways</w:t>
      </w:r>
      <w:r>
        <w:rPr>
          <w:noProof/>
        </w:rPr>
        <w:tab/>
      </w:r>
      <w:r>
        <w:rPr>
          <w:noProof/>
        </w:rPr>
        <w:fldChar w:fldCharType="begin"/>
      </w:r>
      <w:r>
        <w:rPr>
          <w:noProof/>
        </w:rPr>
        <w:instrText xml:space="preserve"> PAGEREF _Toc410155461 \h </w:instrText>
      </w:r>
      <w:r>
        <w:rPr>
          <w:noProof/>
        </w:rPr>
      </w:r>
      <w:r>
        <w:rPr>
          <w:noProof/>
        </w:rPr>
        <w:fldChar w:fldCharType="separate"/>
      </w:r>
      <w:r>
        <w:rPr>
          <w:noProof/>
        </w:rPr>
        <w:t>4</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Contract phase</w:t>
      </w:r>
      <w:r>
        <w:rPr>
          <w:noProof/>
        </w:rPr>
        <w:tab/>
      </w:r>
      <w:r>
        <w:rPr>
          <w:noProof/>
        </w:rPr>
        <w:fldChar w:fldCharType="begin"/>
      </w:r>
      <w:r>
        <w:rPr>
          <w:noProof/>
        </w:rPr>
        <w:instrText xml:space="preserve"> PAGEREF _Toc410155462 \h </w:instrText>
      </w:r>
      <w:r>
        <w:rPr>
          <w:noProof/>
        </w:rPr>
      </w:r>
      <w:r>
        <w:rPr>
          <w:noProof/>
        </w:rPr>
        <w:fldChar w:fldCharType="separate"/>
      </w:r>
      <w:r>
        <w:rPr>
          <w:noProof/>
        </w:rPr>
        <w:t>4</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MPDS administration process</w:t>
      </w:r>
      <w:r>
        <w:rPr>
          <w:noProof/>
        </w:rPr>
        <w:tab/>
      </w:r>
      <w:r>
        <w:rPr>
          <w:noProof/>
        </w:rPr>
        <w:fldChar w:fldCharType="begin"/>
      </w:r>
      <w:r>
        <w:rPr>
          <w:noProof/>
        </w:rPr>
        <w:instrText xml:space="preserve"> PAGEREF _Toc410155463 \h </w:instrText>
      </w:r>
      <w:r>
        <w:rPr>
          <w:noProof/>
        </w:rPr>
      </w:r>
      <w:r>
        <w:rPr>
          <w:noProof/>
        </w:rPr>
        <w:fldChar w:fldCharType="separate"/>
      </w:r>
      <w:r>
        <w:rPr>
          <w:noProof/>
        </w:rPr>
        <w:t>4</w:t>
      </w:r>
      <w:r>
        <w:rPr>
          <w:noProof/>
        </w:rPr>
        <w:fldChar w:fldCharType="end"/>
      </w:r>
    </w:p>
    <w:p w:rsidR="005D3401" w:rsidRDefault="005D3401">
      <w:pPr>
        <w:pStyle w:val="TOC1"/>
        <w:rPr>
          <w:rFonts w:asciiTheme="minorHAnsi" w:eastAsiaTheme="minorEastAsia" w:hAnsiTheme="minorHAnsi" w:cstheme="minorBidi"/>
          <w:b w:val="0"/>
          <w:noProof/>
          <w:szCs w:val="22"/>
          <w:lang w:eastAsia="en-NZ"/>
        </w:rPr>
      </w:pPr>
      <w:r>
        <w:rPr>
          <w:noProof/>
        </w:rPr>
        <w:t>Māori health and disability providers (DHB based)</w:t>
      </w:r>
      <w:r>
        <w:rPr>
          <w:noProof/>
        </w:rPr>
        <w:tab/>
      </w:r>
      <w:r>
        <w:rPr>
          <w:noProof/>
        </w:rPr>
        <w:fldChar w:fldCharType="begin"/>
      </w:r>
      <w:r>
        <w:rPr>
          <w:noProof/>
        </w:rPr>
        <w:instrText xml:space="preserve"> PAGEREF _Toc410155464 \h </w:instrText>
      </w:r>
      <w:r>
        <w:rPr>
          <w:noProof/>
        </w:rPr>
      </w:r>
      <w:r>
        <w:rPr>
          <w:noProof/>
        </w:rPr>
        <w:fldChar w:fldCharType="separate"/>
      </w:r>
      <w:r>
        <w:rPr>
          <w:noProof/>
        </w:rPr>
        <w:t>5</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Eligibility criteria</w:t>
      </w:r>
      <w:r>
        <w:rPr>
          <w:noProof/>
        </w:rPr>
        <w:tab/>
      </w:r>
      <w:r>
        <w:rPr>
          <w:noProof/>
        </w:rPr>
        <w:fldChar w:fldCharType="begin"/>
      </w:r>
      <w:r>
        <w:rPr>
          <w:noProof/>
        </w:rPr>
        <w:instrText xml:space="preserve"> PAGEREF _Toc410155465 \h </w:instrText>
      </w:r>
      <w:r>
        <w:rPr>
          <w:noProof/>
        </w:rPr>
      </w:r>
      <w:r>
        <w:rPr>
          <w:noProof/>
        </w:rPr>
        <w:fldChar w:fldCharType="separate"/>
      </w:r>
      <w:r>
        <w:rPr>
          <w:noProof/>
        </w:rPr>
        <w:t>5</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Funding allocation</w:t>
      </w:r>
      <w:r>
        <w:rPr>
          <w:noProof/>
        </w:rPr>
        <w:tab/>
      </w:r>
      <w:r>
        <w:rPr>
          <w:noProof/>
        </w:rPr>
        <w:fldChar w:fldCharType="begin"/>
      </w:r>
      <w:r>
        <w:rPr>
          <w:noProof/>
        </w:rPr>
        <w:instrText xml:space="preserve"> PAGEREF _Toc410155466 \h </w:instrText>
      </w:r>
      <w:r>
        <w:rPr>
          <w:noProof/>
        </w:rPr>
      </w:r>
      <w:r>
        <w:rPr>
          <w:noProof/>
        </w:rPr>
        <w:fldChar w:fldCharType="separate"/>
      </w:r>
      <w:r>
        <w:rPr>
          <w:noProof/>
        </w:rPr>
        <w:t>5</w:t>
      </w:r>
      <w:r>
        <w:rPr>
          <w:noProof/>
        </w:rPr>
        <w:fldChar w:fldCharType="end"/>
      </w:r>
    </w:p>
    <w:p w:rsidR="005D3401" w:rsidRDefault="005D3401">
      <w:pPr>
        <w:pStyle w:val="TOC1"/>
        <w:rPr>
          <w:rFonts w:asciiTheme="minorHAnsi" w:eastAsiaTheme="minorEastAsia" w:hAnsiTheme="minorHAnsi" w:cstheme="minorBidi"/>
          <w:b w:val="0"/>
          <w:noProof/>
          <w:szCs w:val="22"/>
          <w:lang w:eastAsia="en-NZ"/>
        </w:rPr>
      </w:pPr>
      <w:r>
        <w:rPr>
          <w:noProof/>
        </w:rPr>
        <w:t>Māori health and disability providers (national)</w:t>
      </w:r>
      <w:r>
        <w:rPr>
          <w:noProof/>
        </w:rPr>
        <w:tab/>
      </w:r>
      <w:r>
        <w:rPr>
          <w:noProof/>
        </w:rPr>
        <w:fldChar w:fldCharType="begin"/>
      </w:r>
      <w:r>
        <w:rPr>
          <w:noProof/>
        </w:rPr>
        <w:instrText xml:space="preserve"> PAGEREF _Toc410155467 \h </w:instrText>
      </w:r>
      <w:r>
        <w:rPr>
          <w:noProof/>
        </w:rPr>
      </w:r>
      <w:r>
        <w:rPr>
          <w:noProof/>
        </w:rPr>
        <w:fldChar w:fldCharType="separate"/>
      </w:r>
      <w:r>
        <w:rPr>
          <w:noProof/>
        </w:rPr>
        <w:t>7</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Eligibility criteria</w:t>
      </w:r>
      <w:r>
        <w:rPr>
          <w:noProof/>
        </w:rPr>
        <w:tab/>
      </w:r>
      <w:r>
        <w:rPr>
          <w:noProof/>
        </w:rPr>
        <w:fldChar w:fldCharType="begin"/>
      </w:r>
      <w:r>
        <w:rPr>
          <w:noProof/>
        </w:rPr>
        <w:instrText xml:space="preserve"> PAGEREF _Toc410155468 \h </w:instrText>
      </w:r>
      <w:r>
        <w:rPr>
          <w:noProof/>
        </w:rPr>
      </w:r>
      <w:r>
        <w:rPr>
          <w:noProof/>
        </w:rPr>
        <w:fldChar w:fldCharType="separate"/>
      </w:r>
      <w:r>
        <w:rPr>
          <w:noProof/>
        </w:rPr>
        <w:t>7</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Funding allocation</w:t>
      </w:r>
      <w:r>
        <w:rPr>
          <w:noProof/>
        </w:rPr>
        <w:tab/>
      </w:r>
      <w:r>
        <w:rPr>
          <w:noProof/>
        </w:rPr>
        <w:fldChar w:fldCharType="begin"/>
      </w:r>
      <w:r>
        <w:rPr>
          <w:noProof/>
        </w:rPr>
        <w:instrText xml:space="preserve"> PAGEREF _Toc410155469 \h </w:instrText>
      </w:r>
      <w:r>
        <w:rPr>
          <w:noProof/>
        </w:rPr>
      </w:r>
      <w:r>
        <w:rPr>
          <w:noProof/>
        </w:rPr>
        <w:fldChar w:fldCharType="separate"/>
      </w:r>
      <w:r>
        <w:rPr>
          <w:noProof/>
        </w:rPr>
        <w:t>7</w:t>
      </w:r>
      <w:r>
        <w:rPr>
          <w:noProof/>
        </w:rPr>
        <w:fldChar w:fldCharType="end"/>
      </w:r>
    </w:p>
    <w:p w:rsidR="005D3401" w:rsidRDefault="005D3401">
      <w:pPr>
        <w:pStyle w:val="TOC1"/>
        <w:rPr>
          <w:rFonts w:asciiTheme="minorHAnsi" w:eastAsiaTheme="minorEastAsia" w:hAnsiTheme="minorHAnsi" w:cstheme="minorBidi"/>
          <w:b w:val="0"/>
          <w:noProof/>
          <w:szCs w:val="22"/>
          <w:lang w:eastAsia="en-NZ"/>
        </w:rPr>
      </w:pPr>
      <w:r>
        <w:rPr>
          <w:noProof/>
        </w:rPr>
        <w:t>Hauora Māori scholarships 2016</w:t>
      </w:r>
      <w:r>
        <w:rPr>
          <w:noProof/>
        </w:rPr>
        <w:tab/>
      </w:r>
      <w:r>
        <w:rPr>
          <w:noProof/>
        </w:rPr>
        <w:fldChar w:fldCharType="begin"/>
      </w:r>
      <w:r>
        <w:rPr>
          <w:noProof/>
        </w:rPr>
        <w:instrText xml:space="preserve"> PAGEREF _Toc410155470 \h </w:instrText>
      </w:r>
      <w:r>
        <w:rPr>
          <w:noProof/>
        </w:rPr>
      </w:r>
      <w:r>
        <w:rPr>
          <w:noProof/>
        </w:rPr>
        <w:fldChar w:fldCharType="separate"/>
      </w:r>
      <w:r>
        <w:rPr>
          <w:noProof/>
        </w:rPr>
        <w:t>8</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Eligibility criteria</w:t>
      </w:r>
      <w:r>
        <w:rPr>
          <w:noProof/>
        </w:rPr>
        <w:tab/>
      </w:r>
      <w:r>
        <w:rPr>
          <w:noProof/>
        </w:rPr>
        <w:fldChar w:fldCharType="begin"/>
      </w:r>
      <w:r>
        <w:rPr>
          <w:noProof/>
        </w:rPr>
        <w:instrText xml:space="preserve"> PAGEREF _Toc410155471 \h </w:instrText>
      </w:r>
      <w:r>
        <w:rPr>
          <w:noProof/>
        </w:rPr>
      </w:r>
      <w:r>
        <w:rPr>
          <w:noProof/>
        </w:rPr>
        <w:fldChar w:fldCharType="separate"/>
      </w:r>
      <w:r>
        <w:rPr>
          <w:noProof/>
        </w:rPr>
        <w:t>8</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Scholarship categories</w:t>
      </w:r>
      <w:r>
        <w:rPr>
          <w:noProof/>
        </w:rPr>
        <w:tab/>
      </w:r>
      <w:r>
        <w:rPr>
          <w:noProof/>
        </w:rPr>
        <w:fldChar w:fldCharType="begin"/>
      </w:r>
      <w:r>
        <w:rPr>
          <w:noProof/>
        </w:rPr>
        <w:instrText xml:space="preserve"> PAGEREF _Toc410155472 \h </w:instrText>
      </w:r>
      <w:r>
        <w:rPr>
          <w:noProof/>
        </w:rPr>
      </w:r>
      <w:r>
        <w:rPr>
          <w:noProof/>
        </w:rPr>
        <w:fldChar w:fldCharType="separate"/>
      </w:r>
      <w:r>
        <w:rPr>
          <w:noProof/>
        </w:rPr>
        <w:t>8</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Funding allocation</w:t>
      </w:r>
      <w:r>
        <w:rPr>
          <w:noProof/>
        </w:rPr>
        <w:tab/>
      </w:r>
      <w:r>
        <w:rPr>
          <w:noProof/>
        </w:rPr>
        <w:fldChar w:fldCharType="begin"/>
      </w:r>
      <w:r>
        <w:rPr>
          <w:noProof/>
        </w:rPr>
        <w:instrText xml:space="preserve"> PAGEREF _Toc410155473 \h </w:instrText>
      </w:r>
      <w:r>
        <w:rPr>
          <w:noProof/>
        </w:rPr>
      </w:r>
      <w:r>
        <w:rPr>
          <w:noProof/>
        </w:rPr>
        <w:fldChar w:fldCharType="separate"/>
      </w:r>
      <w:r>
        <w:rPr>
          <w:noProof/>
        </w:rPr>
        <w:t>8</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Hauora Māori scholarship online application</w:t>
      </w:r>
      <w:r>
        <w:rPr>
          <w:noProof/>
        </w:rPr>
        <w:tab/>
      </w:r>
      <w:r>
        <w:rPr>
          <w:noProof/>
        </w:rPr>
        <w:fldChar w:fldCharType="begin"/>
      </w:r>
      <w:r>
        <w:rPr>
          <w:noProof/>
        </w:rPr>
        <w:instrText xml:space="preserve"> PAGEREF _Toc410155474 \h </w:instrText>
      </w:r>
      <w:r>
        <w:rPr>
          <w:noProof/>
        </w:rPr>
      </w:r>
      <w:r>
        <w:rPr>
          <w:noProof/>
        </w:rPr>
        <w:fldChar w:fldCharType="separate"/>
      </w:r>
      <w:r>
        <w:rPr>
          <w:noProof/>
        </w:rPr>
        <w:t>9</w:t>
      </w:r>
      <w:r>
        <w:rPr>
          <w:noProof/>
        </w:rPr>
        <w:fldChar w:fldCharType="end"/>
      </w:r>
    </w:p>
    <w:p w:rsidR="005D3401" w:rsidRDefault="005D3401">
      <w:pPr>
        <w:pStyle w:val="TOC2"/>
        <w:rPr>
          <w:rFonts w:asciiTheme="minorHAnsi" w:eastAsiaTheme="minorEastAsia" w:hAnsiTheme="minorHAnsi" w:cstheme="minorBidi"/>
          <w:noProof/>
          <w:szCs w:val="22"/>
          <w:lang w:eastAsia="en-NZ"/>
        </w:rPr>
      </w:pPr>
      <w:r>
        <w:rPr>
          <w:noProof/>
        </w:rPr>
        <w:t>Hauora Māori scholarship application process</w:t>
      </w:r>
      <w:r>
        <w:rPr>
          <w:noProof/>
        </w:rPr>
        <w:tab/>
      </w:r>
      <w:r>
        <w:rPr>
          <w:noProof/>
        </w:rPr>
        <w:fldChar w:fldCharType="begin"/>
      </w:r>
      <w:r>
        <w:rPr>
          <w:noProof/>
        </w:rPr>
        <w:instrText xml:space="preserve"> PAGEREF _Toc410155475 \h </w:instrText>
      </w:r>
      <w:r>
        <w:rPr>
          <w:noProof/>
        </w:rPr>
      </w:r>
      <w:r>
        <w:rPr>
          <w:noProof/>
        </w:rPr>
        <w:fldChar w:fldCharType="separate"/>
      </w:r>
      <w:r>
        <w:rPr>
          <w:noProof/>
        </w:rPr>
        <w:t>9</w:t>
      </w:r>
      <w:r>
        <w:rPr>
          <w:noProof/>
        </w:rPr>
        <w:fldChar w:fldCharType="end"/>
      </w:r>
    </w:p>
    <w:p w:rsidR="003A5FEA" w:rsidRDefault="00C86248" w:rsidP="003A5FEA">
      <w:r>
        <w:rPr>
          <w:b/>
        </w:rPr>
        <w:fldChar w:fldCharType="end"/>
      </w:r>
    </w:p>
    <w:p w:rsidR="00C86248" w:rsidRDefault="00C86248" w:rsidP="0086388B"/>
    <w:p w:rsidR="00C86248" w:rsidRDefault="00C86248">
      <w:pPr>
        <w:sectPr w:rsidR="00C86248" w:rsidSect="009D5125">
          <w:headerReference w:type="default" r:id="rId13"/>
          <w:footerReference w:type="even" r:id="rId14"/>
          <w:footerReference w:type="default" r:id="rId15"/>
          <w:pgSz w:w="11907" w:h="16840" w:code="9"/>
          <w:pgMar w:top="851" w:right="1134" w:bottom="1134" w:left="1134" w:header="284" w:footer="567" w:gutter="284"/>
          <w:pgNumType w:fmt="lowerRoman"/>
          <w:cols w:space="720"/>
        </w:sectPr>
      </w:pPr>
    </w:p>
    <w:p w:rsidR="008C2973" w:rsidRDefault="00F22177" w:rsidP="0086388B">
      <w:pPr>
        <w:pStyle w:val="Heading1"/>
      </w:pPr>
      <w:bookmarkStart w:id="3" w:name="_Toc410155458"/>
      <w:r>
        <w:lastRenderedPageBreak/>
        <w:t>Introduction</w:t>
      </w:r>
      <w:bookmarkEnd w:id="3"/>
    </w:p>
    <w:p w:rsidR="006A2A53" w:rsidRPr="0086132F" w:rsidRDefault="006A2A53" w:rsidP="006A2A53">
      <w:r w:rsidRPr="0086132F">
        <w:t xml:space="preserve">The </w:t>
      </w:r>
      <w:r w:rsidRPr="0086132F">
        <w:rPr>
          <w:i/>
        </w:rPr>
        <w:t>Māori Provide</w:t>
      </w:r>
      <w:r>
        <w:rPr>
          <w:i/>
        </w:rPr>
        <w:t>r Development Scheme</w:t>
      </w:r>
      <w:r w:rsidR="00D60C04">
        <w:rPr>
          <w:i/>
        </w:rPr>
        <w:t xml:space="preserve"> </w:t>
      </w:r>
      <w:r>
        <w:rPr>
          <w:i/>
        </w:rPr>
        <w:t>2015</w:t>
      </w:r>
      <w:r w:rsidRPr="0086132F">
        <w:rPr>
          <w:i/>
        </w:rPr>
        <w:t>/1</w:t>
      </w:r>
      <w:r>
        <w:rPr>
          <w:i/>
        </w:rPr>
        <w:t>6</w:t>
      </w:r>
      <w:r w:rsidRPr="0086132F">
        <w:rPr>
          <w:i/>
        </w:rPr>
        <w:t>: Purchasing Intentions</w:t>
      </w:r>
      <w:r>
        <w:t xml:space="preserve"> (2015</w:t>
      </w:r>
      <w:r w:rsidRPr="0086132F">
        <w:t>/1</w:t>
      </w:r>
      <w:r>
        <w:t>6</w:t>
      </w:r>
      <w:r w:rsidRPr="0086132F">
        <w:t xml:space="preserve"> Purchasing Intentions) guide the Ministry of Health (the Ministry) and </w:t>
      </w:r>
      <w:r>
        <w:t>District Health B</w:t>
      </w:r>
      <w:r w:rsidRPr="0086132F">
        <w:t xml:space="preserve">oards (DHBs) during </w:t>
      </w:r>
      <w:r>
        <w:t>the funding round for 2015/16.</w:t>
      </w:r>
    </w:p>
    <w:p w:rsidR="006A2A53" w:rsidRPr="0086132F" w:rsidRDefault="006A2A53" w:rsidP="006A2A53"/>
    <w:p w:rsidR="00D60C04" w:rsidRDefault="006A2A53" w:rsidP="006A2A53">
      <w:r>
        <w:t>The 2015/16</w:t>
      </w:r>
      <w:r w:rsidRPr="0086132F">
        <w:t xml:space="preserve"> Purchasing Intentions are a guide for </w:t>
      </w:r>
      <w:r>
        <w:t xml:space="preserve">Māori health </w:t>
      </w:r>
      <w:r w:rsidR="00D60C04">
        <w:t>and</w:t>
      </w:r>
      <w:r>
        <w:t xml:space="preserve"> disability providers a</w:t>
      </w:r>
      <w:r w:rsidRPr="0086132F">
        <w:t>pplying to M</w:t>
      </w:r>
      <w:r>
        <w:t xml:space="preserve">āori </w:t>
      </w:r>
      <w:r w:rsidRPr="0086132F">
        <w:t>P</w:t>
      </w:r>
      <w:r>
        <w:t xml:space="preserve">rovider </w:t>
      </w:r>
      <w:r w:rsidRPr="0086132F">
        <w:t>D</w:t>
      </w:r>
      <w:r>
        <w:t xml:space="preserve">evelopment </w:t>
      </w:r>
      <w:r w:rsidRPr="0086132F">
        <w:t>S</w:t>
      </w:r>
      <w:r>
        <w:t>cheme (MPDS)</w:t>
      </w:r>
      <w:r w:rsidRPr="0086132F">
        <w:t xml:space="preserve"> for capability and capacity funding.</w:t>
      </w:r>
    </w:p>
    <w:p w:rsidR="006A2A53" w:rsidRPr="0086132F" w:rsidRDefault="006A2A53" w:rsidP="006A2A53"/>
    <w:p w:rsidR="006A2A53" w:rsidRPr="0086132F" w:rsidRDefault="006A2A53" w:rsidP="006A2A53">
      <w:r w:rsidRPr="0086132F">
        <w:t>MPDS funding will be allocated across four categories (as listed below).</w:t>
      </w:r>
    </w:p>
    <w:p w:rsidR="006A2A53" w:rsidRPr="0086132F" w:rsidRDefault="006A2A53" w:rsidP="006A2A53"/>
    <w:p w:rsidR="006A2A53" w:rsidRPr="0086132F" w:rsidRDefault="006A2A53" w:rsidP="00D60C04">
      <w:pPr>
        <w:pStyle w:val="Heading4"/>
      </w:pPr>
      <w:r w:rsidRPr="0086132F">
        <w:t>Category One – Provider Assistance</w:t>
      </w:r>
    </w:p>
    <w:p w:rsidR="006A2A53" w:rsidRPr="009B4B3A" w:rsidRDefault="006A2A53" w:rsidP="00D60C04">
      <w:pPr>
        <w:pStyle w:val="Bullet"/>
      </w:pPr>
      <w:r w:rsidRPr="009B4B3A">
        <w:t>Information Technology</w:t>
      </w:r>
    </w:p>
    <w:p w:rsidR="006A2A53" w:rsidRPr="009B4B3A" w:rsidRDefault="006A2A53" w:rsidP="00D60C04">
      <w:pPr>
        <w:pStyle w:val="Bullet"/>
      </w:pPr>
      <w:r w:rsidRPr="009B4B3A">
        <w:t>Infrastructure Support</w:t>
      </w:r>
    </w:p>
    <w:p w:rsidR="006A2A53" w:rsidRPr="0086132F" w:rsidRDefault="006A2A53" w:rsidP="006A2A53"/>
    <w:p w:rsidR="006A2A53" w:rsidRPr="0086132F" w:rsidRDefault="006A2A53" w:rsidP="00D60C04">
      <w:pPr>
        <w:pStyle w:val="Heading4"/>
      </w:pPr>
      <w:r w:rsidRPr="0086132F">
        <w:t>Category Two – Workforce</w:t>
      </w:r>
    </w:p>
    <w:p w:rsidR="006A2A53" w:rsidRPr="009B4B3A" w:rsidRDefault="006A2A53" w:rsidP="00D60C04">
      <w:pPr>
        <w:pStyle w:val="Bullet"/>
      </w:pPr>
      <w:r w:rsidRPr="009B4B3A">
        <w:t>Workforce Development</w:t>
      </w:r>
    </w:p>
    <w:p w:rsidR="006A2A53" w:rsidRPr="0086132F" w:rsidRDefault="006A2A53" w:rsidP="006A2A53"/>
    <w:p w:rsidR="006A2A53" w:rsidRPr="0086132F" w:rsidRDefault="006A2A53" w:rsidP="00D60C04">
      <w:pPr>
        <w:pStyle w:val="Heading4"/>
      </w:pPr>
      <w:r w:rsidRPr="0086132F">
        <w:t>Category Three – Service Integration</w:t>
      </w:r>
    </w:p>
    <w:p w:rsidR="006A2A53" w:rsidRPr="009B4B3A" w:rsidRDefault="006A2A53" w:rsidP="00D60C04">
      <w:pPr>
        <w:pStyle w:val="Bullet"/>
      </w:pPr>
      <w:r w:rsidRPr="009B4B3A">
        <w:t>Service Integration</w:t>
      </w:r>
    </w:p>
    <w:p w:rsidR="006A2A53" w:rsidRPr="0086132F" w:rsidRDefault="006A2A53" w:rsidP="006A2A53"/>
    <w:p w:rsidR="006A2A53" w:rsidRPr="0086132F" w:rsidRDefault="006A2A53" w:rsidP="00D60C04">
      <w:pPr>
        <w:pStyle w:val="Heading4"/>
      </w:pPr>
      <w:r w:rsidRPr="0086132F">
        <w:t>Category Four – Quality and Best Practice</w:t>
      </w:r>
    </w:p>
    <w:p w:rsidR="006A2A53" w:rsidRPr="009B4B3A" w:rsidRDefault="006A2A53" w:rsidP="00D60C04">
      <w:pPr>
        <w:pStyle w:val="Bullet"/>
      </w:pPr>
      <w:r w:rsidRPr="009B4B3A">
        <w:t>Quality</w:t>
      </w:r>
    </w:p>
    <w:p w:rsidR="006A2A53" w:rsidRPr="009B4B3A" w:rsidRDefault="006A2A53" w:rsidP="00D60C04">
      <w:pPr>
        <w:pStyle w:val="Bullet"/>
      </w:pPr>
      <w:r w:rsidRPr="009B4B3A">
        <w:t>Best Practice Models</w:t>
      </w:r>
    </w:p>
    <w:p w:rsidR="006A2A53" w:rsidRPr="0086132F" w:rsidRDefault="006A2A53" w:rsidP="006A2A53"/>
    <w:p w:rsidR="00D60C04" w:rsidRDefault="006A2A53" w:rsidP="006A2A53">
      <w:r w:rsidRPr="0086132F">
        <w:t xml:space="preserve">The </w:t>
      </w:r>
      <w:r>
        <w:t xml:space="preserve">2015/16 </w:t>
      </w:r>
      <w:r w:rsidRPr="0086132F">
        <w:t>Purchasing Intentions were developed in consultation with the MPDS Reference Group (Tumu Whakarae) to confirm the funding prior</w:t>
      </w:r>
      <w:r>
        <w:t>ities and processes for</w:t>
      </w:r>
      <w:r w:rsidRPr="0086132F">
        <w:t xml:space="preserve"> Māori health and disability providers.</w:t>
      </w:r>
    </w:p>
    <w:p w:rsidR="006A2A53" w:rsidRPr="0086132F" w:rsidRDefault="006A2A53" w:rsidP="006A2A53"/>
    <w:p w:rsidR="006A2A53" w:rsidRPr="0086132F" w:rsidRDefault="006A2A53" w:rsidP="006A2A53">
      <w:r w:rsidRPr="0086132F">
        <w:t>MPDS is administered and monitored by the Māori Health Service Improvement Group, Sector Capability and Implementation Business Unit, with an annual allocation of $8.89 million (GST exclusive).</w:t>
      </w:r>
    </w:p>
    <w:p w:rsidR="006A2A53" w:rsidRPr="0086132F" w:rsidRDefault="006A2A53" w:rsidP="006A2A53">
      <w:bookmarkStart w:id="4" w:name="_Toc256770831"/>
    </w:p>
    <w:p w:rsidR="006A2A53" w:rsidRPr="0086132F" w:rsidRDefault="006A2A53" w:rsidP="006A2A53">
      <w:r w:rsidRPr="0086132F">
        <w:br w:type="page"/>
      </w:r>
    </w:p>
    <w:p w:rsidR="006A2A53" w:rsidRPr="0086132F" w:rsidRDefault="006A2A53" w:rsidP="006A2A53">
      <w:pPr>
        <w:pBdr>
          <w:top w:val="single" w:sz="48" w:space="16" w:color="auto"/>
        </w:pBdr>
        <w:spacing w:after="360"/>
        <w:outlineLvl w:val="0"/>
        <w:rPr>
          <w:b/>
          <w:sz w:val="60"/>
        </w:rPr>
      </w:pPr>
      <w:bookmarkStart w:id="5" w:name="_Toc358191463"/>
      <w:bookmarkStart w:id="6" w:name="_Toc155741708"/>
      <w:bookmarkStart w:id="7" w:name="_Toc160506533"/>
      <w:bookmarkStart w:id="8" w:name="_Toc256770835"/>
      <w:bookmarkEnd w:id="4"/>
      <w:r>
        <w:rPr>
          <w:b/>
          <w:sz w:val="60"/>
        </w:rPr>
        <w:lastRenderedPageBreak/>
        <w:t>MPDS 2015/16</w:t>
      </w:r>
      <w:r w:rsidRPr="0086132F">
        <w:rPr>
          <w:b/>
          <w:sz w:val="60"/>
        </w:rPr>
        <w:t xml:space="preserve"> application</w:t>
      </w:r>
      <w:bookmarkEnd w:id="5"/>
    </w:p>
    <w:p w:rsidR="006A2A53" w:rsidRPr="0086132F" w:rsidRDefault="006A2A53" w:rsidP="006A2A53">
      <w:r>
        <w:t>The applications for the 2015/16</w:t>
      </w:r>
      <w:r w:rsidRPr="0086132F">
        <w:t xml:space="preserve"> </w:t>
      </w:r>
      <w:r>
        <w:t xml:space="preserve">Māori health and disability </w:t>
      </w:r>
      <w:r w:rsidRPr="0086132F">
        <w:t xml:space="preserve">provider funding round will be released on the Ministry website, opening on </w:t>
      </w:r>
      <w:r w:rsidR="005A2996">
        <w:rPr>
          <w:b/>
        </w:rPr>
        <w:t>4 February</w:t>
      </w:r>
      <w:r w:rsidRPr="009B4B3A">
        <w:rPr>
          <w:b/>
        </w:rPr>
        <w:t xml:space="preserve"> 2015</w:t>
      </w:r>
      <w:r>
        <w:t xml:space="preserve"> </w:t>
      </w:r>
      <w:r w:rsidRPr="0086132F">
        <w:t xml:space="preserve">and closing at 12 noon </w:t>
      </w:r>
      <w:r>
        <w:rPr>
          <w:b/>
        </w:rPr>
        <w:t>1</w:t>
      </w:r>
      <w:r w:rsidR="005A2996">
        <w:rPr>
          <w:b/>
        </w:rPr>
        <w:t>3</w:t>
      </w:r>
      <w:r w:rsidR="00D60C04">
        <w:rPr>
          <w:b/>
        </w:rPr>
        <w:t> </w:t>
      </w:r>
      <w:r>
        <w:rPr>
          <w:b/>
        </w:rPr>
        <w:t>March 2015</w:t>
      </w:r>
      <w:r w:rsidRPr="00D60C04">
        <w:t>.</w:t>
      </w:r>
      <w:r w:rsidR="00D60C04" w:rsidRPr="00D60C04">
        <w:t xml:space="preserve"> </w:t>
      </w:r>
      <w:r w:rsidRPr="0086132F">
        <w:t>Late applications will not be considered without prior agreement.</w:t>
      </w:r>
    </w:p>
    <w:p w:rsidR="006A2A53" w:rsidRPr="0086132F" w:rsidRDefault="006A2A53" w:rsidP="006A2A53"/>
    <w:p w:rsidR="00D60C04" w:rsidRDefault="006A2A53" w:rsidP="006A2A53">
      <w:r w:rsidRPr="0086132F">
        <w:t>All applications will be jointly assessed with the relevant DHB, including carrying out a risk assessment and due diligence.</w:t>
      </w:r>
    </w:p>
    <w:p w:rsidR="006A2A53" w:rsidRPr="0086132F" w:rsidRDefault="006A2A53" w:rsidP="006A2A53"/>
    <w:p w:rsidR="006A2A53" w:rsidRDefault="006A2A53" w:rsidP="006A2A53">
      <w:r w:rsidRPr="0086132F">
        <w:t xml:space="preserve">Due diligence will </w:t>
      </w:r>
      <w:r>
        <w:t xml:space="preserve">also </w:t>
      </w:r>
      <w:r w:rsidRPr="0086132F">
        <w:t xml:space="preserve">be undertaken in consultation with </w:t>
      </w:r>
      <w:r>
        <w:t xml:space="preserve">the Ministry of Social </w:t>
      </w:r>
      <w:proofErr w:type="gramStart"/>
      <w:r>
        <w:t>Development ,</w:t>
      </w:r>
      <w:proofErr w:type="gramEnd"/>
      <w:r>
        <w:t xml:space="preserve"> </w:t>
      </w:r>
      <w:r w:rsidRPr="0086132F">
        <w:t>Capability Investment Resource (CIR) programme</w:t>
      </w:r>
      <w:r>
        <w:t>.</w:t>
      </w:r>
      <w:r w:rsidR="00D60C04">
        <w:t xml:space="preserve"> </w:t>
      </w:r>
      <w:r w:rsidRPr="0086132F">
        <w:t xml:space="preserve">In particular, </w:t>
      </w:r>
      <w:r>
        <w:t xml:space="preserve">a due diligence process is </w:t>
      </w:r>
      <w:r w:rsidRPr="0086132F">
        <w:t xml:space="preserve">in place to ensure any application that is already funded by another government grant scheme will </w:t>
      </w:r>
      <w:r w:rsidRPr="0086132F">
        <w:rPr>
          <w:b/>
        </w:rPr>
        <w:t>not be</w:t>
      </w:r>
      <w:r w:rsidRPr="0086132F">
        <w:t xml:space="preserve"> </w:t>
      </w:r>
      <w:r w:rsidRPr="0086132F">
        <w:rPr>
          <w:b/>
        </w:rPr>
        <w:t>funded</w:t>
      </w:r>
      <w:r w:rsidRPr="0086132F">
        <w:t xml:space="preserve"> through MPDS.</w:t>
      </w:r>
    </w:p>
    <w:p w:rsidR="006A2A53" w:rsidRDefault="006A2A53" w:rsidP="006A2A53"/>
    <w:p w:rsidR="006A2A53" w:rsidRPr="0086132F" w:rsidRDefault="006A2A53" w:rsidP="00D60C04">
      <w:pPr>
        <w:pStyle w:val="Heading2"/>
      </w:pPr>
      <w:bookmarkStart w:id="9" w:name="_Toc410155459"/>
      <w:r>
        <w:t xml:space="preserve">Funding </w:t>
      </w:r>
      <w:r w:rsidR="00D60C04">
        <w:t>s</w:t>
      </w:r>
      <w:r>
        <w:t>treams</w:t>
      </w:r>
      <w:bookmarkEnd w:id="9"/>
    </w:p>
    <w:p w:rsidR="006A2A53" w:rsidRPr="0086132F" w:rsidRDefault="006A2A53" w:rsidP="006A2A53">
      <w:pPr>
        <w:rPr>
          <w:bCs/>
        </w:rPr>
      </w:pPr>
      <w:r>
        <w:t xml:space="preserve">In 2015/16 </w:t>
      </w:r>
      <w:r w:rsidRPr="0086132F">
        <w:t xml:space="preserve">MPDS </w:t>
      </w:r>
      <w:r>
        <w:t xml:space="preserve">will be divided into three </w:t>
      </w:r>
      <w:r w:rsidRPr="0086132F">
        <w:t>funding streams</w:t>
      </w:r>
      <w:r w:rsidRPr="0086132F">
        <w:rPr>
          <w:bCs/>
        </w:rPr>
        <w:t>:</w:t>
      </w:r>
    </w:p>
    <w:p w:rsidR="006A2A53" w:rsidRPr="0086132F" w:rsidRDefault="006A2A53" w:rsidP="006A2A53">
      <w:pPr>
        <w:spacing w:before="90"/>
        <w:ind w:left="567" w:hanging="567"/>
      </w:pPr>
      <w:r w:rsidRPr="0086132F">
        <w:t>1.</w:t>
      </w:r>
      <w:r w:rsidRPr="0086132F">
        <w:tab/>
      </w:r>
      <w:r>
        <w:t>R</w:t>
      </w:r>
      <w:r w:rsidRPr="0086132F">
        <w:t xml:space="preserve">egional Māori health and disability </w:t>
      </w:r>
      <w:r w:rsidRPr="00BD3707">
        <w:t>providers (see page 5)</w:t>
      </w:r>
    </w:p>
    <w:p w:rsidR="006A2A53" w:rsidRPr="0086132F" w:rsidRDefault="006A2A53" w:rsidP="006A2A53">
      <w:pPr>
        <w:spacing w:before="90"/>
        <w:ind w:left="567" w:hanging="567"/>
      </w:pPr>
      <w:r w:rsidRPr="0086132F">
        <w:t>2.</w:t>
      </w:r>
      <w:r w:rsidRPr="0086132F">
        <w:tab/>
      </w:r>
      <w:r>
        <w:t>N</w:t>
      </w:r>
      <w:r w:rsidRPr="0086132F">
        <w:t xml:space="preserve">ational Māori health </w:t>
      </w:r>
      <w:r>
        <w:t xml:space="preserve">and disability </w:t>
      </w:r>
      <w:r w:rsidRPr="00BD3707">
        <w:t>providers (see page 7)</w:t>
      </w:r>
    </w:p>
    <w:p w:rsidR="006A2A53" w:rsidRPr="0086132F" w:rsidRDefault="006A2A53" w:rsidP="006A2A53">
      <w:pPr>
        <w:spacing w:before="90"/>
        <w:ind w:left="567" w:hanging="567"/>
      </w:pPr>
      <w:r>
        <w:t>3</w:t>
      </w:r>
      <w:r w:rsidRPr="0086132F">
        <w:t>.</w:t>
      </w:r>
      <w:r w:rsidRPr="0086132F">
        <w:tab/>
        <w:t xml:space="preserve">Hauora Māori </w:t>
      </w:r>
      <w:r w:rsidRPr="00BD3707">
        <w:t>scholarships (see page 8).</w:t>
      </w:r>
    </w:p>
    <w:p w:rsidR="006A2A53" w:rsidRPr="0086132F" w:rsidRDefault="006A2A53" w:rsidP="00D60C04"/>
    <w:p w:rsidR="006A2A53" w:rsidRPr="0086132F" w:rsidRDefault="006A2A53" w:rsidP="006A2A53">
      <w:r w:rsidRPr="0086132F">
        <w:t xml:space="preserve">Table 1 provides a breakdown </w:t>
      </w:r>
      <w:r>
        <w:t>of available funding for 2015/16</w:t>
      </w:r>
      <w:r w:rsidRPr="0086132F">
        <w:t>.</w:t>
      </w:r>
    </w:p>
    <w:p w:rsidR="006A2A53" w:rsidRPr="0086132F" w:rsidRDefault="006A2A53" w:rsidP="006A2A53"/>
    <w:p w:rsidR="006A2A53" w:rsidRPr="00D60C04" w:rsidRDefault="006A2A53" w:rsidP="00D60C04">
      <w:pPr>
        <w:pStyle w:val="Table"/>
      </w:pPr>
      <w:bookmarkStart w:id="10" w:name="_Toc360019036"/>
      <w:r w:rsidRPr="00D60C04">
        <w:t>Table 1: Available funding for MPDS 2015/1</w:t>
      </w:r>
      <w:bookmarkEnd w:id="10"/>
      <w:r w:rsidRPr="00D60C04">
        <w:t>6</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536"/>
        <w:gridCol w:w="1843"/>
      </w:tblGrid>
      <w:tr w:rsidR="006A2A53" w:rsidRPr="00D60C04" w:rsidTr="00D60C04">
        <w:trPr>
          <w:cantSplit/>
        </w:trPr>
        <w:tc>
          <w:tcPr>
            <w:tcW w:w="4536" w:type="dxa"/>
            <w:tcBorders>
              <w:top w:val="single" w:sz="4" w:space="0" w:color="auto"/>
              <w:bottom w:val="single" w:sz="4" w:space="0" w:color="auto"/>
            </w:tcBorders>
            <w:noWrap/>
            <w:hideMark/>
          </w:tcPr>
          <w:p w:rsidR="006A2A53" w:rsidRPr="00D60C04" w:rsidRDefault="006A2A53" w:rsidP="00D60C04">
            <w:pPr>
              <w:pStyle w:val="TableText"/>
              <w:rPr>
                <w:b/>
              </w:rPr>
            </w:pPr>
            <w:r w:rsidRPr="00D60C04">
              <w:rPr>
                <w:b/>
              </w:rPr>
              <w:t>MPDS stream</w:t>
            </w:r>
          </w:p>
        </w:tc>
        <w:tc>
          <w:tcPr>
            <w:tcW w:w="1843" w:type="dxa"/>
            <w:tcBorders>
              <w:top w:val="single" w:sz="4" w:space="0" w:color="auto"/>
              <w:bottom w:val="single" w:sz="4" w:space="0" w:color="auto"/>
            </w:tcBorders>
            <w:noWrap/>
            <w:hideMark/>
          </w:tcPr>
          <w:p w:rsidR="006A2A53" w:rsidRPr="00D60C04" w:rsidRDefault="006A2A53" w:rsidP="00D60C04">
            <w:pPr>
              <w:pStyle w:val="TableText"/>
              <w:jc w:val="center"/>
              <w:rPr>
                <w:b/>
              </w:rPr>
            </w:pPr>
            <w:r w:rsidRPr="00D60C04">
              <w:rPr>
                <w:b/>
              </w:rPr>
              <w:t>Total</w:t>
            </w:r>
            <w:r w:rsidRPr="00D60C04">
              <w:rPr>
                <w:b/>
              </w:rPr>
              <w:br/>
              <w:t>(GST exclusive)</w:t>
            </w:r>
          </w:p>
        </w:tc>
      </w:tr>
      <w:tr w:rsidR="006A2A53" w:rsidRPr="0086132F" w:rsidTr="00D60C04">
        <w:trPr>
          <w:cantSplit/>
        </w:trPr>
        <w:tc>
          <w:tcPr>
            <w:tcW w:w="4536" w:type="dxa"/>
            <w:tcBorders>
              <w:top w:val="single" w:sz="4" w:space="0" w:color="auto"/>
              <w:bottom w:val="single" w:sz="4" w:space="0" w:color="A6A6A6" w:themeColor="background1" w:themeShade="A6"/>
            </w:tcBorders>
            <w:hideMark/>
          </w:tcPr>
          <w:p w:rsidR="006A2A53" w:rsidRPr="0086132F" w:rsidRDefault="006A2A53" w:rsidP="00D60C04">
            <w:pPr>
              <w:pStyle w:val="TableText"/>
            </w:pPr>
            <w:r w:rsidRPr="0086132F">
              <w:t>Māori health and disability providers</w:t>
            </w:r>
            <w:r>
              <w:t xml:space="preserve"> (DHB based)</w:t>
            </w:r>
          </w:p>
        </w:tc>
        <w:tc>
          <w:tcPr>
            <w:tcW w:w="1843" w:type="dxa"/>
            <w:tcBorders>
              <w:top w:val="single" w:sz="4" w:space="0" w:color="auto"/>
              <w:bottom w:val="single" w:sz="4" w:space="0" w:color="A6A6A6" w:themeColor="background1" w:themeShade="A6"/>
            </w:tcBorders>
            <w:shd w:val="clear" w:color="auto" w:fill="auto"/>
            <w:noWrap/>
            <w:hideMark/>
          </w:tcPr>
          <w:p w:rsidR="006A2A53" w:rsidRPr="0086132F" w:rsidRDefault="006A2A53" w:rsidP="00D60C04">
            <w:pPr>
              <w:pStyle w:val="TableText"/>
              <w:tabs>
                <w:tab w:val="decimal" w:pos="1219"/>
              </w:tabs>
            </w:pPr>
            <w:r>
              <w:t>$4,008,049.34</w:t>
            </w:r>
          </w:p>
        </w:tc>
      </w:tr>
      <w:tr w:rsidR="006A2A53" w:rsidRPr="0086132F" w:rsidTr="00D60C04">
        <w:trPr>
          <w:cantSplit/>
        </w:trPr>
        <w:tc>
          <w:tcPr>
            <w:tcW w:w="4536" w:type="dxa"/>
            <w:tcBorders>
              <w:top w:val="single" w:sz="4" w:space="0" w:color="A6A6A6" w:themeColor="background1" w:themeShade="A6"/>
              <w:bottom w:val="single" w:sz="4" w:space="0" w:color="A6A6A6" w:themeColor="background1" w:themeShade="A6"/>
            </w:tcBorders>
            <w:hideMark/>
          </w:tcPr>
          <w:p w:rsidR="006A2A53" w:rsidRPr="0086132F" w:rsidRDefault="006A2A53" w:rsidP="00D60C04">
            <w:pPr>
              <w:pStyle w:val="TableText"/>
            </w:pPr>
            <w:r w:rsidRPr="0086132F">
              <w:t xml:space="preserve">National Māori health </w:t>
            </w:r>
            <w:r>
              <w:t xml:space="preserve">and disability </w:t>
            </w:r>
            <w:r w:rsidRPr="0086132F">
              <w:t>providers</w:t>
            </w:r>
          </w:p>
        </w:tc>
        <w:tc>
          <w:tcPr>
            <w:tcW w:w="1843" w:type="dxa"/>
            <w:tcBorders>
              <w:top w:val="single" w:sz="4" w:space="0" w:color="A6A6A6" w:themeColor="background1" w:themeShade="A6"/>
              <w:bottom w:val="single" w:sz="4" w:space="0" w:color="A6A6A6" w:themeColor="background1" w:themeShade="A6"/>
            </w:tcBorders>
            <w:shd w:val="clear" w:color="auto" w:fill="auto"/>
            <w:noWrap/>
            <w:hideMark/>
          </w:tcPr>
          <w:p w:rsidR="006A2A53" w:rsidRPr="0086132F" w:rsidRDefault="006A2A53" w:rsidP="00D60C04">
            <w:pPr>
              <w:pStyle w:val="TableText"/>
              <w:tabs>
                <w:tab w:val="decimal" w:pos="1219"/>
              </w:tabs>
            </w:pPr>
            <w:r>
              <w:t>$1,200,000.00</w:t>
            </w:r>
          </w:p>
        </w:tc>
      </w:tr>
      <w:tr w:rsidR="006A2A53" w:rsidRPr="0086132F" w:rsidTr="00D60C04">
        <w:trPr>
          <w:cantSplit/>
        </w:trPr>
        <w:tc>
          <w:tcPr>
            <w:tcW w:w="4536" w:type="dxa"/>
            <w:tcBorders>
              <w:top w:val="single" w:sz="4" w:space="0" w:color="A6A6A6" w:themeColor="background1" w:themeShade="A6"/>
              <w:bottom w:val="single" w:sz="4" w:space="0" w:color="A6A6A6" w:themeColor="background1" w:themeShade="A6"/>
            </w:tcBorders>
            <w:hideMark/>
          </w:tcPr>
          <w:p w:rsidR="006A2A53" w:rsidRPr="0086132F" w:rsidRDefault="006A2A53" w:rsidP="00D60C04">
            <w:pPr>
              <w:pStyle w:val="TableText"/>
            </w:pPr>
            <w:r w:rsidRPr="0086132F">
              <w:t>Hauora Māori scholarships</w:t>
            </w:r>
          </w:p>
        </w:tc>
        <w:tc>
          <w:tcPr>
            <w:tcW w:w="1843" w:type="dxa"/>
            <w:tcBorders>
              <w:top w:val="single" w:sz="4" w:space="0" w:color="A6A6A6" w:themeColor="background1" w:themeShade="A6"/>
              <w:bottom w:val="single" w:sz="4" w:space="0" w:color="A6A6A6" w:themeColor="background1" w:themeShade="A6"/>
            </w:tcBorders>
            <w:shd w:val="clear" w:color="auto" w:fill="auto"/>
            <w:noWrap/>
            <w:hideMark/>
          </w:tcPr>
          <w:p w:rsidR="006A2A53" w:rsidRPr="0086132F" w:rsidRDefault="006A2A53" w:rsidP="00D60C04">
            <w:pPr>
              <w:pStyle w:val="TableText"/>
              <w:tabs>
                <w:tab w:val="decimal" w:pos="1219"/>
              </w:tabs>
            </w:pPr>
            <w:r w:rsidRPr="0086132F">
              <w:t>$</w:t>
            </w:r>
            <w:r>
              <w:t>1,237,500.00</w:t>
            </w:r>
          </w:p>
        </w:tc>
      </w:tr>
      <w:tr w:rsidR="006A2A53" w:rsidRPr="00D60C04" w:rsidTr="00D60C04">
        <w:trPr>
          <w:cantSplit/>
        </w:trPr>
        <w:tc>
          <w:tcPr>
            <w:tcW w:w="4536" w:type="dxa"/>
            <w:tcBorders>
              <w:top w:val="single" w:sz="4" w:space="0" w:color="A6A6A6" w:themeColor="background1" w:themeShade="A6"/>
              <w:bottom w:val="single" w:sz="4" w:space="0" w:color="auto"/>
            </w:tcBorders>
            <w:noWrap/>
            <w:hideMark/>
          </w:tcPr>
          <w:p w:rsidR="006A2A53" w:rsidRPr="00D60C04" w:rsidRDefault="006A2A53" w:rsidP="00D60C04">
            <w:pPr>
              <w:pStyle w:val="TableText"/>
              <w:rPr>
                <w:b/>
              </w:rPr>
            </w:pPr>
            <w:r w:rsidRPr="00D60C04">
              <w:rPr>
                <w:b/>
              </w:rPr>
              <w:t>Total</w:t>
            </w:r>
          </w:p>
        </w:tc>
        <w:tc>
          <w:tcPr>
            <w:tcW w:w="1843" w:type="dxa"/>
            <w:tcBorders>
              <w:top w:val="single" w:sz="4" w:space="0" w:color="A6A6A6" w:themeColor="background1" w:themeShade="A6"/>
              <w:bottom w:val="single" w:sz="4" w:space="0" w:color="auto"/>
            </w:tcBorders>
            <w:shd w:val="clear" w:color="auto" w:fill="auto"/>
            <w:noWrap/>
            <w:hideMark/>
          </w:tcPr>
          <w:p w:rsidR="006A2A53" w:rsidRPr="00D60C04" w:rsidRDefault="006A2A53" w:rsidP="00D60C04">
            <w:pPr>
              <w:pStyle w:val="TableText"/>
              <w:tabs>
                <w:tab w:val="decimal" w:pos="1219"/>
              </w:tabs>
              <w:rPr>
                <w:b/>
              </w:rPr>
            </w:pPr>
            <w:r w:rsidRPr="00D60C04">
              <w:rPr>
                <w:b/>
              </w:rPr>
              <w:t>$6,445,549.34</w:t>
            </w:r>
          </w:p>
        </w:tc>
      </w:tr>
    </w:tbl>
    <w:p w:rsidR="006A2A53" w:rsidRPr="0086132F" w:rsidRDefault="006A2A53" w:rsidP="006A2A53"/>
    <w:p w:rsidR="006A2A53" w:rsidRPr="0086132F" w:rsidRDefault="006A2A53" w:rsidP="006A2A53">
      <w:r w:rsidRPr="0086132F">
        <w:t xml:space="preserve">Three-year contracts were </w:t>
      </w:r>
      <w:r>
        <w:t>signed</w:t>
      </w:r>
      <w:r w:rsidRPr="0086132F">
        <w:t xml:space="preserve"> for Māori health and disability providers in 2013/14.</w:t>
      </w:r>
      <w:r w:rsidR="00D60C04">
        <w:t xml:space="preserve"> </w:t>
      </w:r>
      <w:r w:rsidRPr="0086132F">
        <w:t>Less funding is available in this funding stream for 2015/16 due to active MPDS contracts for these years.</w:t>
      </w:r>
    </w:p>
    <w:p w:rsidR="006A2A53" w:rsidRPr="0086132F" w:rsidRDefault="006A2A53" w:rsidP="006A2A53"/>
    <w:p w:rsidR="006A2A53" w:rsidRPr="0086132F" w:rsidRDefault="006A2A53" w:rsidP="00D60C04">
      <w:pPr>
        <w:pStyle w:val="Heading2"/>
      </w:pPr>
      <w:bookmarkStart w:id="11" w:name="_Toc285630817"/>
      <w:bookmarkStart w:id="12" w:name="_Toc321228619"/>
      <w:bookmarkStart w:id="13" w:name="_Toc321229374"/>
      <w:bookmarkStart w:id="14" w:name="_Toc358191465"/>
      <w:bookmarkStart w:id="15" w:name="_Toc410155460"/>
      <w:r w:rsidRPr="0086132F">
        <w:t>MPDS assessment process</w:t>
      </w:r>
      <w:bookmarkEnd w:id="11"/>
      <w:bookmarkEnd w:id="12"/>
      <w:bookmarkEnd w:id="13"/>
      <w:bookmarkEnd w:id="14"/>
      <w:bookmarkEnd w:id="15"/>
    </w:p>
    <w:p w:rsidR="006A2A53" w:rsidRPr="0086132F" w:rsidRDefault="006A2A53" w:rsidP="006A2A53">
      <w:r w:rsidRPr="0086132F">
        <w:t xml:space="preserve">As a first step in seeking MPDS funding, all Māori health </w:t>
      </w:r>
      <w:r>
        <w:t xml:space="preserve">and disability </w:t>
      </w:r>
      <w:r w:rsidRPr="0086132F">
        <w:t>providers must lodge an application in the correct format.</w:t>
      </w:r>
      <w:r w:rsidR="00D60C04">
        <w:t xml:space="preserve"> </w:t>
      </w:r>
      <w:r w:rsidRPr="0086132F">
        <w:t>If that application meets the eligibility criteria, it will be assessed.</w:t>
      </w:r>
    </w:p>
    <w:p w:rsidR="006A2A53" w:rsidRPr="0086132F" w:rsidRDefault="006A2A53" w:rsidP="006A2A53"/>
    <w:p w:rsidR="00D60C04" w:rsidRDefault="006A2A53" w:rsidP="006A2A53">
      <w:r w:rsidRPr="0086132F">
        <w:t>Providers will be required to submit an electronic application.</w:t>
      </w:r>
    </w:p>
    <w:p w:rsidR="006A2A53" w:rsidRDefault="006A2A53" w:rsidP="006A2A53"/>
    <w:p w:rsidR="006A2A53" w:rsidRPr="0086132F" w:rsidRDefault="006A2A53" w:rsidP="00D60C04">
      <w:pPr>
        <w:keepLines/>
      </w:pPr>
      <w:r w:rsidRPr="0086132F">
        <w:lastRenderedPageBreak/>
        <w:t xml:space="preserve">There is no requirement for quotes to accompany items under </w:t>
      </w:r>
      <w:r w:rsidRPr="0086132F">
        <w:rPr>
          <w:b/>
        </w:rPr>
        <w:t>$5,000.00</w:t>
      </w:r>
      <w:r w:rsidRPr="0086132F">
        <w:t>.</w:t>
      </w:r>
      <w:r w:rsidR="00D60C04">
        <w:t xml:space="preserve"> </w:t>
      </w:r>
      <w:r w:rsidRPr="0086132F">
        <w:t>Please note that applications for equipment through MPDS must align to deficits identified in the M</w:t>
      </w:r>
      <w:r>
        <w:t xml:space="preserve">āori </w:t>
      </w:r>
      <w:r w:rsidRPr="0086132F">
        <w:t>P</w:t>
      </w:r>
      <w:r>
        <w:t xml:space="preserve">rovider </w:t>
      </w:r>
      <w:r w:rsidRPr="0086132F">
        <w:t>C</w:t>
      </w:r>
      <w:r>
        <w:t xml:space="preserve">apacity </w:t>
      </w:r>
      <w:r w:rsidRPr="0086132F">
        <w:t>A</w:t>
      </w:r>
      <w:r>
        <w:t xml:space="preserve">ssessment </w:t>
      </w:r>
      <w:r w:rsidRPr="0086132F">
        <w:t>T</w:t>
      </w:r>
      <w:r>
        <w:t>ool</w:t>
      </w:r>
      <w:r w:rsidRPr="0086132F">
        <w:t xml:space="preserve"> assessment or the equipment must support the strategic direction of the</w:t>
      </w:r>
      <w:r>
        <w:t xml:space="preserve"> providers</w:t>
      </w:r>
      <w:r w:rsidRPr="0086132F">
        <w:t xml:space="preserve"> ODP.</w:t>
      </w:r>
    </w:p>
    <w:p w:rsidR="006A2A53" w:rsidRPr="0086132F" w:rsidRDefault="006A2A53" w:rsidP="006A2A53"/>
    <w:p w:rsidR="006A2A53" w:rsidRPr="0086132F" w:rsidRDefault="006A2A53" w:rsidP="006A2A53">
      <w:r w:rsidRPr="0086132F">
        <w:t>For each DHB region, joint assessments of applications will be undertaken by the assessment panel (representatives from Ministry and DHB).</w:t>
      </w:r>
      <w:r w:rsidR="00D60C04">
        <w:t xml:space="preserve"> </w:t>
      </w:r>
      <w:r w:rsidRPr="0086132F">
        <w:t>Once the assessments are completed, providers will be invited to meet with the assessment panel to negotiate a final contract.</w:t>
      </w:r>
    </w:p>
    <w:p w:rsidR="006A2A53" w:rsidRPr="0086132F" w:rsidRDefault="006A2A53" w:rsidP="006A2A53"/>
    <w:p w:rsidR="006A2A53" w:rsidRPr="0086132F" w:rsidRDefault="006A2A53" w:rsidP="006A2A53">
      <w:r w:rsidRPr="0086132F">
        <w:t xml:space="preserve">For national </w:t>
      </w:r>
      <w:r>
        <w:t xml:space="preserve">Māori health and national Māori disability </w:t>
      </w:r>
      <w:r w:rsidRPr="0086132F">
        <w:t>providers the Ministry (including a representative from Health Workforce NZ and Disability S</w:t>
      </w:r>
      <w:r>
        <w:t>upport</w:t>
      </w:r>
      <w:r w:rsidRPr="0086132F">
        <w:t xml:space="preserve"> Services) will undertake an assessment of the application.</w:t>
      </w:r>
      <w:r w:rsidR="00D60C04">
        <w:t xml:space="preserve"> </w:t>
      </w:r>
      <w:r w:rsidRPr="0086132F">
        <w:t xml:space="preserve">Once this assessment is completed, </w:t>
      </w:r>
      <w:r>
        <w:t xml:space="preserve">these </w:t>
      </w:r>
      <w:r w:rsidRPr="0086132F">
        <w:t>providers will be invited to a</w:t>
      </w:r>
      <w:r>
        <w:t>ttend a meeting to negotiate a final</w:t>
      </w:r>
      <w:r w:rsidRPr="0086132F">
        <w:t xml:space="preserve"> contract.</w:t>
      </w:r>
    </w:p>
    <w:p w:rsidR="006A2A53" w:rsidRPr="0086132F" w:rsidRDefault="006A2A53" w:rsidP="006A2A53"/>
    <w:p w:rsidR="006A2A53" w:rsidRPr="0086132F" w:rsidRDefault="006A2A53" w:rsidP="006A2A53">
      <w:pPr>
        <w:keepNext/>
        <w:spacing w:before="120" w:after="120"/>
        <w:outlineLvl w:val="1"/>
        <w:rPr>
          <w:b/>
          <w:sz w:val="40"/>
        </w:rPr>
      </w:pPr>
      <w:bookmarkStart w:id="16" w:name="_Toc358191464"/>
      <w:r w:rsidRPr="00951ED9">
        <w:rPr>
          <w:b/>
          <w:sz w:val="40"/>
        </w:rPr>
        <w:t>Māori Provider Capacity Assessment Tool</w:t>
      </w:r>
      <w:bookmarkEnd w:id="16"/>
    </w:p>
    <w:p w:rsidR="006A2A53" w:rsidRPr="0086132F" w:rsidRDefault="006A2A53" w:rsidP="006A2A53">
      <w:r w:rsidRPr="0086132F">
        <w:t>The Māori Provider Capacity Assessment Tool (MPCAT) is a central tool for determining the needs of MPDS providers and measuring improvements in capacity and capability development.</w:t>
      </w:r>
    </w:p>
    <w:p w:rsidR="006A2A53" w:rsidRPr="0086132F" w:rsidRDefault="006A2A53" w:rsidP="006A2A53"/>
    <w:p w:rsidR="006A2A53" w:rsidRPr="0086132F" w:rsidRDefault="006A2A53" w:rsidP="006A2A53">
      <w:r w:rsidRPr="0086132F">
        <w:t>MPCAT is a self-assessment instrument that helps</w:t>
      </w:r>
      <w:r>
        <w:t>,</w:t>
      </w:r>
      <w:r w:rsidRPr="0086132F">
        <w:t xml:space="preserve"> Māori </w:t>
      </w:r>
      <w:r>
        <w:t xml:space="preserve">health and disability </w:t>
      </w:r>
      <w:r w:rsidRPr="0086132F">
        <w:t>providers</w:t>
      </w:r>
      <w:r>
        <w:t>,</w:t>
      </w:r>
      <w:r w:rsidRPr="0086132F">
        <w:t xml:space="preserve"> identify capacity strengths and indicates areas for further development.</w:t>
      </w:r>
      <w:r w:rsidR="00D60C04">
        <w:t xml:space="preserve"> </w:t>
      </w:r>
      <w:r w:rsidRPr="0086132F">
        <w:t>Information provided within the MPCAT will assist both the Ministry of Health and Māori health providers to determine the appropriate investment required while also providing a useful framework for measuring growth in organisational capacity over time.</w:t>
      </w:r>
    </w:p>
    <w:p w:rsidR="006A2A53" w:rsidRPr="0086132F" w:rsidRDefault="006A2A53" w:rsidP="006A2A53"/>
    <w:p w:rsidR="006A2A53" w:rsidRPr="0086132F" w:rsidRDefault="006A2A53" w:rsidP="006A2A53">
      <w:r w:rsidRPr="0086132F">
        <w:t>In 201</w:t>
      </w:r>
      <w:r>
        <w:t>5</w:t>
      </w:r>
      <w:r w:rsidRPr="0086132F">
        <w:t>/1</w:t>
      </w:r>
      <w:r>
        <w:t>6</w:t>
      </w:r>
      <w:r w:rsidRPr="0086132F">
        <w:t xml:space="preserve"> the Ministry of Health requires all</w:t>
      </w:r>
      <w:r w:rsidRPr="0086132F">
        <w:rPr>
          <w:b/>
        </w:rPr>
        <w:t xml:space="preserve"> </w:t>
      </w:r>
      <w:r w:rsidRPr="0010406C">
        <w:t>MPDS a</w:t>
      </w:r>
      <w:r>
        <w:t xml:space="preserve">pplicants </w:t>
      </w:r>
      <w:r w:rsidRPr="0086132F">
        <w:t>who have not already completed an assessment in 201</w:t>
      </w:r>
      <w:r>
        <w:t>4</w:t>
      </w:r>
      <w:r w:rsidRPr="0086132F">
        <w:t>/1</w:t>
      </w:r>
      <w:r>
        <w:t>5</w:t>
      </w:r>
      <w:r w:rsidRPr="0086132F">
        <w:t xml:space="preserve"> to complete the self-assessment process.</w:t>
      </w:r>
    </w:p>
    <w:p w:rsidR="006A2A53" w:rsidRPr="0086132F" w:rsidRDefault="006A2A53" w:rsidP="006A2A53"/>
    <w:p w:rsidR="006A2A53" w:rsidRPr="0086132F" w:rsidRDefault="006A2A53" w:rsidP="006A2A53">
      <w:r w:rsidRPr="0086132F">
        <w:t>To access MPCAT, email all enquiries directly to:</w:t>
      </w:r>
    </w:p>
    <w:p w:rsidR="006A2A53" w:rsidRPr="00D60C04" w:rsidRDefault="006A2A53" w:rsidP="006A2A53">
      <w:pPr>
        <w:spacing w:before="120"/>
        <w:ind w:left="567"/>
      </w:pPr>
      <w:r w:rsidRPr="0086132F">
        <w:t>Tony Lewis</w:t>
      </w:r>
    </w:p>
    <w:p w:rsidR="006A2A53" w:rsidRPr="00D60C04" w:rsidRDefault="006A2A53" w:rsidP="006A2A53">
      <w:pPr>
        <w:ind w:left="567"/>
      </w:pPr>
      <w:r w:rsidRPr="00D60C04">
        <w:t>CBG Research Ltd</w:t>
      </w:r>
    </w:p>
    <w:p w:rsidR="006A2A53" w:rsidRPr="00D60C04" w:rsidRDefault="00684867" w:rsidP="006A2A53">
      <w:pPr>
        <w:ind w:firstLine="567"/>
      </w:pPr>
      <w:hyperlink r:id="rId16" w:history="1">
        <w:r w:rsidR="006A2A53" w:rsidRPr="00D60C04">
          <w:t>tony.lewis@cbg.co.nz</w:t>
        </w:r>
      </w:hyperlink>
    </w:p>
    <w:p w:rsidR="006A2A53" w:rsidRPr="0086132F" w:rsidRDefault="006A2A53" w:rsidP="00D60C04"/>
    <w:p w:rsidR="006A2A53" w:rsidRDefault="006A2A53" w:rsidP="00D60C04">
      <w:bookmarkStart w:id="17" w:name="_Toc357515971"/>
      <w:bookmarkStart w:id="18" w:name="_Toc358191466"/>
      <w:r>
        <w:br w:type="page"/>
      </w:r>
    </w:p>
    <w:p w:rsidR="006A2A53" w:rsidRPr="0086132F" w:rsidRDefault="006A2A53" w:rsidP="00D60C04">
      <w:pPr>
        <w:pStyle w:val="Heading2"/>
      </w:pPr>
      <w:bookmarkStart w:id="19" w:name="_Toc410155461"/>
      <w:r w:rsidRPr="0086132F">
        <w:lastRenderedPageBreak/>
        <w:t xml:space="preserve">Contracting </w:t>
      </w:r>
      <w:r w:rsidR="00D60C04">
        <w:t>p</w:t>
      </w:r>
      <w:r w:rsidRPr="0086132F">
        <w:t>athways</w:t>
      </w:r>
      <w:bookmarkEnd w:id="17"/>
      <w:bookmarkEnd w:id="18"/>
      <w:bookmarkEnd w:id="19"/>
    </w:p>
    <w:p w:rsidR="006A2A53" w:rsidRDefault="006A2A53" w:rsidP="006A2A53">
      <w:r>
        <w:t>In 2015/16 there will be one contracting pathway for all applicants to MPDS.</w:t>
      </w:r>
    </w:p>
    <w:p w:rsidR="006A2A53" w:rsidRPr="0086132F" w:rsidRDefault="006A2A53" w:rsidP="006A2A53"/>
    <w:p w:rsidR="006A2A53" w:rsidRDefault="006A2A53" w:rsidP="00D60C04">
      <w:pPr>
        <w:pStyle w:val="Heading3"/>
        <w:rPr>
          <w:noProof/>
          <w:lang w:eastAsia="en-NZ"/>
        </w:rPr>
      </w:pPr>
      <w:r w:rsidRPr="0086132F">
        <w:rPr>
          <w:noProof/>
          <w:lang w:eastAsia="en-NZ"/>
        </w:rPr>
        <w:t>Development pathway – one-year MPDS contracts</w:t>
      </w:r>
    </w:p>
    <w:p w:rsidR="006A2A53" w:rsidRPr="0086132F" w:rsidRDefault="007D080F" w:rsidP="007D080F">
      <w:r>
        <w:rPr>
          <w:noProof/>
          <w:lang w:eastAsia="en-NZ"/>
        </w:rPr>
        <w:drawing>
          <wp:inline distT="0" distB="0" distL="0" distR="0" wp14:anchorId="0E7C9C6A">
            <wp:extent cx="5943600" cy="1667827"/>
            <wp:effectExtent l="0" t="0" r="0" b="8890"/>
            <wp:docPr id="1" name="Picture 1" descr="Diagram showing the development pathway – one-year MPDS contracts" title="development pathway – one-year MPDS cont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1275" cy="1669981"/>
                    </a:xfrm>
                    <a:prstGeom prst="rect">
                      <a:avLst/>
                    </a:prstGeom>
                    <a:noFill/>
                  </pic:spPr>
                </pic:pic>
              </a:graphicData>
            </a:graphic>
          </wp:inline>
        </w:drawing>
      </w:r>
    </w:p>
    <w:p w:rsidR="006A2A53" w:rsidRPr="0086132F" w:rsidRDefault="006A2A53" w:rsidP="007D080F">
      <w:pPr>
        <w:rPr>
          <w:noProof/>
          <w:lang w:eastAsia="en-NZ"/>
        </w:rPr>
      </w:pPr>
    </w:p>
    <w:p w:rsidR="006A2A53" w:rsidRPr="0086132F" w:rsidRDefault="006A2A53" w:rsidP="007D080F">
      <w:pPr>
        <w:pStyle w:val="Heading2"/>
      </w:pPr>
      <w:bookmarkStart w:id="20" w:name="_Toc410155462"/>
      <w:r w:rsidRPr="0086132F">
        <w:t>Contract phase</w:t>
      </w:r>
      <w:bookmarkEnd w:id="20"/>
    </w:p>
    <w:p w:rsidR="00D60C04" w:rsidRDefault="006A2A53" w:rsidP="007D080F">
      <w:pPr>
        <w:tabs>
          <w:tab w:val="left" w:pos="3969"/>
        </w:tabs>
      </w:pPr>
      <w:r w:rsidRPr="0086132F">
        <w:rPr>
          <w:b/>
          <w:i/>
        </w:rPr>
        <w:t>One year</w:t>
      </w:r>
      <w:r w:rsidRPr="0086132F">
        <w:t xml:space="preserve"> cont</w:t>
      </w:r>
      <w:r>
        <w:t>racts will commence:</w:t>
      </w:r>
      <w:r>
        <w:tab/>
      </w:r>
      <w:r>
        <w:tab/>
        <w:t>1 July 2015</w:t>
      </w:r>
    </w:p>
    <w:p w:rsidR="006A2A53" w:rsidRPr="0086132F" w:rsidRDefault="006A2A53" w:rsidP="007D080F">
      <w:pPr>
        <w:tabs>
          <w:tab w:val="left" w:pos="3969"/>
        </w:tabs>
      </w:pPr>
      <w:r>
        <w:t>End date:</w:t>
      </w:r>
      <w:r>
        <w:tab/>
      </w:r>
      <w:r>
        <w:tab/>
        <w:t>30 June 2016</w:t>
      </w:r>
    </w:p>
    <w:p w:rsidR="006A2A53" w:rsidRPr="0086132F" w:rsidRDefault="006A2A53" w:rsidP="007D080F"/>
    <w:p w:rsidR="006A2A53" w:rsidRPr="0010406C" w:rsidRDefault="006A2A53" w:rsidP="007D080F">
      <w:pPr>
        <w:pStyle w:val="Heading2"/>
      </w:pPr>
      <w:bookmarkStart w:id="21" w:name="_Toc410155463"/>
      <w:r>
        <w:t xml:space="preserve">MPDS </w:t>
      </w:r>
      <w:r w:rsidR="007D080F">
        <w:t>a</w:t>
      </w:r>
      <w:r>
        <w:t xml:space="preserve">dministration </w:t>
      </w:r>
      <w:r w:rsidR="007D080F">
        <w:t>p</w:t>
      </w:r>
      <w:r>
        <w:t>rocess</w:t>
      </w:r>
      <w:bookmarkEnd w:id="21"/>
    </w:p>
    <w:p w:rsidR="00D60C04" w:rsidRDefault="006A2A53" w:rsidP="007D080F">
      <w:r w:rsidRPr="0086132F">
        <w:t xml:space="preserve">The Māori Health Service Improvement Group </w:t>
      </w:r>
      <w:r>
        <w:t>administers the MPDS programme through its lead relationship/contract managers.</w:t>
      </w:r>
      <w:r w:rsidR="00D60C04">
        <w:t xml:space="preserve"> </w:t>
      </w:r>
      <w:r w:rsidRPr="0086132F">
        <w:t>The leads (refer Table 2) will manage the entire MPDS process for each nominated DHB.</w:t>
      </w:r>
    </w:p>
    <w:p w:rsidR="007D080F" w:rsidRDefault="007D080F" w:rsidP="007D080F"/>
    <w:p w:rsidR="006A2A53" w:rsidRPr="0086132F" w:rsidRDefault="006A2A53" w:rsidP="007D080F">
      <w:pPr>
        <w:pStyle w:val="Table"/>
      </w:pPr>
      <w:bookmarkStart w:id="22" w:name="_Toc360019037"/>
      <w:r w:rsidRPr="0086132F">
        <w:t xml:space="preserve">Table 2: Overview of </w:t>
      </w:r>
      <w:bookmarkEnd w:id="22"/>
      <w:r w:rsidRPr="0086132F">
        <w:t>District Health Boards regions</w:t>
      </w:r>
    </w:p>
    <w:tbl>
      <w:tblPr>
        <w:tblW w:w="0" w:type="auto"/>
        <w:tblInd w:w="57" w:type="dxa"/>
        <w:tblBorders>
          <w:top w:val="single" w:sz="4" w:space="0" w:color="auto"/>
          <w:bottom w:val="single" w:sz="4" w:space="0" w:color="auto"/>
        </w:tblBorders>
        <w:tblLayout w:type="fixed"/>
        <w:tblCellMar>
          <w:left w:w="57" w:type="dxa"/>
          <w:right w:w="57" w:type="dxa"/>
        </w:tblCellMar>
        <w:tblLook w:val="0420" w:firstRow="1" w:lastRow="0" w:firstColumn="0" w:lastColumn="0" w:noHBand="0" w:noVBand="1"/>
      </w:tblPr>
      <w:tblGrid>
        <w:gridCol w:w="426"/>
        <w:gridCol w:w="4110"/>
        <w:gridCol w:w="4820"/>
      </w:tblGrid>
      <w:tr w:rsidR="006A2A53" w:rsidRPr="005E253A" w:rsidTr="005E253A">
        <w:trPr>
          <w:cantSplit/>
        </w:trPr>
        <w:tc>
          <w:tcPr>
            <w:tcW w:w="4536" w:type="dxa"/>
            <w:gridSpan w:val="2"/>
            <w:tcBorders>
              <w:top w:val="single" w:sz="4" w:space="0" w:color="auto"/>
              <w:bottom w:val="single" w:sz="4" w:space="0" w:color="auto"/>
            </w:tcBorders>
          </w:tcPr>
          <w:p w:rsidR="006A2A53" w:rsidRPr="005E253A" w:rsidRDefault="006A2A53" w:rsidP="005E253A">
            <w:pPr>
              <w:pStyle w:val="TableText"/>
              <w:rPr>
                <w:b/>
              </w:rPr>
            </w:pPr>
            <w:r w:rsidRPr="005E253A">
              <w:rPr>
                <w:b/>
              </w:rPr>
              <w:t xml:space="preserve">DHB </w:t>
            </w:r>
            <w:r w:rsidR="005E253A" w:rsidRPr="005E253A">
              <w:rPr>
                <w:b/>
              </w:rPr>
              <w:t>r</w:t>
            </w:r>
            <w:r w:rsidRPr="005E253A">
              <w:rPr>
                <w:b/>
              </w:rPr>
              <w:t>egions</w:t>
            </w:r>
          </w:p>
        </w:tc>
        <w:tc>
          <w:tcPr>
            <w:tcW w:w="4820" w:type="dxa"/>
            <w:tcBorders>
              <w:top w:val="single" w:sz="4" w:space="0" w:color="auto"/>
              <w:bottom w:val="single" w:sz="4" w:space="0" w:color="auto"/>
            </w:tcBorders>
          </w:tcPr>
          <w:p w:rsidR="006A2A53" w:rsidRPr="005E253A" w:rsidRDefault="006A2A53" w:rsidP="005E253A">
            <w:pPr>
              <w:pStyle w:val="TableText"/>
              <w:rPr>
                <w:b/>
              </w:rPr>
            </w:pPr>
            <w:r w:rsidRPr="005E253A">
              <w:rPr>
                <w:b/>
              </w:rPr>
              <w:t>Relationship/Contract Manager</w:t>
            </w:r>
          </w:p>
        </w:tc>
      </w:tr>
      <w:tr w:rsidR="006A2A53" w:rsidRPr="0086132F" w:rsidTr="005E253A">
        <w:trPr>
          <w:cantSplit/>
        </w:trPr>
        <w:tc>
          <w:tcPr>
            <w:tcW w:w="426" w:type="dxa"/>
            <w:tcBorders>
              <w:bottom w:val="single" w:sz="4" w:space="0" w:color="A6A6A6" w:themeColor="background1" w:themeShade="A6"/>
            </w:tcBorders>
          </w:tcPr>
          <w:p w:rsidR="006A2A53" w:rsidRPr="0086132F" w:rsidRDefault="006A2A53" w:rsidP="005E253A">
            <w:pPr>
              <w:pStyle w:val="TableText"/>
            </w:pPr>
            <w:r w:rsidRPr="0086132F">
              <w:t>1</w:t>
            </w:r>
          </w:p>
        </w:tc>
        <w:tc>
          <w:tcPr>
            <w:tcW w:w="4110" w:type="dxa"/>
            <w:tcBorders>
              <w:bottom w:val="single" w:sz="4" w:space="0" w:color="A6A6A6" w:themeColor="background1" w:themeShade="A6"/>
            </w:tcBorders>
          </w:tcPr>
          <w:p w:rsidR="006A2A53" w:rsidRPr="0086132F" w:rsidRDefault="006A2A53" w:rsidP="005E253A">
            <w:pPr>
              <w:pStyle w:val="TableText"/>
            </w:pPr>
            <w:r w:rsidRPr="0086132F">
              <w:t>Auckland, Counties Manukau, Northland, Waitemata</w:t>
            </w:r>
          </w:p>
        </w:tc>
        <w:tc>
          <w:tcPr>
            <w:tcW w:w="4820" w:type="dxa"/>
            <w:tcBorders>
              <w:bottom w:val="single" w:sz="4" w:space="0" w:color="A6A6A6" w:themeColor="background1" w:themeShade="A6"/>
            </w:tcBorders>
          </w:tcPr>
          <w:p w:rsidR="006A2A53" w:rsidRPr="0086132F" w:rsidRDefault="006A2A53" w:rsidP="005E253A">
            <w:pPr>
              <w:pStyle w:val="TableText"/>
            </w:pPr>
            <w:r w:rsidRPr="0086132F">
              <w:t>Kahu Livingstone (Senior Advisor)</w:t>
            </w:r>
          </w:p>
        </w:tc>
      </w:tr>
      <w:tr w:rsidR="006A2A53" w:rsidRPr="0086132F" w:rsidTr="005E253A">
        <w:trPr>
          <w:cantSplit/>
        </w:trPr>
        <w:tc>
          <w:tcPr>
            <w:tcW w:w="426"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2</w:t>
            </w:r>
          </w:p>
        </w:tc>
        <w:tc>
          <w:tcPr>
            <w:tcW w:w="411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Bay of Plenty, Lakes, Tairawhiti, Taranaki, Waikato</w:t>
            </w:r>
          </w:p>
        </w:tc>
        <w:tc>
          <w:tcPr>
            <w:tcW w:w="482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Lisa Docherty (Senior Advisor)</w:t>
            </w:r>
          </w:p>
        </w:tc>
      </w:tr>
      <w:tr w:rsidR="006A2A53" w:rsidRPr="0086132F" w:rsidTr="005E253A">
        <w:trPr>
          <w:cantSplit/>
        </w:trPr>
        <w:tc>
          <w:tcPr>
            <w:tcW w:w="426"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3</w:t>
            </w:r>
          </w:p>
        </w:tc>
        <w:tc>
          <w:tcPr>
            <w:tcW w:w="411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Capital &amp; Coast, Hawkes Bay, Hutt Valley, MidCentral, Wairarapa,</w:t>
            </w:r>
            <w:r w:rsidR="005D3401">
              <w:t xml:space="preserve"> </w:t>
            </w:r>
            <w:r w:rsidRPr="0086132F">
              <w:t>Whanganui</w:t>
            </w:r>
          </w:p>
        </w:tc>
        <w:tc>
          <w:tcPr>
            <w:tcW w:w="482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Chas McCarthy</w:t>
            </w:r>
            <w:r w:rsidR="005E253A">
              <w:t xml:space="preserve"> </w:t>
            </w:r>
            <w:r w:rsidRPr="0086132F">
              <w:t xml:space="preserve">(Senior Contract </w:t>
            </w:r>
            <w:r>
              <w:t xml:space="preserve">&amp; Relationship </w:t>
            </w:r>
            <w:r w:rsidRPr="0086132F">
              <w:t>Manager)</w:t>
            </w:r>
          </w:p>
        </w:tc>
      </w:tr>
      <w:tr w:rsidR="006A2A53" w:rsidRPr="0086132F" w:rsidTr="005E253A">
        <w:trPr>
          <w:cantSplit/>
        </w:trPr>
        <w:tc>
          <w:tcPr>
            <w:tcW w:w="426"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4</w:t>
            </w:r>
          </w:p>
        </w:tc>
        <w:tc>
          <w:tcPr>
            <w:tcW w:w="411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rsidRPr="0086132F">
              <w:t>Canterbury, Nelson/Marlborough, Southern, West</w:t>
            </w:r>
            <w:r w:rsidR="005D3401">
              <w:t> </w:t>
            </w:r>
            <w:r w:rsidRPr="0086132F">
              <w:t>Coast</w:t>
            </w:r>
          </w:p>
        </w:tc>
        <w:tc>
          <w:tcPr>
            <w:tcW w:w="4820" w:type="dxa"/>
            <w:tcBorders>
              <w:top w:val="single" w:sz="4" w:space="0" w:color="A6A6A6" w:themeColor="background1" w:themeShade="A6"/>
              <w:bottom w:val="single" w:sz="4" w:space="0" w:color="A6A6A6" w:themeColor="background1" w:themeShade="A6"/>
            </w:tcBorders>
          </w:tcPr>
          <w:p w:rsidR="006A2A53" w:rsidRPr="0086132F" w:rsidRDefault="006A2A53" w:rsidP="005E253A">
            <w:pPr>
              <w:pStyle w:val="TableText"/>
            </w:pPr>
            <w:r>
              <w:t>Deborah Baird (</w:t>
            </w:r>
            <w:r w:rsidRPr="0086132F">
              <w:t>Development Manager)</w:t>
            </w:r>
          </w:p>
        </w:tc>
      </w:tr>
      <w:tr w:rsidR="006A2A53" w:rsidRPr="0086132F" w:rsidTr="005E253A">
        <w:trPr>
          <w:cantSplit/>
        </w:trPr>
        <w:tc>
          <w:tcPr>
            <w:tcW w:w="426" w:type="dxa"/>
            <w:tcBorders>
              <w:top w:val="single" w:sz="4" w:space="0" w:color="A6A6A6" w:themeColor="background1" w:themeShade="A6"/>
            </w:tcBorders>
          </w:tcPr>
          <w:p w:rsidR="006A2A53" w:rsidRPr="0086132F" w:rsidRDefault="006A2A53" w:rsidP="005E253A">
            <w:pPr>
              <w:pStyle w:val="TableText"/>
            </w:pPr>
            <w:r>
              <w:t>5</w:t>
            </w:r>
          </w:p>
        </w:tc>
        <w:tc>
          <w:tcPr>
            <w:tcW w:w="4110" w:type="dxa"/>
            <w:tcBorders>
              <w:top w:val="single" w:sz="4" w:space="0" w:color="A6A6A6" w:themeColor="background1" w:themeShade="A6"/>
            </w:tcBorders>
          </w:tcPr>
          <w:p w:rsidR="006A2A53" w:rsidRPr="0086132F" w:rsidRDefault="005E253A" w:rsidP="005E253A">
            <w:pPr>
              <w:pStyle w:val="TableText"/>
            </w:pPr>
            <w:r>
              <w:t>National p</w:t>
            </w:r>
            <w:r w:rsidR="006A2A53">
              <w:t>roviders</w:t>
            </w:r>
          </w:p>
        </w:tc>
        <w:tc>
          <w:tcPr>
            <w:tcW w:w="4820" w:type="dxa"/>
            <w:tcBorders>
              <w:top w:val="single" w:sz="4" w:space="0" w:color="A6A6A6" w:themeColor="background1" w:themeShade="A6"/>
            </w:tcBorders>
          </w:tcPr>
          <w:p w:rsidR="006A2A53" w:rsidRPr="0086132F" w:rsidRDefault="006A2A53" w:rsidP="005E253A">
            <w:pPr>
              <w:pStyle w:val="TableText"/>
            </w:pPr>
            <w:r>
              <w:t>Karen Koopu (Development Manager)</w:t>
            </w:r>
          </w:p>
        </w:tc>
      </w:tr>
    </w:tbl>
    <w:p w:rsidR="006A2A53" w:rsidRPr="0086132F" w:rsidRDefault="006A2A53" w:rsidP="005E253A"/>
    <w:p w:rsidR="006A2A53" w:rsidRPr="0086132F" w:rsidRDefault="006A2A53" w:rsidP="006A2A53">
      <w:r w:rsidRPr="0086132F">
        <w:br w:type="page"/>
      </w:r>
    </w:p>
    <w:p w:rsidR="006A2A53" w:rsidRPr="005E253A" w:rsidRDefault="006A2A53" w:rsidP="005E253A">
      <w:pPr>
        <w:pStyle w:val="Heading1"/>
      </w:pPr>
      <w:bookmarkStart w:id="23" w:name="_Toc321228621"/>
      <w:bookmarkStart w:id="24" w:name="_Toc321229376"/>
      <w:bookmarkStart w:id="25" w:name="_Toc358191461"/>
      <w:bookmarkStart w:id="26" w:name="_Toc410155464"/>
      <w:bookmarkEnd w:id="6"/>
      <w:bookmarkEnd w:id="7"/>
      <w:bookmarkEnd w:id="8"/>
      <w:r w:rsidRPr="0086132F">
        <w:lastRenderedPageBreak/>
        <w:t>Māori health and disability providers</w:t>
      </w:r>
      <w:bookmarkEnd w:id="23"/>
      <w:bookmarkEnd w:id="24"/>
      <w:bookmarkEnd w:id="25"/>
      <w:r w:rsidRPr="005E253A">
        <w:t xml:space="preserve"> (DHB based)</w:t>
      </w:r>
      <w:bookmarkEnd w:id="26"/>
    </w:p>
    <w:p w:rsidR="006A2A53" w:rsidRPr="0086132F" w:rsidRDefault="006A2A53" w:rsidP="005E253A">
      <w:bookmarkStart w:id="27" w:name="_Toc155741710"/>
      <w:bookmarkStart w:id="28" w:name="_Toc160506535"/>
      <w:bookmarkStart w:id="29" w:name="_Toc115863448"/>
      <w:r w:rsidRPr="0086132F">
        <w:t xml:space="preserve">Funding under the </w:t>
      </w:r>
      <w:r>
        <w:t>MPDS</w:t>
      </w:r>
      <w:r w:rsidRPr="0086132F">
        <w:t xml:space="preserve"> for Māori health and disability providers is only available to health providers, or health organisations, that are owned, governed and operated by iwi and/or Māori organisations.</w:t>
      </w:r>
    </w:p>
    <w:p w:rsidR="006A2A53" w:rsidRDefault="006A2A53" w:rsidP="005E253A"/>
    <w:p w:rsidR="006A2A53" w:rsidRPr="0047173A" w:rsidRDefault="006A2A53" w:rsidP="005E253A">
      <w:pPr>
        <w:pStyle w:val="Heading2"/>
      </w:pPr>
      <w:bookmarkStart w:id="30" w:name="_Toc410155465"/>
      <w:r w:rsidRPr="0047173A">
        <w:t xml:space="preserve">Eligibility </w:t>
      </w:r>
      <w:r w:rsidR="005E253A">
        <w:t>c</w:t>
      </w:r>
      <w:r w:rsidRPr="0047173A">
        <w:t>riteria</w:t>
      </w:r>
      <w:bookmarkEnd w:id="30"/>
    </w:p>
    <w:p w:rsidR="006A2A53" w:rsidRPr="0086132F" w:rsidRDefault="006A2A53" w:rsidP="005E253A">
      <w:r w:rsidRPr="0086132F">
        <w:t>To meet these criteria, there must be sufficient evidence that confirms:</w:t>
      </w:r>
    </w:p>
    <w:p w:rsidR="006A2A53" w:rsidRPr="0086132F" w:rsidRDefault="006A2A53" w:rsidP="006A2A53">
      <w:pPr>
        <w:spacing w:before="90"/>
        <w:ind w:left="567" w:hanging="567"/>
      </w:pPr>
      <w:r w:rsidRPr="0086132F">
        <w:t>1.</w:t>
      </w:r>
      <w:r w:rsidRPr="0086132F">
        <w:tab/>
      </w:r>
      <w:proofErr w:type="gramStart"/>
      <w:r w:rsidRPr="0086132F">
        <w:t>the</w:t>
      </w:r>
      <w:proofErr w:type="gramEnd"/>
      <w:r w:rsidRPr="0086132F">
        <w:t xml:space="preserve"> applicant</w:t>
      </w:r>
      <w:r w:rsidR="007D080F">
        <w:t>’</w:t>
      </w:r>
      <w:r w:rsidRPr="0086132F">
        <w:t>s legal entity status (charitable trust/company/incorporated society)</w:t>
      </w:r>
    </w:p>
    <w:p w:rsidR="006A2A53" w:rsidRDefault="006A2A53" w:rsidP="006A2A53">
      <w:pPr>
        <w:spacing w:before="90"/>
        <w:ind w:left="567" w:hanging="567"/>
      </w:pPr>
      <w:r w:rsidRPr="0086132F">
        <w:t>2.</w:t>
      </w:r>
      <w:r w:rsidRPr="0086132F">
        <w:tab/>
      </w:r>
      <w:proofErr w:type="gramStart"/>
      <w:r w:rsidRPr="0086132F">
        <w:t>the</w:t>
      </w:r>
      <w:proofErr w:type="gramEnd"/>
      <w:r w:rsidRPr="0086132F">
        <w:t xml:space="preserve"> legal entity is register</w:t>
      </w:r>
      <w:r>
        <w:t>ed with the Charities Services</w:t>
      </w:r>
    </w:p>
    <w:p w:rsidR="006A2A53" w:rsidRPr="0086132F" w:rsidRDefault="006A2A53" w:rsidP="006A2A53">
      <w:pPr>
        <w:spacing w:before="90"/>
        <w:ind w:left="567" w:hanging="567"/>
      </w:pPr>
      <w:r w:rsidRPr="0086132F">
        <w:t>3.</w:t>
      </w:r>
      <w:r w:rsidRPr="0086132F">
        <w:tab/>
      </w:r>
      <w:proofErr w:type="gramStart"/>
      <w:r w:rsidRPr="0086132F">
        <w:t>the</w:t>
      </w:r>
      <w:proofErr w:type="gramEnd"/>
      <w:r w:rsidRPr="0086132F">
        <w:t xml:space="preserve"> beneficiaries/members who appoint the Board are majority Māori</w:t>
      </w:r>
    </w:p>
    <w:p w:rsidR="006A2A53" w:rsidRPr="0086132F" w:rsidRDefault="006A2A53" w:rsidP="006A2A53">
      <w:pPr>
        <w:spacing w:before="90"/>
        <w:ind w:left="567" w:hanging="567"/>
      </w:pPr>
      <w:r w:rsidRPr="0086132F">
        <w:t>4.</w:t>
      </w:r>
      <w:r w:rsidRPr="0086132F">
        <w:tab/>
      </w:r>
      <w:proofErr w:type="gramStart"/>
      <w:r w:rsidRPr="0086132F">
        <w:t>the</w:t>
      </w:r>
      <w:proofErr w:type="gramEnd"/>
      <w:r w:rsidRPr="0086132F">
        <w:t xml:space="preserve"> majority of current Board members are Māori</w:t>
      </w:r>
    </w:p>
    <w:p w:rsidR="006A2A53" w:rsidRPr="0086132F" w:rsidRDefault="006A2A53" w:rsidP="006A2A53">
      <w:pPr>
        <w:spacing w:before="90"/>
        <w:ind w:left="567" w:hanging="567"/>
      </w:pPr>
      <w:r w:rsidRPr="0086132F">
        <w:t>5.</w:t>
      </w:r>
      <w:r w:rsidRPr="0086132F">
        <w:tab/>
      </w:r>
      <w:proofErr w:type="gramStart"/>
      <w:r w:rsidRPr="0086132F">
        <w:t>the</w:t>
      </w:r>
      <w:proofErr w:type="gramEnd"/>
      <w:r w:rsidRPr="0086132F">
        <w:t xml:space="preserve"> owners/directors of the company are majority Māori</w:t>
      </w:r>
    </w:p>
    <w:p w:rsidR="006A2A53" w:rsidRPr="0086132F" w:rsidRDefault="006A2A53" w:rsidP="006A2A53">
      <w:pPr>
        <w:spacing w:before="90"/>
        <w:ind w:left="567" w:hanging="567"/>
      </w:pPr>
      <w:r w:rsidRPr="0086132F">
        <w:t>6.</w:t>
      </w:r>
      <w:r w:rsidRPr="0086132F">
        <w:tab/>
      </w:r>
      <w:proofErr w:type="gramStart"/>
      <w:r w:rsidRPr="0086132F">
        <w:t>levels</w:t>
      </w:r>
      <w:proofErr w:type="gramEnd"/>
      <w:r w:rsidRPr="0086132F">
        <w:t xml:space="preserve"> of Māori representation outlined in points 3–5 above are maintained over time</w:t>
      </w:r>
    </w:p>
    <w:p w:rsidR="006A2A53" w:rsidRPr="0086132F" w:rsidRDefault="006A2A53" w:rsidP="006A2A53">
      <w:pPr>
        <w:spacing w:before="90"/>
        <w:ind w:left="567" w:hanging="567"/>
      </w:pPr>
      <w:r w:rsidRPr="0086132F">
        <w:t>7.</w:t>
      </w:r>
      <w:r w:rsidRPr="0086132F">
        <w:tab/>
      </w:r>
      <w:proofErr w:type="gramStart"/>
      <w:r w:rsidRPr="0086132F">
        <w:t>in</w:t>
      </w:r>
      <w:proofErr w:type="gramEnd"/>
      <w:r w:rsidRPr="0086132F">
        <w:t xml:space="preserve"> the event of closure or wind up, assets are disbursed to a Māori community or an organisation meeting the same criteria.</w:t>
      </w:r>
    </w:p>
    <w:p w:rsidR="006A2A53" w:rsidRPr="0086132F" w:rsidRDefault="006A2A53" w:rsidP="005E253A"/>
    <w:p w:rsidR="006A2A53" w:rsidRPr="0086132F" w:rsidRDefault="006A2A53" w:rsidP="005E253A">
      <w:r w:rsidRPr="0086132F">
        <w:t>Eligible applicants include:</w:t>
      </w:r>
    </w:p>
    <w:p w:rsidR="006A2A53" w:rsidRPr="0086132F" w:rsidRDefault="006A2A53" w:rsidP="005E253A">
      <w:pPr>
        <w:pStyle w:val="Bullet"/>
      </w:pPr>
      <w:r w:rsidRPr="0086132F">
        <w:t xml:space="preserve">an existing Māori health </w:t>
      </w:r>
      <w:r>
        <w:t xml:space="preserve">and disability </w:t>
      </w:r>
      <w:r w:rsidRPr="0086132F">
        <w:t>provider that has one or more contracts with the Ministry of Health and/or DHB and/or primary health organisation (PHO)</w:t>
      </w:r>
    </w:p>
    <w:p w:rsidR="006A2A53" w:rsidRPr="0086132F" w:rsidRDefault="006A2A53" w:rsidP="005E253A">
      <w:pPr>
        <w:pStyle w:val="Bullet"/>
      </w:pPr>
      <w:proofErr w:type="gramStart"/>
      <w:r w:rsidRPr="0086132F">
        <w:t>a</w:t>
      </w:r>
      <w:proofErr w:type="gramEnd"/>
      <w:r w:rsidRPr="0086132F">
        <w:t xml:space="preserve"> Māori health </w:t>
      </w:r>
      <w:r>
        <w:t xml:space="preserve">and disability </w:t>
      </w:r>
      <w:r w:rsidRPr="0086132F">
        <w:t>provider that is in the process of developing a contract with the support of the Ministry of Health and/or DHB and/or PHO.</w:t>
      </w:r>
    </w:p>
    <w:p w:rsidR="006A2A53" w:rsidRPr="0086132F" w:rsidRDefault="006A2A53" w:rsidP="005E253A"/>
    <w:p w:rsidR="006A2A53" w:rsidRPr="0086132F" w:rsidRDefault="006A2A53" w:rsidP="005E253A">
      <w:pPr>
        <w:pStyle w:val="Box"/>
      </w:pPr>
      <w:r w:rsidRPr="0086132F">
        <w:t>The Ministry of Health has defined a Māori health provider as a provider that is owned and governed by Māori and is providing health and disability services primarily but not exclusively for Māori.</w:t>
      </w:r>
    </w:p>
    <w:p w:rsidR="006A2A53" w:rsidRPr="0086132F" w:rsidRDefault="006A2A53" w:rsidP="005E253A"/>
    <w:p w:rsidR="006A2A53" w:rsidRPr="0086132F" w:rsidRDefault="006A2A53" w:rsidP="005E253A">
      <w:pPr>
        <w:pStyle w:val="Heading2"/>
      </w:pPr>
      <w:bookmarkStart w:id="31" w:name="_Toc257106143"/>
      <w:bookmarkStart w:id="32" w:name="_Toc321228622"/>
      <w:bookmarkStart w:id="33" w:name="_Toc321229377"/>
      <w:bookmarkStart w:id="34" w:name="_Toc358191462"/>
      <w:bookmarkStart w:id="35" w:name="_Toc410155466"/>
      <w:r w:rsidRPr="0086132F">
        <w:t>Funding allocation</w:t>
      </w:r>
      <w:bookmarkEnd w:id="31"/>
      <w:bookmarkEnd w:id="32"/>
      <w:bookmarkEnd w:id="33"/>
      <w:bookmarkEnd w:id="34"/>
      <w:bookmarkEnd w:id="35"/>
    </w:p>
    <w:p w:rsidR="006A2A53" w:rsidRPr="0086132F" w:rsidRDefault="006A2A53" w:rsidP="005E253A">
      <w:r w:rsidRPr="0086132F">
        <w:t>The MPDS regional Māori health and disability provider funding has been allocated based on projected population data from Statistics New Zealand</w:t>
      </w:r>
      <w:r>
        <w:t xml:space="preserve"> 2013</w:t>
      </w:r>
      <w:r w:rsidRPr="0086132F">
        <w:t>.</w:t>
      </w:r>
      <w:r w:rsidR="00D60C04">
        <w:t xml:space="preserve"> </w:t>
      </w:r>
      <w:r>
        <w:t>T</w:t>
      </w:r>
      <w:r w:rsidRPr="0086132F">
        <w:t>he 2015/16 population calculations remain the same minus funding previously funded in the three year contracting round started in 2013/14.</w:t>
      </w:r>
    </w:p>
    <w:p w:rsidR="006A2A53" w:rsidRPr="0086132F" w:rsidRDefault="006A2A53" w:rsidP="005E253A"/>
    <w:p w:rsidR="006A2A53" w:rsidRPr="0086132F" w:rsidRDefault="006A2A53" w:rsidP="005E253A">
      <w:r w:rsidRPr="0086132F">
        <w:t>The final allocation per DHB is listed in Table 3: Māori health provider</w:t>
      </w:r>
      <w:r>
        <w:t xml:space="preserve"> (DHB based) MPDS allocation by DHB for 2015</w:t>
      </w:r>
      <w:r w:rsidRPr="0086132F">
        <w:t>/1</w:t>
      </w:r>
      <w:r>
        <w:t>6</w:t>
      </w:r>
      <w:r w:rsidRPr="0086132F">
        <w:t>.</w:t>
      </w:r>
    </w:p>
    <w:p w:rsidR="006A2A53" w:rsidRPr="0086132F" w:rsidRDefault="006A2A53" w:rsidP="005E253A"/>
    <w:p w:rsidR="006A2A53" w:rsidRPr="0086132F" w:rsidRDefault="006A2A53" w:rsidP="005E253A">
      <w:pPr>
        <w:pStyle w:val="Table"/>
      </w:pPr>
      <w:bookmarkStart w:id="36" w:name="_Toc257106148"/>
      <w:bookmarkStart w:id="37" w:name="_Toc321228625"/>
      <w:bookmarkStart w:id="38" w:name="_Toc321229380"/>
      <w:bookmarkStart w:id="39" w:name="_Toc360019038"/>
      <w:r w:rsidRPr="0086132F">
        <w:lastRenderedPageBreak/>
        <w:t>Table 3: Māori health provider</w:t>
      </w:r>
      <w:r>
        <w:t xml:space="preserve"> (DHB based)</w:t>
      </w:r>
      <w:r w:rsidRPr="0086132F">
        <w:t xml:space="preserve"> MPDS allocation by DHB for </w:t>
      </w:r>
      <w:bookmarkEnd w:id="36"/>
      <w:r>
        <w:t>2015</w:t>
      </w:r>
      <w:r w:rsidRPr="0086132F">
        <w:t>/1</w:t>
      </w:r>
      <w:bookmarkEnd w:id="37"/>
      <w:bookmarkEnd w:id="38"/>
      <w:bookmarkEnd w:id="39"/>
      <w:r>
        <w:t>6</w:t>
      </w:r>
    </w:p>
    <w:tbl>
      <w:tblPr>
        <w:tblW w:w="0" w:type="auto"/>
        <w:tblInd w:w="57" w:type="dxa"/>
        <w:tblBorders>
          <w:top w:val="single" w:sz="4" w:space="0" w:color="auto"/>
          <w:bottom w:val="single" w:sz="4" w:space="0" w:color="auto"/>
        </w:tblBorders>
        <w:tblLayout w:type="fixed"/>
        <w:tblCellMar>
          <w:left w:w="57" w:type="dxa"/>
          <w:right w:w="57" w:type="dxa"/>
        </w:tblCellMar>
        <w:tblLook w:val="00E0" w:firstRow="1" w:lastRow="1" w:firstColumn="1" w:lastColumn="0" w:noHBand="0" w:noVBand="0"/>
      </w:tblPr>
      <w:tblGrid>
        <w:gridCol w:w="2173"/>
        <w:gridCol w:w="2173"/>
        <w:gridCol w:w="2174"/>
      </w:tblGrid>
      <w:tr w:rsidR="006A2A53" w:rsidRPr="005E253A" w:rsidTr="005E253A">
        <w:trPr>
          <w:cantSplit/>
        </w:trPr>
        <w:tc>
          <w:tcPr>
            <w:tcW w:w="2173" w:type="dxa"/>
            <w:tcBorders>
              <w:top w:val="single" w:sz="4" w:space="0" w:color="auto"/>
              <w:bottom w:val="single" w:sz="4" w:space="0" w:color="auto"/>
            </w:tcBorders>
            <w:shd w:val="clear" w:color="auto" w:fill="auto"/>
            <w:noWrap/>
          </w:tcPr>
          <w:p w:rsidR="006A2A53" w:rsidRPr="005E253A" w:rsidRDefault="006A2A53" w:rsidP="005E253A">
            <w:pPr>
              <w:pStyle w:val="TableText"/>
              <w:rPr>
                <w:b/>
              </w:rPr>
            </w:pPr>
            <w:r w:rsidRPr="005E253A">
              <w:rPr>
                <w:b/>
              </w:rPr>
              <w:t>DHB</w:t>
            </w:r>
          </w:p>
        </w:tc>
        <w:tc>
          <w:tcPr>
            <w:tcW w:w="2173" w:type="dxa"/>
            <w:tcBorders>
              <w:top w:val="single" w:sz="4" w:space="0" w:color="auto"/>
              <w:bottom w:val="single" w:sz="4" w:space="0" w:color="auto"/>
            </w:tcBorders>
            <w:shd w:val="clear" w:color="auto" w:fill="auto"/>
            <w:noWrap/>
          </w:tcPr>
          <w:p w:rsidR="006A2A53" w:rsidRPr="005E253A" w:rsidRDefault="006A2A53" w:rsidP="005E253A">
            <w:pPr>
              <w:pStyle w:val="TableText"/>
              <w:jc w:val="center"/>
              <w:rPr>
                <w:b/>
              </w:rPr>
            </w:pPr>
            <w:r w:rsidRPr="005E253A">
              <w:rPr>
                <w:b/>
              </w:rPr>
              <w:t xml:space="preserve">Projected Māori </w:t>
            </w:r>
            <w:r w:rsidR="005E253A">
              <w:rPr>
                <w:b/>
              </w:rPr>
              <w:t>p</w:t>
            </w:r>
            <w:r w:rsidRPr="005E253A">
              <w:rPr>
                <w:b/>
              </w:rPr>
              <w:t>opulation</w:t>
            </w:r>
          </w:p>
        </w:tc>
        <w:tc>
          <w:tcPr>
            <w:tcW w:w="2174" w:type="dxa"/>
            <w:tcBorders>
              <w:top w:val="single" w:sz="4" w:space="0" w:color="auto"/>
              <w:bottom w:val="single" w:sz="4" w:space="0" w:color="auto"/>
            </w:tcBorders>
            <w:shd w:val="clear" w:color="auto" w:fill="auto"/>
          </w:tcPr>
          <w:p w:rsidR="006A2A53" w:rsidRPr="005E253A" w:rsidRDefault="006A2A53" w:rsidP="005E253A">
            <w:pPr>
              <w:pStyle w:val="TableText"/>
              <w:jc w:val="center"/>
              <w:rPr>
                <w:b/>
              </w:rPr>
            </w:pPr>
            <w:r w:rsidRPr="005E253A">
              <w:rPr>
                <w:b/>
              </w:rPr>
              <w:t>2015/16 allocation</w:t>
            </w:r>
            <w:r w:rsidRPr="005E253A">
              <w:rPr>
                <w:b/>
              </w:rPr>
              <w:br/>
              <w:t>(GST exclusive)</w:t>
            </w:r>
          </w:p>
        </w:tc>
      </w:tr>
      <w:tr w:rsidR="006A2A53" w:rsidRPr="0086132F" w:rsidTr="005E253A">
        <w:trPr>
          <w:cantSplit/>
        </w:trPr>
        <w:tc>
          <w:tcPr>
            <w:tcW w:w="2173" w:type="dxa"/>
            <w:tcBorders>
              <w:top w:val="single" w:sz="4" w:space="0" w:color="auto"/>
              <w:bottom w:val="single" w:sz="4" w:space="0" w:color="A6A6A6" w:themeColor="background1" w:themeShade="A6"/>
            </w:tcBorders>
            <w:shd w:val="clear" w:color="auto" w:fill="auto"/>
            <w:noWrap/>
          </w:tcPr>
          <w:p w:rsidR="006A2A53" w:rsidRPr="0086132F" w:rsidRDefault="006A2A53" w:rsidP="005E253A">
            <w:pPr>
              <w:pStyle w:val="TableText"/>
            </w:pPr>
            <w:r w:rsidRPr="0086132F">
              <w:t>Auckland</w:t>
            </w:r>
          </w:p>
        </w:tc>
        <w:tc>
          <w:tcPr>
            <w:tcW w:w="2173" w:type="dxa"/>
            <w:tcBorders>
              <w:top w:val="single" w:sz="4" w:space="0" w:color="auto"/>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39,630</w:t>
            </w:r>
          </w:p>
        </w:tc>
        <w:tc>
          <w:tcPr>
            <w:tcW w:w="2174" w:type="dxa"/>
            <w:tcBorders>
              <w:top w:val="single" w:sz="4" w:space="0" w:color="auto"/>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171,523.60</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Bay of Plenty</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55,175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453,699.80</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Canterbury</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46,170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231,896.37</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Capital &amp; Coast</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33,820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197,015.55</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Counties Manukau</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82,450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394,681.95</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Hawke</w:t>
            </w:r>
            <w:r w:rsidR="007D080F">
              <w:t>’</w:t>
            </w:r>
            <w:r w:rsidRPr="0086132F">
              <w:t>s Bay</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40,685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364,299.57</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Hutt Valley</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24,265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234,079.45</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Lakes</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35,975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245,833.23</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MidCentral</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32,960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177,399.45</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Nelson Marlborough</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14,720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123,794.13</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Northland</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57,490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273,511.07</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South Canterbury</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4,655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37,013.99</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Southern</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30,705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234,621.36</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Tairawhiti</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23,235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16,218.54</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Taranaki</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21,435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102,381.95</w:t>
            </w:r>
          </w:p>
        </w:tc>
      </w:tr>
      <w:tr w:rsidR="006A2A53" w:rsidRPr="00A7277D"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Waikato</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88,295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453,255.96</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Wairarapa</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7,310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59,242.49</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Waitemata</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57,555</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160,747.17</w:t>
            </w:r>
          </w:p>
        </w:tc>
      </w:tr>
      <w:tr w:rsidR="006A2A53" w:rsidRPr="00A7277D"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West Coast</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3,740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31,135.95</w:t>
            </w:r>
          </w:p>
        </w:tc>
      </w:tr>
      <w:tr w:rsidR="006A2A53" w:rsidRPr="0086132F" w:rsidTr="005E253A">
        <w:trPr>
          <w:cantSplit/>
        </w:trPr>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86132F" w:rsidRDefault="006A2A53" w:rsidP="005E253A">
            <w:pPr>
              <w:pStyle w:val="TableText"/>
            </w:pPr>
            <w:r w:rsidRPr="0086132F">
              <w:t>Whanganui</w:t>
            </w:r>
          </w:p>
        </w:tc>
        <w:tc>
          <w:tcPr>
            <w:tcW w:w="2173" w:type="dxa"/>
            <w:tcBorders>
              <w:top w:val="single" w:sz="4" w:space="0" w:color="A6A6A6" w:themeColor="background1" w:themeShade="A6"/>
              <w:bottom w:val="single" w:sz="4" w:space="0" w:color="A6A6A6" w:themeColor="background1" w:themeShade="A6"/>
            </w:tcBorders>
            <w:shd w:val="clear" w:color="auto" w:fill="auto"/>
            <w:noWrap/>
          </w:tcPr>
          <w:p w:rsidR="006A2A53" w:rsidRPr="00A7277D" w:rsidRDefault="006A2A53" w:rsidP="005E253A">
            <w:pPr>
              <w:pStyle w:val="TableText"/>
              <w:tabs>
                <w:tab w:val="decimal" w:pos="1314"/>
              </w:tabs>
            </w:pPr>
            <w:r w:rsidRPr="00A7277D">
              <w:t>16,040</w:t>
            </w:r>
          </w:p>
        </w:tc>
        <w:tc>
          <w:tcPr>
            <w:tcW w:w="2174" w:type="dxa"/>
            <w:tcBorders>
              <w:top w:val="single" w:sz="4" w:space="0" w:color="A6A6A6" w:themeColor="background1" w:themeShade="A6"/>
              <w:bottom w:val="single" w:sz="4" w:space="0" w:color="A6A6A6" w:themeColor="background1" w:themeShade="A6"/>
            </w:tcBorders>
            <w:shd w:val="clear" w:color="auto" w:fill="auto"/>
          </w:tcPr>
          <w:p w:rsidR="006A2A53" w:rsidRPr="00A7277D" w:rsidRDefault="006A2A53" w:rsidP="005E253A">
            <w:pPr>
              <w:pStyle w:val="TableText"/>
              <w:tabs>
                <w:tab w:val="decimal" w:pos="1267"/>
              </w:tabs>
            </w:pPr>
            <w:r>
              <w:t>$</w:t>
            </w:r>
            <w:r w:rsidRPr="00A7277D">
              <w:t>45,697.77</w:t>
            </w:r>
          </w:p>
        </w:tc>
      </w:tr>
      <w:tr w:rsidR="006A2A53" w:rsidRPr="005E253A" w:rsidTr="005E253A">
        <w:trPr>
          <w:cantSplit/>
        </w:trPr>
        <w:tc>
          <w:tcPr>
            <w:tcW w:w="2173" w:type="dxa"/>
            <w:tcBorders>
              <w:top w:val="single" w:sz="4" w:space="0" w:color="A6A6A6" w:themeColor="background1" w:themeShade="A6"/>
            </w:tcBorders>
            <w:shd w:val="clear" w:color="auto" w:fill="auto"/>
            <w:noWrap/>
          </w:tcPr>
          <w:p w:rsidR="006A2A53" w:rsidRPr="005E253A" w:rsidRDefault="006A2A53" w:rsidP="005E253A">
            <w:pPr>
              <w:pStyle w:val="TableText"/>
              <w:rPr>
                <w:b/>
              </w:rPr>
            </w:pPr>
            <w:r w:rsidRPr="005E253A">
              <w:rPr>
                <w:b/>
              </w:rPr>
              <w:t>Total</w:t>
            </w:r>
          </w:p>
        </w:tc>
        <w:tc>
          <w:tcPr>
            <w:tcW w:w="2173" w:type="dxa"/>
            <w:tcBorders>
              <w:top w:val="single" w:sz="4" w:space="0" w:color="A6A6A6" w:themeColor="background1" w:themeShade="A6"/>
            </w:tcBorders>
            <w:shd w:val="clear" w:color="auto" w:fill="auto"/>
            <w:noWrap/>
          </w:tcPr>
          <w:p w:rsidR="006A2A53" w:rsidRPr="005E253A" w:rsidRDefault="006A2A53" w:rsidP="005E253A">
            <w:pPr>
              <w:pStyle w:val="TableText"/>
              <w:tabs>
                <w:tab w:val="decimal" w:pos="1314"/>
              </w:tabs>
              <w:rPr>
                <w:b/>
              </w:rPr>
            </w:pPr>
            <w:r w:rsidRPr="005E253A">
              <w:rPr>
                <w:b/>
              </w:rPr>
              <w:t>716,310</w:t>
            </w:r>
          </w:p>
        </w:tc>
        <w:tc>
          <w:tcPr>
            <w:tcW w:w="2174" w:type="dxa"/>
            <w:tcBorders>
              <w:top w:val="single" w:sz="4" w:space="0" w:color="A6A6A6" w:themeColor="background1" w:themeShade="A6"/>
            </w:tcBorders>
            <w:shd w:val="clear" w:color="auto" w:fill="auto"/>
          </w:tcPr>
          <w:p w:rsidR="006A2A53" w:rsidRPr="005E253A" w:rsidRDefault="006A2A53" w:rsidP="005E253A">
            <w:pPr>
              <w:pStyle w:val="TableText"/>
              <w:tabs>
                <w:tab w:val="decimal" w:pos="1267"/>
              </w:tabs>
              <w:rPr>
                <w:b/>
              </w:rPr>
            </w:pPr>
            <w:r w:rsidRPr="005E253A">
              <w:rPr>
                <w:b/>
              </w:rPr>
              <w:t>$4,008,049.34</w:t>
            </w:r>
          </w:p>
        </w:tc>
      </w:tr>
    </w:tbl>
    <w:p w:rsidR="006A2A53" w:rsidRPr="0086132F" w:rsidRDefault="006A2A53" w:rsidP="005E253A"/>
    <w:p w:rsidR="006A2A53" w:rsidRPr="0086132F" w:rsidRDefault="006A2A53" w:rsidP="005E253A">
      <w:r w:rsidRPr="0086132F">
        <w:rPr>
          <w:b/>
          <w:bCs/>
        </w:rPr>
        <w:t>Please note</w:t>
      </w:r>
      <w:r w:rsidRPr="0086132F">
        <w:rPr>
          <w:b/>
        </w:rPr>
        <w:t>:</w:t>
      </w:r>
      <w:r w:rsidRPr="0086132F">
        <w:t xml:space="preserve"> The Ministry reserves the right to reallocate any unspent funding within any DHB region.</w:t>
      </w:r>
    </w:p>
    <w:p w:rsidR="006A2A53" w:rsidRDefault="006A2A53" w:rsidP="005E253A"/>
    <w:p w:rsidR="006A2A53" w:rsidRPr="0086132F" w:rsidRDefault="006A2A53" w:rsidP="005E253A">
      <w:r w:rsidRPr="005E253A">
        <w:rPr>
          <w:b/>
        </w:rPr>
        <w:t>Applicants in Lakes District Health Board (DHB) please note</w:t>
      </w:r>
      <w:r w:rsidR="005E253A">
        <w:rPr>
          <w:b/>
        </w:rPr>
        <w:t>:</w:t>
      </w:r>
      <w:r w:rsidR="005E253A">
        <w:t xml:space="preserve"> </w:t>
      </w:r>
      <w:r>
        <w:t>The DHB will prioritise MPDS applications that align to the DHB Annual/Māori Health Plan priorities in particular the Disparities section.</w:t>
      </w:r>
      <w:r w:rsidR="00D60C04">
        <w:t xml:space="preserve"> </w:t>
      </w:r>
      <w:r>
        <w:t>The DHB is also keen to support development in Mental Health and Addiction services (healthy lifestyles).</w:t>
      </w:r>
    </w:p>
    <w:p w:rsidR="006A2A53" w:rsidRPr="0086132F" w:rsidRDefault="006A2A53" w:rsidP="005E253A"/>
    <w:p w:rsidR="006A2A53" w:rsidRPr="00167F82" w:rsidRDefault="006A2A53" w:rsidP="005E253A">
      <w:r w:rsidRPr="005E253A">
        <w:rPr>
          <w:b/>
        </w:rPr>
        <w:t>Applicants in Counties Manukau District Health Board (DHB) please note</w:t>
      </w:r>
      <w:r w:rsidR="005E253A">
        <w:rPr>
          <w:b/>
        </w:rPr>
        <w:t>:</w:t>
      </w:r>
      <w:r w:rsidR="005E253A">
        <w:t xml:space="preserve"> </w:t>
      </w:r>
      <w:r w:rsidRPr="00167F82">
        <w:t>The DHB will prioritise MPDS applications</w:t>
      </w:r>
      <w:r>
        <w:t xml:space="preserve"> that align to the DHB Annual/Mā</w:t>
      </w:r>
      <w:r w:rsidRPr="00167F82">
        <w:t xml:space="preserve">ori Health Plan priorities with an emphasis on improving </w:t>
      </w:r>
      <w:r>
        <w:t>outcomes and health gains for Mā</w:t>
      </w:r>
      <w:r w:rsidRPr="00167F82">
        <w:t>ori and whanau development.</w:t>
      </w:r>
    </w:p>
    <w:p w:rsidR="006A2A53" w:rsidRPr="0086132F" w:rsidRDefault="006A2A53" w:rsidP="005E253A"/>
    <w:p w:rsidR="006A2A53" w:rsidRPr="0086132F" w:rsidRDefault="006A2A53" w:rsidP="006A2A53">
      <w:r w:rsidRPr="0086132F">
        <w:br w:type="page"/>
      </w:r>
    </w:p>
    <w:p w:rsidR="006A2A53" w:rsidRPr="0086132F" w:rsidRDefault="006A2A53" w:rsidP="005E253A">
      <w:pPr>
        <w:pStyle w:val="Heading1"/>
      </w:pPr>
      <w:bookmarkStart w:id="40" w:name="_Toc115863450"/>
      <w:bookmarkStart w:id="41" w:name="_Toc160506541"/>
      <w:bookmarkStart w:id="42" w:name="_Toc256770836"/>
      <w:bookmarkStart w:id="43" w:name="_Toc321228626"/>
      <w:bookmarkStart w:id="44" w:name="_Toc321229381"/>
      <w:bookmarkStart w:id="45" w:name="_Toc358191470"/>
      <w:bookmarkStart w:id="46" w:name="_Toc410155467"/>
      <w:bookmarkEnd w:id="27"/>
      <w:bookmarkEnd w:id="28"/>
      <w:bookmarkEnd w:id="29"/>
      <w:r w:rsidRPr="0086132F">
        <w:lastRenderedPageBreak/>
        <w:t xml:space="preserve">Māori health </w:t>
      </w:r>
      <w:r>
        <w:t xml:space="preserve">and disability </w:t>
      </w:r>
      <w:r w:rsidRPr="0086132F">
        <w:t>providers</w:t>
      </w:r>
      <w:bookmarkEnd w:id="40"/>
      <w:bookmarkEnd w:id="41"/>
      <w:bookmarkEnd w:id="42"/>
      <w:bookmarkEnd w:id="43"/>
      <w:bookmarkEnd w:id="44"/>
      <w:bookmarkEnd w:id="45"/>
      <w:r>
        <w:t xml:space="preserve"> (</w:t>
      </w:r>
      <w:r w:rsidR="005E253A">
        <w:t>n</w:t>
      </w:r>
      <w:r>
        <w:t>ational)</w:t>
      </w:r>
      <w:bookmarkEnd w:id="46"/>
    </w:p>
    <w:p w:rsidR="00D60C04" w:rsidRDefault="006A2A53" w:rsidP="005E253A">
      <w:r w:rsidRPr="0086132F">
        <w:t>Assisting national</w:t>
      </w:r>
      <w:r>
        <w:t xml:space="preserve"> Māori health</w:t>
      </w:r>
      <w:r w:rsidRPr="0086132F">
        <w:t xml:space="preserve"> providers is a strategic investment to support Māori health workforce development, strengthen clinical and medical expertise, improve Māori provider collaboration, enhance governance responsibilities, and significantly improve the collection and use of health information.</w:t>
      </w:r>
    </w:p>
    <w:p w:rsidR="006A2A53" w:rsidRDefault="006A2A53" w:rsidP="005E253A"/>
    <w:p w:rsidR="006A2A53" w:rsidRPr="0047173A" w:rsidRDefault="006A2A53" w:rsidP="005E253A">
      <w:pPr>
        <w:pStyle w:val="Heading2"/>
      </w:pPr>
      <w:bookmarkStart w:id="47" w:name="_Toc410155468"/>
      <w:r w:rsidRPr="0047173A">
        <w:t xml:space="preserve">Eligibility </w:t>
      </w:r>
      <w:r w:rsidR="005E253A">
        <w:t>c</w:t>
      </w:r>
      <w:r w:rsidRPr="0047173A">
        <w:t>riteria</w:t>
      </w:r>
      <w:bookmarkEnd w:id="47"/>
    </w:p>
    <w:p w:rsidR="006A2A53" w:rsidRPr="0086132F" w:rsidRDefault="006A2A53" w:rsidP="005E253A">
      <w:bookmarkStart w:id="48" w:name="_Toc155741715"/>
      <w:bookmarkStart w:id="49" w:name="_Toc160506543"/>
      <w:bookmarkStart w:id="50" w:name="_Toc257106150"/>
      <w:bookmarkStart w:id="51" w:name="_Toc321228627"/>
      <w:bookmarkStart w:id="52" w:name="_Toc321229382"/>
      <w:bookmarkStart w:id="53" w:name="_Toc358191471"/>
      <w:r w:rsidRPr="0086132F">
        <w:t xml:space="preserve">Funding under the </w:t>
      </w:r>
      <w:r>
        <w:t xml:space="preserve">MPDS </w:t>
      </w:r>
      <w:r w:rsidRPr="0086132F">
        <w:t xml:space="preserve">for </w:t>
      </w:r>
      <w:r>
        <w:t xml:space="preserve">national </w:t>
      </w:r>
      <w:r w:rsidRPr="0086132F">
        <w:t>Māori health providers is only available to health providers, or health organisations, that are owned, governed and operated by iwi and/or Māori organisations.</w:t>
      </w:r>
    </w:p>
    <w:p w:rsidR="006A2A53" w:rsidRPr="0086132F" w:rsidRDefault="006A2A53" w:rsidP="002C6145"/>
    <w:p w:rsidR="006A2A53" w:rsidRPr="0086132F" w:rsidRDefault="006A2A53" w:rsidP="002C6145">
      <w:r w:rsidRPr="0086132F">
        <w:t>To meet these criteria, there must be sufficient evidence that confirms:</w:t>
      </w:r>
    </w:p>
    <w:p w:rsidR="006A2A53" w:rsidRPr="0086132F" w:rsidRDefault="006A2A53" w:rsidP="006A2A53">
      <w:pPr>
        <w:spacing w:before="90"/>
        <w:ind w:left="567" w:hanging="567"/>
      </w:pPr>
      <w:r w:rsidRPr="0086132F">
        <w:t>1.</w:t>
      </w:r>
      <w:r w:rsidRPr="0086132F">
        <w:tab/>
      </w:r>
      <w:proofErr w:type="gramStart"/>
      <w:r w:rsidRPr="0086132F">
        <w:t>the</w:t>
      </w:r>
      <w:proofErr w:type="gramEnd"/>
      <w:r w:rsidRPr="0086132F">
        <w:t xml:space="preserve"> applicant</w:t>
      </w:r>
      <w:r w:rsidR="007D080F">
        <w:t>’</w:t>
      </w:r>
      <w:r w:rsidRPr="0086132F">
        <w:t>s legal entity status (charitable trust/company/incorporated society)</w:t>
      </w:r>
    </w:p>
    <w:p w:rsidR="006A2A53" w:rsidRPr="0086132F" w:rsidRDefault="006A2A53" w:rsidP="006A2A53">
      <w:pPr>
        <w:spacing w:before="90"/>
        <w:ind w:left="567" w:hanging="567"/>
      </w:pPr>
      <w:r w:rsidRPr="0086132F">
        <w:t>2.</w:t>
      </w:r>
      <w:r w:rsidRPr="0086132F">
        <w:tab/>
      </w:r>
      <w:proofErr w:type="gramStart"/>
      <w:r w:rsidRPr="0086132F">
        <w:t>the</w:t>
      </w:r>
      <w:proofErr w:type="gramEnd"/>
      <w:r w:rsidRPr="0086132F">
        <w:t xml:space="preserve"> legal entity is register</w:t>
      </w:r>
      <w:r>
        <w:t>ed with the Charities Services</w:t>
      </w:r>
    </w:p>
    <w:p w:rsidR="006A2A53" w:rsidRPr="0086132F" w:rsidRDefault="006A2A53" w:rsidP="006A2A53">
      <w:pPr>
        <w:spacing w:before="90"/>
        <w:ind w:left="567" w:hanging="567"/>
      </w:pPr>
      <w:r w:rsidRPr="0086132F">
        <w:t>3.</w:t>
      </w:r>
      <w:r w:rsidRPr="0086132F">
        <w:tab/>
      </w:r>
      <w:proofErr w:type="gramStart"/>
      <w:r w:rsidRPr="0086132F">
        <w:t>the</w:t>
      </w:r>
      <w:proofErr w:type="gramEnd"/>
      <w:r w:rsidRPr="0086132F">
        <w:t xml:space="preserve"> beneficiaries/members who appoint the Board are majority Māori</w:t>
      </w:r>
    </w:p>
    <w:p w:rsidR="006A2A53" w:rsidRPr="0086132F" w:rsidRDefault="006A2A53" w:rsidP="006A2A53">
      <w:pPr>
        <w:spacing w:before="90"/>
        <w:ind w:left="567" w:hanging="567"/>
      </w:pPr>
      <w:r w:rsidRPr="0086132F">
        <w:t>4.</w:t>
      </w:r>
      <w:r w:rsidRPr="0086132F">
        <w:tab/>
      </w:r>
      <w:proofErr w:type="gramStart"/>
      <w:r w:rsidRPr="0086132F">
        <w:t>the</w:t>
      </w:r>
      <w:proofErr w:type="gramEnd"/>
      <w:r w:rsidRPr="0086132F">
        <w:t xml:space="preserve"> majority of current Board members are Māori</w:t>
      </w:r>
    </w:p>
    <w:p w:rsidR="006A2A53" w:rsidRPr="0086132F" w:rsidRDefault="006A2A53" w:rsidP="006A2A53">
      <w:pPr>
        <w:spacing w:before="90"/>
        <w:ind w:left="567" w:hanging="567"/>
      </w:pPr>
      <w:r w:rsidRPr="0086132F">
        <w:t>5.</w:t>
      </w:r>
      <w:r w:rsidRPr="0086132F">
        <w:tab/>
      </w:r>
      <w:proofErr w:type="gramStart"/>
      <w:r w:rsidRPr="0086132F">
        <w:t>the</w:t>
      </w:r>
      <w:proofErr w:type="gramEnd"/>
      <w:r w:rsidRPr="0086132F">
        <w:t xml:space="preserve"> owners/directors of the company are majority Māori</w:t>
      </w:r>
    </w:p>
    <w:p w:rsidR="006A2A53" w:rsidRPr="0086132F" w:rsidRDefault="006A2A53" w:rsidP="006A2A53">
      <w:pPr>
        <w:spacing w:before="90"/>
        <w:ind w:left="567" w:hanging="567"/>
      </w:pPr>
      <w:r w:rsidRPr="0086132F">
        <w:t>6.</w:t>
      </w:r>
      <w:r w:rsidRPr="0086132F">
        <w:tab/>
      </w:r>
      <w:proofErr w:type="gramStart"/>
      <w:r w:rsidRPr="0086132F">
        <w:t>levels</w:t>
      </w:r>
      <w:proofErr w:type="gramEnd"/>
      <w:r w:rsidRPr="0086132F">
        <w:t xml:space="preserve"> of Māori representation outlined in points 3–5 above are maintained over time</w:t>
      </w:r>
    </w:p>
    <w:p w:rsidR="006A2A53" w:rsidRPr="0086132F" w:rsidRDefault="006A2A53" w:rsidP="006A2A53">
      <w:pPr>
        <w:spacing w:before="90"/>
        <w:ind w:left="567" w:hanging="567"/>
      </w:pPr>
      <w:r w:rsidRPr="0086132F">
        <w:t>7.</w:t>
      </w:r>
      <w:r w:rsidRPr="0086132F">
        <w:tab/>
      </w:r>
      <w:proofErr w:type="gramStart"/>
      <w:r w:rsidRPr="0086132F">
        <w:t>in</w:t>
      </w:r>
      <w:proofErr w:type="gramEnd"/>
      <w:r w:rsidRPr="0086132F">
        <w:t xml:space="preserve"> the event of closure or wind up, assets are disbursed to a Māori community or an organisation meeting the same criteria.</w:t>
      </w:r>
    </w:p>
    <w:p w:rsidR="006A2A53" w:rsidRPr="0086132F" w:rsidRDefault="006A2A53" w:rsidP="002C6145"/>
    <w:p w:rsidR="006A2A53" w:rsidRPr="0086132F" w:rsidRDefault="006A2A53" w:rsidP="002C6145">
      <w:pPr>
        <w:pStyle w:val="Heading2"/>
      </w:pPr>
      <w:bookmarkStart w:id="54" w:name="_Toc410155469"/>
      <w:r w:rsidRPr="0086132F">
        <w:t xml:space="preserve">Funding </w:t>
      </w:r>
      <w:bookmarkEnd w:id="48"/>
      <w:bookmarkEnd w:id="49"/>
      <w:bookmarkEnd w:id="50"/>
      <w:bookmarkEnd w:id="51"/>
      <w:bookmarkEnd w:id="52"/>
      <w:bookmarkEnd w:id="53"/>
      <w:r w:rsidRPr="0086132F">
        <w:t>allocation</w:t>
      </w:r>
      <w:bookmarkEnd w:id="54"/>
    </w:p>
    <w:p w:rsidR="00D60C04" w:rsidRDefault="006A2A53" w:rsidP="002C6145">
      <w:r w:rsidRPr="0086132F">
        <w:t xml:space="preserve">The national Māori health </w:t>
      </w:r>
      <w:r>
        <w:t>provider funding stream for 2015/16 MPDS has been allocated $1,2</w:t>
      </w:r>
      <w:r w:rsidRPr="0086132F">
        <w:t>00,000.00 (GST exclusive).</w:t>
      </w:r>
    </w:p>
    <w:p w:rsidR="002C6145" w:rsidRDefault="002C6145" w:rsidP="002C6145"/>
    <w:p w:rsidR="002C6145" w:rsidRDefault="002C6145" w:rsidP="002C6145">
      <w:bookmarkStart w:id="55" w:name="_Toc115863470"/>
      <w:bookmarkStart w:id="56" w:name="_Toc155741733"/>
      <w:bookmarkStart w:id="57" w:name="_Toc160506554"/>
      <w:bookmarkStart w:id="58" w:name="_Toc256770839"/>
      <w:bookmarkStart w:id="59" w:name="_Toc321228632"/>
      <w:bookmarkStart w:id="60" w:name="_Toc321229387"/>
      <w:bookmarkStart w:id="61" w:name="_Toc358191478"/>
      <w:r>
        <w:br w:type="page"/>
      </w:r>
    </w:p>
    <w:p w:rsidR="006A2A53" w:rsidRPr="0086132F" w:rsidRDefault="006A2A53" w:rsidP="002C6145">
      <w:pPr>
        <w:pStyle w:val="Heading1"/>
      </w:pPr>
      <w:bookmarkStart w:id="62" w:name="_Toc410155470"/>
      <w:r w:rsidRPr="0086132F">
        <w:lastRenderedPageBreak/>
        <w:t>Hauora Māori scholarships</w:t>
      </w:r>
      <w:bookmarkEnd w:id="55"/>
      <w:bookmarkEnd w:id="56"/>
      <w:bookmarkEnd w:id="57"/>
      <w:bookmarkEnd w:id="58"/>
      <w:r w:rsidRPr="0086132F">
        <w:t xml:space="preserve"> 201</w:t>
      </w:r>
      <w:bookmarkEnd w:id="59"/>
      <w:bookmarkEnd w:id="60"/>
      <w:bookmarkEnd w:id="61"/>
      <w:r>
        <w:t>6</w:t>
      </w:r>
      <w:bookmarkEnd w:id="62"/>
    </w:p>
    <w:p w:rsidR="006A2A53" w:rsidRPr="0086132F" w:rsidRDefault="006A2A53" w:rsidP="002C6145">
      <w:r w:rsidRPr="0086132F">
        <w:rPr>
          <w:color w:val="000000"/>
        </w:rPr>
        <w:t xml:space="preserve">The funding area of Hauora Māori scholarships (HMS) provides financial </w:t>
      </w:r>
      <w:r w:rsidRPr="0086132F">
        <w:t>assistance to students who are undertaking or completing a course in health and disability studies that has been accredited by the New Zealand Qualifications Authority (NZQA).</w:t>
      </w:r>
    </w:p>
    <w:p w:rsidR="006A2A53" w:rsidRPr="0086132F" w:rsidRDefault="006A2A53" w:rsidP="002C6145"/>
    <w:p w:rsidR="006A2A53" w:rsidRPr="0086132F" w:rsidRDefault="006A2A53" w:rsidP="002C6145">
      <w:pPr>
        <w:pStyle w:val="Heading2"/>
      </w:pPr>
      <w:bookmarkStart w:id="63" w:name="_Toc358191479"/>
      <w:bookmarkStart w:id="64" w:name="_Toc410155471"/>
      <w:r w:rsidRPr="0086132F">
        <w:t>Eligibility criteria</w:t>
      </w:r>
      <w:bookmarkEnd w:id="63"/>
      <w:bookmarkEnd w:id="64"/>
    </w:p>
    <w:p w:rsidR="006A2A53" w:rsidRPr="0086132F" w:rsidRDefault="006A2A53" w:rsidP="002C6145">
      <w:r w:rsidRPr="0086132F">
        <w:t>The scholarships are open to any student who:</w:t>
      </w:r>
    </w:p>
    <w:p w:rsidR="006A2A53" w:rsidRPr="0086132F" w:rsidRDefault="006A2A53" w:rsidP="002C6145">
      <w:pPr>
        <w:pStyle w:val="Bullet"/>
      </w:pPr>
      <w:r w:rsidRPr="0086132F">
        <w:t>is enrolled in and attending a university, polytechnic, wānanga or private training establishment based in New Zealand</w:t>
      </w:r>
    </w:p>
    <w:p w:rsidR="006A2A53" w:rsidRPr="0086132F" w:rsidRDefault="006A2A53" w:rsidP="002C6145">
      <w:pPr>
        <w:pStyle w:val="Bullet"/>
      </w:pPr>
      <w:r w:rsidRPr="0086132F">
        <w:t>has whakapapa and/or cultural links with te ao Māori or Māori communities</w:t>
      </w:r>
    </w:p>
    <w:p w:rsidR="006A2A53" w:rsidRPr="0086132F" w:rsidRDefault="006A2A53" w:rsidP="002C6145">
      <w:pPr>
        <w:pStyle w:val="Bullet"/>
      </w:pPr>
      <w:r w:rsidRPr="0086132F">
        <w:t>can demonstrate a commitment to and/or competence in Māori health and wellbeing studies</w:t>
      </w:r>
    </w:p>
    <w:p w:rsidR="006A2A53" w:rsidRPr="0086132F" w:rsidRDefault="006A2A53" w:rsidP="002C6145">
      <w:pPr>
        <w:pStyle w:val="Bullet"/>
      </w:pPr>
      <w:proofErr w:type="gramStart"/>
      <w:r w:rsidRPr="0086132F">
        <w:t>is</w:t>
      </w:r>
      <w:proofErr w:type="gramEnd"/>
      <w:r w:rsidRPr="0086132F">
        <w:t xml:space="preserve"> studying a health-related, NZQA-accredited course.</w:t>
      </w:r>
    </w:p>
    <w:p w:rsidR="006A2A53" w:rsidRPr="0086132F" w:rsidRDefault="006A2A53" w:rsidP="002C6145"/>
    <w:p w:rsidR="006A2A53" w:rsidRPr="0086132F" w:rsidRDefault="006A2A53" w:rsidP="002C6145">
      <w:r w:rsidRPr="0086132F">
        <w:rPr>
          <w:b/>
        </w:rPr>
        <w:t>Note:</w:t>
      </w:r>
      <w:r w:rsidRPr="0086132F">
        <w:t xml:space="preserve"> Hauora Māori scholarships are not available to Ministry or DHB employees.</w:t>
      </w:r>
    </w:p>
    <w:p w:rsidR="006A2A53" w:rsidRPr="0086132F" w:rsidRDefault="006A2A53" w:rsidP="002C6145"/>
    <w:p w:rsidR="006A2A53" w:rsidRPr="0086132F" w:rsidRDefault="006A2A53" w:rsidP="002C6145">
      <w:pPr>
        <w:pStyle w:val="Heading2"/>
      </w:pPr>
      <w:bookmarkStart w:id="65" w:name="_Toc358191480"/>
      <w:bookmarkStart w:id="66" w:name="_Toc410155472"/>
      <w:bookmarkStart w:id="67" w:name="_Toc155741735"/>
      <w:bookmarkStart w:id="68" w:name="_Toc160506556"/>
      <w:bookmarkStart w:id="69" w:name="_Toc257106160"/>
      <w:r w:rsidRPr="0086132F">
        <w:t>Scholarship categories</w:t>
      </w:r>
      <w:bookmarkEnd w:id="65"/>
      <w:bookmarkEnd w:id="66"/>
    </w:p>
    <w:p w:rsidR="006A2A53" w:rsidRPr="0086132F" w:rsidRDefault="006A2A53" w:rsidP="002C6145">
      <w:r w:rsidRPr="0086132F">
        <w:t xml:space="preserve">Students can apply only once a year and in one of the 11 categories: community health workers, dentistry, dieticians, health management, medicine, midwifery, nursing, </w:t>
      </w:r>
      <w:proofErr w:type="gramStart"/>
      <w:r w:rsidRPr="0086132F">
        <w:t>pharmacy</w:t>
      </w:r>
      <w:proofErr w:type="gramEnd"/>
      <w:r w:rsidRPr="0086132F">
        <w:t>, physiotherapy, postgraduate and undergraduate.</w:t>
      </w:r>
    </w:p>
    <w:p w:rsidR="006A2A53" w:rsidRPr="0086132F" w:rsidRDefault="006A2A53" w:rsidP="002C6145"/>
    <w:p w:rsidR="006A2A53" w:rsidRPr="0086132F" w:rsidRDefault="006A2A53" w:rsidP="002C6145">
      <w:r w:rsidRPr="0086132F">
        <w:t>In addition, one Excellence Award is granted in each category.</w:t>
      </w:r>
      <w:r w:rsidR="00D60C04">
        <w:t xml:space="preserve"> </w:t>
      </w:r>
      <w:r w:rsidRPr="0086132F">
        <w:t xml:space="preserve">Also, two scholarships are awarded for each of the John McLeod and Te </w:t>
      </w:r>
      <w:proofErr w:type="gramStart"/>
      <w:r w:rsidRPr="0086132F">
        <w:t>Apa</w:t>
      </w:r>
      <w:proofErr w:type="gramEnd"/>
      <w:r w:rsidRPr="0086132F">
        <w:t xml:space="preserve"> Mareikura awards.</w:t>
      </w:r>
      <w:r w:rsidR="00D60C04">
        <w:t xml:space="preserve"> </w:t>
      </w:r>
      <w:r w:rsidRPr="0086132F">
        <w:t>John McLeod scholarships are awarded to applicants who show a strong commitment to Māori health, leadership qualities and excellence in academia.</w:t>
      </w:r>
      <w:r w:rsidR="00D60C04">
        <w:t xml:space="preserve"> </w:t>
      </w:r>
      <w:r w:rsidRPr="0086132F">
        <w:t xml:space="preserve">Te </w:t>
      </w:r>
      <w:proofErr w:type="gramStart"/>
      <w:r w:rsidRPr="0086132F">
        <w:t>Apa</w:t>
      </w:r>
      <w:proofErr w:type="gramEnd"/>
      <w:r w:rsidRPr="0086132F">
        <w:t xml:space="preserve"> Mareikura scholarships are awarded to applicants who demonstrate competencies in community health, strong connections to and involvement with the community, proven leadership ability, effective networks and academic performance that contribute to future Māori health gains.</w:t>
      </w:r>
      <w:r w:rsidR="00D60C04">
        <w:t xml:space="preserve"> </w:t>
      </w:r>
      <w:r w:rsidRPr="0086132F">
        <w:t>The Ministry of Health awards these at its discretion and students cannot apply directly.</w:t>
      </w:r>
    </w:p>
    <w:p w:rsidR="006A2A53" w:rsidRPr="0086132F" w:rsidRDefault="006A2A53" w:rsidP="002C6145"/>
    <w:p w:rsidR="006A2A53" w:rsidRPr="0086132F" w:rsidRDefault="006A2A53" w:rsidP="002C6145">
      <w:pPr>
        <w:pStyle w:val="Heading2"/>
      </w:pPr>
      <w:bookmarkStart w:id="70" w:name="_Toc321228633"/>
      <w:bookmarkStart w:id="71" w:name="_Toc321229388"/>
      <w:bookmarkStart w:id="72" w:name="_Toc358191481"/>
      <w:bookmarkStart w:id="73" w:name="_Toc410155473"/>
      <w:r w:rsidRPr="0086132F">
        <w:t>Funding allocation</w:t>
      </w:r>
      <w:bookmarkEnd w:id="67"/>
      <w:bookmarkEnd w:id="68"/>
      <w:bookmarkEnd w:id="69"/>
      <w:bookmarkEnd w:id="70"/>
      <w:bookmarkEnd w:id="71"/>
      <w:bookmarkEnd w:id="72"/>
      <w:bookmarkEnd w:id="73"/>
    </w:p>
    <w:p w:rsidR="006A2A53" w:rsidRPr="0086132F" w:rsidRDefault="006A2A53" w:rsidP="002C6145">
      <w:r w:rsidRPr="0086132F">
        <w:t>The Ministry of Health has allocated $1,237,500.00 (GST exclusive) to Ha</w:t>
      </w:r>
      <w:r>
        <w:t>uora Māori scholarships for 2016</w:t>
      </w:r>
      <w:r w:rsidRPr="0086132F">
        <w:t>.</w:t>
      </w:r>
    </w:p>
    <w:p w:rsidR="006A2A53" w:rsidRPr="0086132F" w:rsidRDefault="006A2A53" w:rsidP="002C6145"/>
    <w:p w:rsidR="006A2A53" w:rsidRPr="0086132F" w:rsidRDefault="006A2A53" w:rsidP="002C6145">
      <w:r>
        <w:t>Table 4</w:t>
      </w:r>
      <w:r w:rsidRPr="0086132F">
        <w:t xml:space="preserve"> sets out the proposed allocation</w:t>
      </w:r>
      <w:r>
        <w:t xml:space="preserve"> of scholarship funding</w:t>
      </w:r>
      <w:r w:rsidRPr="0086132F">
        <w:t>.</w:t>
      </w:r>
    </w:p>
    <w:p w:rsidR="006A2A53" w:rsidRPr="0086132F" w:rsidRDefault="006A2A53" w:rsidP="002C6145"/>
    <w:p w:rsidR="006A2A53" w:rsidRPr="0086132F" w:rsidRDefault="006A2A53" w:rsidP="002C6145">
      <w:pPr>
        <w:pStyle w:val="Table"/>
      </w:pPr>
      <w:bookmarkStart w:id="74" w:name="_Toc257106161"/>
      <w:bookmarkStart w:id="75" w:name="_Toc321228634"/>
      <w:bookmarkStart w:id="76" w:name="_Toc321229389"/>
      <w:bookmarkStart w:id="77" w:name="_Toc360019039"/>
      <w:r w:rsidRPr="0086132F">
        <w:lastRenderedPageBreak/>
        <w:t>Table 4: Proposed allocation of Hauora Māori scholarship funding for 20</w:t>
      </w:r>
      <w:bookmarkEnd w:id="74"/>
      <w:bookmarkEnd w:id="75"/>
      <w:bookmarkEnd w:id="76"/>
      <w:bookmarkEnd w:id="77"/>
      <w:r>
        <w:t>16</w:t>
      </w:r>
    </w:p>
    <w:tbl>
      <w:tblPr>
        <w:tblW w:w="0" w:type="auto"/>
        <w:tblInd w:w="57" w:type="dxa"/>
        <w:tblBorders>
          <w:top w:val="single" w:sz="4" w:space="0" w:color="auto"/>
          <w:bottom w:val="single" w:sz="4" w:space="0" w:color="auto"/>
        </w:tblBorders>
        <w:tblLayout w:type="fixed"/>
        <w:tblCellMar>
          <w:left w:w="57" w:type="dxa"/>
          <w:right w:w="57" w:type="dxa"/>
        </w:tblCellMar>
        <w:tblLook w:val="0160" w:firstRow="1" w:lastRow="1" w:firstColumn="0" w:lastColumn="1" w:noHBand="0" w:noVBand="0"/>
      </w:tblPr>
      <w:tblGrid>
        <w:gridCol w:w="559"/>
        <w:gridCol w:w="2702"/>
        <w:gridCol w:w="2031"/>
        <w:gridCol w:w="2032"/>
        <w:gridCol w:w="2032"/>
      </w:tblGrid>
      <w:tr w:rsidR="006A2A53" w:rsidRPr="002C6145" w:rsidTr="002C6145">
        <w:trPr>
          <w:cantSplit/>
          <w:tblHeader/>
        </w:trPr>
        <w:tc>
          <w:tcPr>
            <w:tcW w:w="559" w:type="dxa"/>
            <w:tcBorders>
              <w:top w:val="single" w:sz="4" w:space="0" w:color="auto"/>
              <w:bottom w:val="single" w:sz="4" w:space="0" w:color="auto"/>
            </w:tcBorders>
          </w:tcPr>
          <w:p w:rsidR="006A2A53" w:rsidRPr="002C6145" w:rsidRDefault="006A2A53" w:rsidP="002C6145">
            <w:pPr>
              <w:pStyle w:val="TableText"/>
              <w:keepNext/>
              <w:rPr>
                <w:b/>
              </w:rPr>
            </w:pPr>
            <w:r w:rsidRPr="002C6145">
              <w:rPr>
                <w:b/>
              </w:rPr>
              <w:t>No.</w:t>
            </w:r>
          </w:p>
        </w:tc>
        <w:tc>
          <w:tcPr>
            <w:tcW w:w="2702" w:type="dxa"/>
            <w:tcBorders>
              <w:top w:val="single" w:sz="4" w:space="0" w:color="auto"/>
              <w:bottom w:val="single" w:sz="4" w:space="0" w:color="auto"/>
            </w:tcBorders>
          </w:tcPr>
          <w:p w:rsidR="006A2A53" w:rsidRPr="002C6145" w:rsidRDefault="006A2A53" w:rsidP="002C6145">
            <w:pPr>
              <w:pStyle w:val="TableText"/>
              <w:keepNext/>
              <w:rPr>
                <w:b/>
              </w:rPr>
            </w:pPr>
            <w:r w:rsidRPr="002C6145">
              <w:rPr>
                <w:b/>
              </w:rPr>
              <w:t>Category</w:t>
            </w:r>
          </w:p>
        </w:tc>
        <w:tc>
          <w:tcPr>
            <w:tcW w:w="2031" w:type="dxa"/>
            <w:tcBorders>
              <w:top w:val="single" w:sz="4" w:space="0" w:color="auto"/>
              <w:bottom w:val="single" w:sz="4" w:space="0" w:color="auto"/>
            </w:tcBorders>
          </w:tcPr>
          <w:p w:rsidR="006A2A53" w:rsidRPr="002C6145" w:rsidRDefault="006A2A53" w:rsidP="002C6145">
            <w:pPr>
              <w:pStyle w:val="TableText"/>
              <w:keepNext/>
              <w:jc w:val="center"/>
              <w:rPr>
                <w:b/>
              </w:rPr>
            </w:pPr>
            <w:r w:rsidRPr="002C6145">
              <w:rPr>
                <w:b/>
              </w:rPr>
              <w:t>Proposed number</w:t>
            </w:r>
            <w:r w:rsidR="002C6145">
              <w:rPr>
                <w:b/>
              </w:rPr>
              <w:br/>
            </w:r>
            <w:r w:rsidRPr="002C6145">
              <w:rPr>
                <w:b/>
              </w:rPr>
              <w:t>2014</w:t>
            </w:r>
          </w:p>
        </w:tc>
        <w:tc>
          <w:tcPr>
            <w:tcW w:w="2032" w:type="dxa"/>
            <w:tcBorders>
              <w:top w:val="single" w:sz="4" w:space="0" w:color="auto"/>
              <w:bottom w:val="single" w:sz="4" w:space="0" w:color="auto"/>
            </w:tcBorders>
          </w:tcPr>
          <w:p w:rsidR="006A2A53" w:rsidRPr="002C6145" w:rsidRDefault="006A2A53" w:rsidP="002C6145">
            <w:pPr>
              <w:pStyle w:val="TableText"/>
              <w:keepNext/>
              <w:jc w:val="center"/>
              <w:rPr>
                <w:b/>
              </w:rPr>
            </w:pPr>
            <w:r w:rsidRPr="002C6145">
              <w:rPr>
                <w:b/>
              </w:rPr>
              <w:t>Proposed individual $ value</w:t>
            </w:r>
          </w:p>
        </w:tc>
        <w:tc>
          <w:tcPr>
            <w:tcW w:w="2032" w:type="dxa"/>
            <w:tcBorders>
              <w:top w:val="single" w:sz="4" w:space="0" w:color="auto"/>
              <w:bottom w:val="single" w:sz="4" w:space="0" w:color="auto"/>
            </w:tcBorders>
          </w:tcPr>
          <w:p w:rsidR="006A2A53" w:rsidRPr="002C6145" w:rsidRDefault="006A2A53" w:rsidP="002C6145">
            <w:pPr>
              <w:pStyle w:val="TableText"/>
              <w:keepNext/>
              <w:jc w:val="center"/>
              <w:rPr>
                <w:b/>
              </w:rPr>
            </w:pPr>
            <w:r w:rsidRPr="002C6145">
              <w:rPr>
                <w:b/>
              </w:rPr>
              <w:t>Category</w:t>
            </w:r>
            <w:r w:rsidR="002C6145">
              <w:rPr>
                <w:b/>
              </w:rPr>
              <w:br/>
            </w:r>
            <w:r w:rsidRPr="002C6145">
              <w:rPr>
                <w:b/>
              </w:rPr>
              <w:t>$ value</w:t>
            </w:r>
          </w:p>
        </w:tc>
      </w:tr>
      <w:tr w:rsidR="006A2A53" w:rsidRPr="0086132F" w:rsidTr="002C6145">
        <w:trPr>
          <w:cantSplit/>
        </w:trPr>
        <w:tc>
          <w:tcPr>
            <w:tcW w:w="559" w:type="dxa"/>
            <w:tcBorders>
              <w:top w:val="single" w:sz="4" w:space="0" w:color="auto"/>
              <w:bottom w:val="single" w:sz="4" w:space="0" w:color="A6A6A6" w:themeColor="background1" w:themeShade="A6"/>
            </w:tcBorders>
          </w:tcPr>
          <w:p w:rsidR="006A2A53" w:rsidRPr="0086132F" w:rsidRDefault="006A2A53" w:rsidP="002C6145">
            <w:pPr>
              <w:pStyle w:val="TableText"/>
              <w:keepNext/>
            </w:pPr>
            <w:r w:rsidRPr="0086132F">
              <w:t>1</w:t>
            </w:r>
          </w:p>
        </w:tc>
        <w:tc>
          <w:tcPr>
            <w:tcW w:w="2702" w:type="dxa"/>
            <w:tcBorders>
              <w:top w:val="single" w:sz="4" w:space="0" w:color="auto"/>
              <w:bottom w:val="single" w:sz="4" w:space="0" w:color="A6A6A6" w:themeColor="background1" w:themeShade="A6"/>
            </w:tcBorders>
          </w:tcPr>
          <w:p w:rsidR="006A2A53" w:rsidRPr="0086132F" w:rsidRDefault="006A2A53" w:rsidP="002C6145">
            <w:pPr>
              <w:pStyle w:val="TableText"/>
              <w:keepNext/>
            </w:pPr>
            <w:r w:rsidRPr="0086132F">
              <w:t>Community health workers</w:t>
            </w:r>
          </w:p>
        </w:tc>
        <w:tc>
          <w:tcPr>
            <w:tcW w:w="2031" w:type="dxa"/>
            <w:tcBorders>
              <w:top w:val="single" w:sz="4" w:space="0" w:color="auto"/>
              <w:bottom w:val="single" w:sz="4" w:space="0" w:color="A6A6A6" w:themeColor="background1" w:themeShade="A6"/>
            </w:tcBorders>
          </w:tcPr>
          <w:p w:rsidR="006A2A53" w:rsidRPr="0086132F" w:rsidRDefault="006A2A53" w:rsidP="002C6145">
            <w:pPr>
              <w:pStyle w:val="TableText"/>
              <w:keepNext/>
              <w:tabs>
                <w:tab w:val="decimal" w:pos="1077"/>
              </w:tabs>
              <w:rPr>
                <w:bCs/>
              </w:rPr>
            </w:pPr>
            <w:r w:rsidRPr="0086132F">
              <w:rPr>
                <w:bCs/>
              </w:rPr>
              <w:t>55</w:t>
            </w:r>
          </w:p>
        </w:tc>
        <w:tc>
          <w:tcPr>
            <w:tcW w:w="2032" w:type="dxa"/>
            <w:tcBorders>
              <w:top w:val="single" w:sz="4" w:space="0" w:color="auto"/>
              <w:bottom w:val="single" w:sz="4" w:space="0" w:color="A6A6A6" w:themeColor="background1" w:themeShade="A6"/>
            </w:tcBorders>
          </w:tcPr>
          <w:p w:rsidR="006A2A53" w:rsidRPr="0086132F" w:rsidRDefault="006A2A53" w:rsidP="002C6145">
            <w:pPr>
              <w:pStyle w:val="TableText"/>
              <w:keepNext/>
              <w:tabs>
                <w:tab w:val="decimal" w:pos="1172"/>
              </w:tabs>
              <w:rPr>
                <w:bCs/>
              </w:rPr>
            </w:pPr>
            <w:r w:rsidRPr="0086132F">
              <w:rPr>
                <w:bCs/>
              </w:rPr>
              <w:t>1,700.00</w:t>
            </w:r>
          </w:p>
        </w:tc>
        <w:tc>
          <w:tcPr>
            <w:tcW w:w="2032" w:type="dxa"/>
            <w:tcBorders>
              <w:top w:val="single" w:sz="4" w:space="0" w:color="auto"/>
              <w:bottom w:val="single" w:sz="4" w:space="0" w:color="A6A6A6" w:themeColor="background1" w:themeShade="A6"/>
            </w:tcBorders>
          </w:tcPr>
          <w:p w:rsidR="006A2A53" w:rsidRPr="0086132F" w:rsidRDefault="006A2A53" w:rsidP="002C6145">
            <w:pPr>
              <w:pStyle w:val="TableText"/>
              <w:keepNext/>
              <w:tabs>
                <w:tab w:val="decimal" w:pos="1266"/>
              </w:tabs>
            </w:pPr>
            <w:r w:rsidRPr="0086132F">
              <w:t>93,500.00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2</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Dentistry</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10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Cs/>
              </w:rPr>
            </w:pPr>
            <w:r w:rsidRPr="0086132F">
              <w:rPr>
                <w:bCs/>
              </w:rPr>
              <w:t>4,200.00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42,000.00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3</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Dieticians</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5</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Cs/>
              </w:rPr>
            </w:pPr>
            <w:r w:rsidRPr="0086132F">
              <w:rPr>
                <w:bCs/>
              </w:rPr>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8,500.00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4</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Health management</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10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Cs/>
              </w:rPr>
            </w:pPr>
            <w:r w:rsidRPr="0086132F">
              <w:rPr>
                <w:bCs/>
              </w:rPr>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17,000.00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5</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Medicine</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pPr>
            <w:r w:rsidRPr="0086132F">
              <w:t>100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Cs/>
              </w:rPr>
            </w:pPr>
            <w:r w:rsidRPr="0086132F">
              <w:rPr>
                <w:bCs/>
              </w:rPr>
              <w:t>4,200.00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420,000.00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6</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Midwifery</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25</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42,500.00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7</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Nursing</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155</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263,500.00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8</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Pharmacy</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pPr>
            <w:r w:rsidRPr="0086132F">
              <w:t>10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17,000.00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9</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Physiotherapy</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20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34,000.00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10</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Postgraduate</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55</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Cs/>
              </w:rPr>
            </w:pPr>
            <w:r w:rsidRPr="0086132F">
              <w:rPr>
                <w:bCs/>
              </w:rPr>
              <w:t>2,200.00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121,000.00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11</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Undergraduate</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Cs/>
              </w:rPr>
            </w:pPr>
            <w:r w:rsidRPr="0086132F">
              <w:rPr>
                <w:bCs/>
              </w:rPr>
              <w:t>75</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1,700.00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127,500.00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rPr>
                <w:b/>
              </w:rPr>
            </w:pP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rPr>
                <w:b/>
              </w:rPr>
            </w:pPr>
            <w:r w:rsidRPr="0086132F">
              <w:rPr>
                <w:b/>
              </w:rPr>
              <w:t>Subtotal</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rPr>
                <w:b/>
                <w:bCs/>
              </w:rPr>
            </w:pPr>
            <w:r w:rsidRPr="0086132F">
              <w:rPr>
                <w:b/>
                <w:bCs/>
              </w:rPr>
              <w:t>520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rPr>
                <w:b/>
              </w:rPr>
            </w:pP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1,186,500.00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12</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Excellence award</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pPr>
            <w:r w:rsidRPr="0086132F">
              <w:t>11</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1,000.00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11,000.00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13</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John McLeod</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pPr>
            <w:r w:rsidRPr="0086132F">
              <w:t>2</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t>10,000.00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20,000.00</w:t>
            </w:r>
          </w:p>
        </w:tc>
      </w:tr>
      <w:tr w:rsidR="006A2A53" w:rsidRPr="0086132F" w:rsidTr="002C6145">
        <w:trPr>
          <w:cantSplit/>
        </w:trPr>
        <w:tc>
          <w:tcPr>
            <w:tcW w:w="559"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14</w:t>
            </w:r>
          </w:p>
        </w:tc>
        <w:tc>
          <w:tcPr>
            <w:tcW w:w="270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pPr>
            <w:r w:rsidRPr="0086132F">
              <w:t>Te Apa Mareikura</w:t>
            </w:r>
          </w:p>
        </w:tc>
        <w:tc>
          <w:tcPr>
            <w:tcW w:w="2031"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077"/>
              </w:tabs>
            </w:pPr>
            <w:r w:rsidRPr="0086132F">
              <w:t>2</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172"/>
              </w:tabs>
            </w:pPr>
            <w:r w:rsidRPr="0086132F">
              <w:rPr>
                <w:bCs/>
              </w:rPr>
              <w:t>10,000.00</w:t>
            </w:r>
          </w:p>
        </w:tc>
        <w:tc>
          <w:tcPr>
            <w:tcW w:w="2032" w:type="dxa"/>
            <w:tcBorders>
              <w:top w:val="single" w:sz="4" w:space="0" w:color="A6A6A6" w:themeColor="background1" w:themeShade="A6"/>
              <w:bottom w:val="single" w:sz="4" w:space="0" w:color="A6A6A6" w:themeColor="background1" w:themeShade="A6"/>
            </w:tcBorders>
          </w:tcPr>
          <w:p w:rsidR="006A2A53" w:rsidRPr="0086132F" w:rsidRDefault="006A2A53" w:rsidP="002C6145">
            <w:pPr>
              <w:pStyle w:val="TableText"/>
              <w:tabs>
                <w:tab w:val="decimal" w:pos="1266"/>
              </w:tabs>
            </w:pPr>
            <w:r w:rsidRPr="0086132F">
              <w:t>20,000.00</w:t>
            </w:r>
          </w:p>
        </w:tc>
      </w:tr>
      <w:tr w:rsidR="006A2A53" w:rsidRPr="002C6145" w:rsidTr="002C6145">
        <w:trPr>
          <w:cantSplit/>
        </w:trPr>
        <w:tc>
          <w:tcPr>
            <w:tcW w:w="559" w:type="dxa"/>
            <w:tcBorders>
              <w:top w:val="single" w:sz="4" w:space="0" w:color="A6A6A6" w:themeColor="background1" w:themeShade="A6"/>
            </w:tcBorders>
          </w:tcPr>
          <w:p w:rsidR="006A2A53" w:rsidRPr="002C6145" w:rsidRDefault="006A2A53" w:rsidP="002C6145">
            <w:pPr>
              <w:pStyle w:val="TableText"/>
              <w:rPr>
                <w:b/>
              </w:rPr>
            </w:pPr>
          </w:p>
        </w:tc>
        <w:tc>
          <w:tcPr>
            <w:tcW w:w="2702" w:type="dxa"/>
            <w:tcBorders>
              <w:top w:val="single" w:sz="4" w:space="0" w:color="A6A6A6" w:themeColor="background1" w:themeShade="A6"/>
            </w:tcBorders>
          </w:tcPr>
          <w:p w:rsidR="006A2A53" w:rsidRPr="002C6145" w:rsidRDefault="006A2A53" w:rsidP="002C6145">
            <w:pPr>
              <w:pStyle w:val="TableText"/>
              <w:rPr>
                <w:b/>
              </w:rPr>
            </w:pPr>
            <w:r w:rsidRPr="002C6145">
              <w:rPr>
                <w:b/>
              </w:rPr>
              <w:t>Total</w:t>
            </w:r>
          </w:p>
        </w:tc>
        <w:tc>
          <w:tcPr>
            <w:tcW w:w="2031" w:type="dxa"/>
            <w:tcBorders>
              <w:top w:val="single" w:sz="4" w:space="0" w:color="A6A6A6" w:themeColor="background1" w:themeShade="A6"/>
            </w:tcBorders>
          </w:tcPr>
          <w:p w:rsidR="006A2A53" w:rsidRPr="002C6145" w:rsidRDefault="006A2A53" w:rsidP="002C6145">
            <w:pPr>
              <w:pStyle w:val="TableText"/>
              <w:tabs>
                <w:tab w:val="decimal" w:pos="1077"/>
              </w:tabs>
              <w:rPr>
                <w:b/>
              </w:rPr>
            </w:pPr>
            <w:r w:rsidRPr="002C6145">
              <w:rPr>
                <w:b/>
              </w:rPr>
              <w:t>535</w:t>
            </w:r>
          </w:p>
        </w:tc>
        <w:tc>
          <w:tcPr>
            <w:tcW w:w="2032" w:type="dxa"/>
            <w:tcBorders>
              <w:top w:val="single" w:sz="4" w:space="0" w:color="A6A6A6" w:themeColor="background1" w:themeShade="A6"/>
            </w:tcBorders>
          </w:tcPr>
          <w:p w:rsidR="006A2A53" w:rsidRPr="002C6145" w:rsidRDefault="006A2A53" w:rsidP="002C6145">
            <w:pPr>
              <w:pStyle w:val="TableText"/>
              <w:tabs>
                <w:tab w:val="decimal" w:pos="1172"/>
              </w:tabs>
              <w:rPr>
                <w:b/>
              </w:rPr>
            </w:pPr>
          </w:p>
        </w:tc>
        <w:tc>
          <w:tcPr>
            <w:tcW w:w="2032" w:type="dxa"/>
            <w:tcBorders>
              <w:top w:val="single" w:sz="4" w:space="0" w:color="A6A6A6" w:themeColor="background1" w:themeShade="A6"/>
            </w:tcBorders>
          </w:tcPr>
          <w:p w:rsidR="006A2A53" w:rsidRPr="002C6145" w:rsidRDefault="006A2A53" w:rsidP="002C6145">
            <w:pPr>
              <w:pStyle w:val="TableText"/>
              <w:tabs>
                <w:tab w:val="decimal" w:pos="1266"/>
              </w:tabs>
              <w:rPr>
                <w:b/>
              </w:rPr>
            </w:pPr>
            <w:r w:rsidRPr="002C6145">
              <w:rPr>
                <w:b/>
              </w:rPr>
              <w:t>1,237,500.00</w:t>
            </w:r>
          </w:p>
        </w:tc>
      </w:tr>
    </w:tbl>
    <w:p w:rsidR="006A2A53" w:rsidRPr="0086132F" w:rsidRDefault="006A2A53" w:rsidP="002C6145"/>
    <w:p w:rsidR="006A2A53" w:rsidRPr="0086132F" w:rsidRDefault="006A2A53" w:rsidP="002C6145">
      <w:pPr>
        <w:pStyle w:val="Heading2"/>
      </w:pPr>
      <w:bookmarkStart w:id="78" w:name="_Toc321228635"/>
      <w:bookmarkStart w:id="79" w:name="_Toc321229390"/>
      <w:bookmarkStart w:id="80" w:name="_Toc358191482"/>
      <w:bookmarkStart w:id="81" w:name="_Toc410155474"/>
      <w:bookmarkStart w:id="82" w:name="_Toc155741737"/>
      <w:bookmarkStart w:id="83" w:name="_Toc160506558"/>
      <w:bookmarkStart w:id="84" w:name="_Toc257106162"/>
      <w:r w:rsidRPr="0086132F">
        <w:t>Hauora Māori scholarship online application</w:t>
      </w:r>
      <w:bookmarkEnd w:id="78"/>
      <w:bookmarkEnd w:id="79"/>
      <w:bookmarkEnd w:id="80"/>
      <w:bookmarkEnd w:id="81"/>
    </w:p>
    <w:p w:rsidR="00D60C04" w:rsidRDefault="006A2A53" w:rsidP="002C6145">
      <w:pPr>
        <w:rPr>
          <w:szCs w:val="24"/>
        </w:rPr>
      </w:pPr>
      <w:r>
        <w:t>Online applications for HMS 2016</w:t>
      </w:r>
      <w:r w:rsidRPr="0086132F">
        <w:t xml:space="preserve"> will be available on the Ministry of Health website (www.health.govt.nz), opening on </w:t>
      </w:r>
      <w:r>
        <w:rPr>
          <w:b/>
        </w:rPr>
        <w:t>17</w:t>
      </w:r>
      <w:r w:rsidRPr="0086132F">
        <w:rPr>
          <w:b/>
        </w:rPr>
        <w:t> February 201</w:t>
      </w:r>
      <w:r>
        <w:rPr>
          <w:b/>
        </w:rPr>
        <w:t>6</w:t>
      </w:r>
      <w:r w:rsidRPr="0086132F">
        <w:t xml:space="preserve"> and closing on </w:t>
      </w:r>
      <w:r>
        <w:rPr>
          <w:b/>
        </w:rPr>
        <w:t>31 March 2016</w:t>
      </w:r>
      <w:r w:rsidRPr="0086132F">
        <w:t>.</w:t>
      </w:r>
    </w:p>
    <w:p w:rsidR="006A2A53" w:rsidRPr="0086132F" w:rsidRDefault="006A2A53" w:rsidP="002C6145"/>
    <w:p w:rsidR="006A2A53" w:rsidRPr="0086132F" w:rsidRDefault="006A2A53" w:rsidP="006A2A53">
      <w:pPr>
        <w:rPr>
          <w:szCs w:val="24"/>
        </w:rPr>
      </w:pPr>
      <w:r w:rsidRPr="0086132F">
        <w:rPr>
          <w:szCs w:val="24"/>
        </w:rPr>
        <w:t>Applications submitted in hard copy or after closing will not be considered.</w:t>
      </w:r>
    </w:p>
    <w:p w:rsidR="006A2A53" w:rsidRPr="0086132F" w:rsidRDefault="006A2A53" w:rsidP="002C6145"/>
    <w:p w:rsidR="006A2A53" w:rsidRPr="0086132F" w:rsidRDefault="006A2A53" w:rsidP="002C6145">
      <w:pPr>
        <w:pStyle w:val="Heading2"/>
      </w:pPr>
      <w:bookmarkStart w:id="85" w:name="_Toc321228636"/>
      <w:bookmarkStart w:id="86" w:name="_Toc321229391"/>
      <w:bookmarkStart w:id="87" w:name="_Toc358191483"/>
      <w:bookmarkStart w:id="88" w:name="_Toc410155475"/>
      <w:r w:rsidRPr="0086132F">
        <w:t>Hauora Māori scholarship application process</w:t>
      </w:r>
      <w:bookmarkEnd w:id="82"/>
      <w:bookmarkEnd w:id="83"/>
      <w:bookmarkEnd w:id="84"/>
      <w:bookmarkEnd w:id="85"/>
      <w:bookmarkEnd w:id="86"/>
      <w:bookmarkEnd w:id="87"/>
      <w:bookmarkEnd w:id="88"/>
    </w:p>
    <w:p w:rsidR="006A2A53" w:rsidRPr="0086132F" w:rsidRDefault="006A2A53" w:rsidP="002C6145">
      <w:r w:rsidRPr="0086132F">
        <w:t>As part of the allocation of awards, defining scholarship categories and the awarding process, a HMS panel is formed comprising representatives from national Māori health organisations. The HMS panel will participate in the decisi</w:t>
      </w:r>
      <w:r>
        <w:t>on-making processes for HMS 2016</w:t>
      </w:r>
      <w:r w:rsidRPr="0086132F">
        <w:t>.</w:t>
      </w:r>
    </w:p>
    <w:p w:rsidR="006A2A53" w:rsidRPr="0086132F" w:rsidRDefault="006A2A53" w:rsidP="002C6145"/>
    <w:p w:rsidR="006A2A53" w:rsidRPr="0086132F" w:rsidRDefault="006A2A53" w:rsidP="002C6145">
      <w:r w:rsidRPr="0086132F">
        <w:t>The panel will include representatives from:</w:t>
      </w:r>
    </w:p>
    <w:p w:rsidR="006A2A53" w:rsidRPr="0086132F" w:rsidRDefault="006A2A53" w:rsidP="002C6145">
      <w:pPr>
        <w:pStyle w:val="Bullet"/>
      </w:pPr>
      <w:r w:rsidRPr="0086132F">
        <w:t>Te Whiringa Trust (Māori Community Health Workers)</w:t>
      </w:r>
    </w:p>
    <w:p w:rsidR="006A2A53" w:rsidRPr="0086132F" w:rsidRDefault="006A2A53" w:rsidP="002C6145">
      <w:pPr>
        <w:pStyle w:val="Bullet"/>
      </w:pPr>
      <w:r w:rsidRPr="0086132F">
        <w:t>Te Ao Marama (National Māori Dentist Association)</w:t>
      </w:r>
    </w:p>
    <w:p w:rsidR="006A2A53" w:rsidRPr="0086132F" w:rsidRDefault="006A2A53" w:rsidP="002C6145">
      <w:pPr>
        <w:pStyle w:val="Bullet"/>
      </w:pPr>
      <w:r w:rsidRPr="0086132F">
        <w:t>Nga Pou Mana (Allied Māori Health Professionals)</w:t>
      </w:r>
    </w:p>
    <w:p w:rsidR="006A2A53" w:rsidRPr="0086132F" w:rsidRDefault="006A2A53" w:rsidP="002C6145">
      <w:pPr>
        <w:pStyle w:val="Bullet"/>
      </w:pPr>
      <w:r w:rsidRPr="0086132F">
        <w:t>Te Ohu Rata o Aotearoa (National Māori Doctors Association)</w:t>
      </w:r>
    </w:p>
    <w:p w:rsidR="006A2A53" w:rsidRPr="0086132F" w:rsidRDefault="006A2A53" w:rsidP="002C6145">
      <w:pPr>
        <w:pStyle w:val="Bullet"/>
      </w:pPr>
      <w:r w:rsidRPr="0086132F">
        <w:t>Nga Maia O Aotearoa Me Te Waipounamu (National Māori Midwives Association)</w:t>
      </w:r>
    </w:p>
    <w:p w:rsidR="006A2A53" w:rsidRPr="0086132F" w:rsidRDefault="006A2A53" w:rsidP="002C6145">
      <w:pPr>
        <w:pStyle w:val="Bullet"/>
      </w:pPr>
      <w:r w:rsidRPr="0086132F">
        <w:t>Te Kaunihera O Nga Neehi Maori o Aotearoa (National Māori Nurses Association)</w:t>
      </w:r>
    </w:p>
    <w:p w:rsidR="006A2A53" w:rsidRDefault="006A2A53" w:rsidP="002C6145">
      <w:pPr>
        <w:pStyle w:val="Bullet"/>
      </w:pPr>
      <w:r w:rsidRPr="0086132F">
        <w:t>Nga Kaitiaki o Te Puna Rongoa Aotearoa</w:t>
      </w:r>
    </w:p>
    <w:p w:rsidR="006A2A53" w:rsidRPr="0086132F" w:rsidRDefault="006A2A53" w:rsidP="002C6145">
      <w:pPr>
        <w:pStyle w:val="Bullet"/>
      </w:pPr>
      <w:r>
        <w:t>Tumu Whakarae (District Health Boards)</w:t>
      </w:r>
    </w:p>
    <w:p w:rsidR="006A2A53" w:rsidRPr="0086132F" w:rsidRDefault="006A2A53" w:rsidP="002C6145">
      <w:pPr>
        <w:pStyle w:val="Bullet"/>
      </w:pPr>
      <w:r w:rsidRPr="0086132F">
        <w:t>Ministry of Health.</w:t>
      </w:r>
    </w:p>
    <w:p w:rsidR="006A2A53" w:rsidRPr="0086132F" w:rsidRDefault="006A2A53" w:rsidP="002C6145">
      <w:pPr>
        <w:spacing w:before="240"/>
      </w:pPr>
      <w:r w:rsidRPr="0086132F">
        <w:lastRenderedPageBreak/>
        <w:t>Final funding decisions are made by the Ministry.</w:t>
      </w:r>
    </w:p>
    <w:p w:rsidR="006A2A53" w:rsidRPr="0086132F" w:rsidRDefault="006A2A53" w:rsidP="002C6145"/>
    <w:p w:rsidR="006A2A53" w:rsidRPr="0086132F" w:rsidRDefault="006A2A53" w:rsidP="002C6145">
      <w:r w:rsidRPr="0086132F">
        <w:t>An awards ceremo</w:t>
      </w:r>
      <w:r>
        <w:t>ny will be held in November 2016</w:t>
      </w:r>
      <w:r w:rsidRPr="0086132F">
        <w:t xml:space="preserve"> to recognise the achievements of the John McLeod and Te </w:t>
      </w:r>
      <w:proofErr w:type="gramStart"/>
      <w:r w:rsidRPr="0086132F">
        <w:t>Apa</w:t>
      </w:r>
      <w:proofErr w:type="gramEnd"/>
      <w:r w:rsidRPr="0086132F">
        <w:t xml:space="preserve"> Mareikura ward recipients.</w:t>
      </w:r>
    </w:p>
    <w:p w:rsidR="006A2A53" w:rsidRPr="0086132F" w:rsidRDefault="006A2A53" w:rsidP="002C6145"/>
    <w:p w:rsidR="006A2A53" w:rsidRPr="0086132F" w:rsidRDefault="006A2A53" w:rsidP="002C6145">
      <w:bookmarkStart w:id="89" w:name="_Toc47204360"/>
      <w:bookmarkStart w:id="90" w:name="_Toc47204458"/>
      <w:bookmarkStart w:id="91" w:name="_Toc47207202"/>
      <w:bookmarkStart w:id="92" w:name="_Toc47230200"/>
      <w:bookmarkStart w:id="93" w:name="_Toc47233454"/>
      <w:bookmarkStart w:id="94" w:name="_Toc47879238"/>
      <w:r w:rsidRPr="0086132F">
        <w:rPr>
          <w:b/>
          <w:bCs/>
        </w:rPr>
        <w:t>Please note</w:t>
      </w:r>
      <w:r w:rsidRPr="0086132F">
        <w:t>: The Ministry of Health reserves the right to reallocate any unspent funding, within the Hauora Māori scholarships.</w:t>
      </w:r>
      <w:bookmarkEnd w:id="89"/>
      <w:bookmarkEnd w:id="90"/>
      <w:bookmarkEnd w:id="91"/>
      <w:bookmarkEnd w:id="92"/>
      <w:bookmarkEnd w:id="93"/>
      <w:bookmarkEnd w:id="94"/>
    </w:p>
    <w:p w:rsidR="006A2A53" w:rsidRPr="0086132F" w:rsidRDefault="006A2A53" w:rsidP="002C6145"/>
    <w:sectPr w:rsidR="006A2A53" w:rsidRPr="0086132F"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293" w:rsidRDefault="002B0293">
      <w:pPr>
        <w:spacing w:line="240" w:lineRule="auto"/>
      </w:pPr>
      <w:r>
        <w:separator/>
      </w:r>
    </w:p>
  </w:endnote>
  <w:endnote w:type="continuationSeparator" w:id="0">
    <w:p w:rsidR="002B0293" w:rsidRDefault="002B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Pr="003648EF" w:rsidRDefault="005E253A"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Pr="00275D08" w:rsidRDefault="005E253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84867">
      <w:rPr>
        <w:rStyle w:val="PageNumber"/>
        <w:noProof/>
      </w:rPr>
      <w:t>10</w:t>
    </w:r>
    <w:r w:rsidRPr="00FC46E7">
      <w:rPr>
        <w:rStyle w:val="PageNumber"/>
      </w:rPr>
      <w:fldChar w:fldCharType="end"/>
    </w:r>
    <w:r>
      <w:tab/>
      <w:t>Māori Provider Development Scheme (MPDS) 2015/16: Purchasing intentions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F22177">
    <w:pPr>
      <w:pStyle w:val="RectoFooter"/>
    </w:pPr>
    <w:r>
      <w:tab/>
      <w:t>Māori Provider Development Scheme (MPDS) 2015/16: Purchasing intentions</w:t>
    </w:r>
    <w:r>
      <w:tab/>
    </w:r>
    <w:r>
      <w:rPr>
        <w:rStyle w:val="PageNumber"/>
      </w:rPr>
      <w:fldChar w:fldCharType="begin"/>
    </w:r>
    <w:r>
      <w:rPr>
        <w:rStyle w:val="PageNumber"/>
      </w:rPr>
      <w:instrText xml:space="preserve"> PAGE </w:instrText>
    </w:r>
    <w:r>
      <w:rPr>
        <w:rStyle w:val="PageNumber"/>
      </w:rPr>
      <w:fldChar w:fldCharType="separate"/>
    </w:r>
    <w:r w:rsidR="0068486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533B90">
    <w:pPr>
      <w:pStyle w:val="RectoFooter"/>
    </w:pPr>
    <w:r>
      <w:tab/>
      <w:t>Māori Provider Development Scheme (MPDS) 2015/16: Purchasing intentions</w:t>
    </w:r>
    <w:r>
      <w:tab/>
    </w:r>
    <w:r>
      <w:rPr>
        <w:rStyle w:val="PageNumber"/>
      </w:rPr>
      <w:fldChar w:fldCharType="begin"/>
    </w:r>
    <w:r>
      <w:rPr>
        <w:rStyle w:val="PageNumber"/>
      </w:rPr>
      <w:instrText xml:space="preserve"> PAGE </w:instrText>
    </w:r>
    <w:r>
      <w:rPr>
        <w:rStyle w:val="PageNumber"/>
      </w:rPr>
      <w:fldChar w:fldCharType="separate"/>
    </w:r>
    <w:r w:rsidR="00684867">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293" w:rsidRPr="00E460B6" w:rsidRDefault="002B0293" w:rsidP="007B4D3E"/>
  </w:footnote>
  <w:footnote w:type="continuationSeparator" w:id="0">
    <w:p w:rsidR="002B0293" w:rsidRDefault="002B0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D25FFE">
    <w:pPr>
      <w:pStyle w:val="Header"/>
      <w:ind w:left="-1559"/>
    </w:pPr>
    <w:r>
      <w:rPr>
        <w:noProof/>
        <w:lang w:eastAsia="en-NZ"/>
      </w:rPr>
      <w:drawing>
        <wp:inline distT="0" distB="0" distL="0" distR="0" wp14:anchorId="2A7D4979" wp14:editId="237878C8">
          <wp:extent cx="6492440" cy="556953"/>
          <wp:effectExtent l="0" t="0" r="3810" b="0"/>
          <wp:docPr id="5" name="Picture 5" descr="Ministry of Health title page banner" title="Ministry of Health title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title page banner" title="Ministry of Health title pag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7071" cy="55820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D25FFE">
    <w:pPr>
      <w:pStyle w:val="Header"/>
      <w:ind w:left="-15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3A" w:rsidRDefault="005E253A"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C566B74"/>
    <w:multiLevelType w:val="hybridMultilevel"/>
    <w:tmpl w:val="251634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F8818E9"/>
    <w:multiLevelType w:val="hybridMultilevel"/>
    <w:tmpl w:val="461876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03207CE"/>
    <w:multiLevelType w:val="hybridMultilevel"/>
    <w:tmpl w:val="16D2E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86D450F"/>
    <w:multiLevelType w:val="hybridMultilevel"/>
    <w:tmpl w:val="1FE62270"/>
    <w:lvl w:ilvl="0" w:tplc="14090005">
      <w:start w:val="1"/>
      <w:numFmt w:val="bullet"/>
      <w:lvlText w:val=""/>
      <w:lvlJc w:val="left"/>
      <w:pPr>
        <w:ind w:left="1446" w:hanging="360"/>
      </w:pPr>
      <w:rPr>
        <w:rFonts w:ascii="Wingdings" w:hAnsi="Wingdings" w:hint="default"/>
      </w:r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8">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A0F6834"/>
    <w:multiLevelType w:val="hybridMultilevel"/>
    <w:tmpl w:val="DA22F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E8636A3"/>
    <w:multiLevelType w:val="hybridMultilevel"/>
    <w:tmpl w:val="461876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442CA3"/>
    <w:multiLevelType w:val="hybridMultilevel"/>
    <w:tmpl w:val="343C3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868258C"/>
    <w:multiLevelType w:val="hybridMultilevel"/>
    <w:tmpl w:val="3E2CB2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CBF3A88"/>
    <w:multiLevelType w:val="hybridMultilevel"/>
    <w:tmpl w:val="251634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2410C11"/>
    <w:multiLevelType w:val="hybridMultilevel"/>
    <w:tmpl w:val="78BAD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D9059AE"/>
    <w:multiLevelType w:val="hybridMultilevel"/>
    <w:tmpl w:val="7A662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28F70E6"/>
    <w:multiLevelType w:val="hybridMultilevel"/>
    <w:tmpl w:val="0082E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651519C3"/>
    <w:multiLevelType w:val="multilevel"/>
    <w:tmpl w:val="E4B6AEB6"/>
    <w:lvl w:ilvl="0">
      <w:start w:val="1"/>
      <w:numFmt w:val="decimal"/>
      <w:lvlText w:val="%1."/>
      <w:lvlJc w:val="left"/>
      <w:pPr>
        <w:ind w:left="397" w:hanging="397"/>
      </w:pPr>
      <w:rPr>
        <w:rFonts w:ascii="Arial" w:hAnsi="Arial" w:cs="Arial" w:hint="default"/>
        <w:b w:val="0"/>
        <w:i w:val="0"/>
        <w:sz w:val="22"/>
        <w:szCs w:val="22"/>
      </w:rPr>
    </w:lvl>
    <w:lvl w:ilvl="1">
      <w:start w:val="1"/>
      <w:numFmt w:val="bullet"/>
      <w:lvlText w:val=""/>
      <w:lvlJc w:val="left"/>
      <w:pPr>
        <w:ind w:left="454" w:hanging="454"/>
      </w:pPr>
      <w:rPr>
        <w:rFonts w:ascii="Symbol" w:hAnsi="Symbol" w:hint="default"/>
        <w:b w:val="0"/>
        <w:sz w:val="22"/>
      </w:rPr>
    </w:lvl>
    <w:lvl w:ilvl="2">
      <w:start w:val="1"/>
      <w:numFmt w:val="bullet"/>
      <w:lvlText w:val=""/>
      <w:lvlJc w:val="left"/>
      <w:pPr>
        <w:ind w:left="1247" w:hanging="396"/>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656F100C"/>
    <w:multiLevelType w:val="hybridMultilevel"/>
    <w:tmpl w:val="AB486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5">
    <w:nsid w:val="6CE843F3"/>
    <w:multiLevelType w:val="hybridMultilevel"/>
    <w:tmpl w:val="93162848"/>
    <w:lvl w:ilvl="0" w:tplc="D35A99B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7">
    <w:nsid w:val="755A49FA"/>
    <w:multiLevelType w:val="hybridMultilevel"/>
    <w:tmpl w:val="E59AC244"/>
    <w:lvl w:ilvl="0" w:tplc="E2CAE36A">
      <w:numFmt w:val="bullet"/>
      <w:lvlText w:val=""/>
      <w:lvlJc w:val="left"/>
      <w:pPr>
        <w:ind w:left="720" w:hanging="360"/>
      </w:pPr>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nsid w:val="778449DF"/>
    <w:multiLevelType w:val="hybridMultilevel"/>
    <w:tmpl w:val="73C60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nsid w:val="7FD740E2"/>
    <w:multiLevelType w:val="hybridMultilevel"/>
    <w:tmpl w:val="B6A8D0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14"/>
  </w:num>
  <w:num w:numId="4">
    <w:abstractNumId w:val="16"/>
  </w:num>
  <w:num w:numId="5">
    <w:abstractNumId w:val="2"/>
  </w:num>
  <w:num w:numId="6">
    <w:abstractNumId w:val="21"/>
  </w:num>
  <w:num w:numId="7">
    <w:abstractNumId w:val="8"/>
  </w:num>
  <w:num w:numId="8">
    <w:abstractNumId w:val="26"/>
  </w:num>
  <w:num w:numId="9">
    <w:abstractNumId w:val="6"/>
  </w:num>
  <w:num w:numId="10">
    <w:abstractNumId w:val="11"/>
  </w:num>
  <w:num w:numId="11">
    <w:abstractNumId w:val="17"/>
  </w:num>
  <w:num w:numId="12">
    <w:abstractNumId w:val="0"/>
  </w:num>
  <w:num w:numId="13">
    <w:abstractNumId w:val="18"/>
  </w:num>
  <w:num w:numId="14">
    <w:abstractNumId w:val="25"/>
  </w:num>
  <w:num w:numId="15">
    <w:abstractNumId w:val="28"/>
  </w:num>
  <w:num w:numId="16">
    <w:abstractNumId w:val="5"/>
  </w:num>
  <w:num w:numId="17">
    <w:abstractNumId w:val="9"/>
  </w:num>
  <w:num w:numId="18">
    <w:abstractNumId w:val="13"/>
  </w:num>
  <w:num w:numId="19">
    <w:abstractNumId w:val="1"/>
    <w:lvlOverride w:ilvl="0">
      <w:lvl w:ilvl="0">
        <w:start w:val="1"/>
        <w:numFmt w:val="bullet"/>
        <w:lvlText w:val=""/>
        <w:legacy w:legacy="1" w:legacySpace="0" w:legacyIndent="425"/>
        <w:lvlJc w:val="left"/>
        <w:pPr>
          <w:ind w:left="425" w:hanging="425"/>
        </w:pPr>
        <w:rPr>
          <w:rFonts w:ascii="Symbol" w:hAnsi="Symbol" w:hint="default"/>
          <w:sz w:val="20"/>
        </w:rPr>
      </w:lvl>
    </w:lvlOverride>
  </w:num>
  <w:num w:numId="20">
    <w:abstractNumId w:val="22"/>
  </w:num>
  <w:num w:numId="21">
    <w:abstractNumId w:val="4"/>
  </w:num>
  <w:num w:numId="22">
    <w:abstractNumId w:val="10"/>
  </w:num>
  <w:num w:numId="23">
    <w:abstractNumId w:val="15"/>
  </w:num>
  <w:num w:numId="24">
    <w:abstractNumId w:val="3"/>
  </w:num>
  <w:num w:numId="25">
    <w:abstractNumId w:val="27"/>
  </w:num>
  <w:num w:numId="26">
    <w:abstractNumId w:val="30"/>
  </w:num>
  <w:num w:numId="27">
    <w:abstractNumId w:val="7"/>
  </w:num>
  <w:num w:numId="28">
    <w:abstractNumId w:val="20"/>
  </w:num>
  <w:num w:numId="29">
    <w:abstractNumId w:val="23"/>
  </w:num>
  <w:num w:numId="30">
    <w:abstractNumId w:val="19"/>
  </w:num>
  <w:num w:numId="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55277"/>
    <w:rsid w:val="0016468A"/>
    <w:rsid w:val="001A5CF5"/>
    <w:rsid w:val="001B39D2"/>
    <w:rsid w:val="001C4326"/>
    <w:rsid w:val="001D3541"/>
    <w:rsid w:val="00201A01"/>
    <w:rsid w:val="002104D3"/>
    <w:rsid w:val="00213A33"/>
    <w:rsid w:val="0021763B"/>
    <w:rsid w:val="00246DB1"/>
    <w:rsid w:val="002476B5"/>
    <w:rsid w:val="00253ECF"/>
    <w:rsid w:val="002546A1"/>
    <w:rsid w:val="00275D08"/>
    <w:rsid w:val="002858E3"/>
    <w:rsid w:val="0029190A"/>
    <w:rsid w:val="00292C5A"/>
    <w:rsid w:val="00295241"/>
    <w:rsid w:val="002B0293"/>
    <w:rsid w:val="002B047D"/>
    <w:rsid w:val="002B732B"/>
    <w:rsid w:val="002C2219"/>
    <w:rsid w:val="002C6145"/>
    <w:rsid w:val="002D0DF2"/>
    <w:rsid w:val="002D23BD"/>
    <w:rsid w:val="002E0B47"/>
    <w:rsid w:val="002F7213"/>
    <w:rsid w:val="0030382F"/>
    <w:rsid w:val="0030408D"/>
    <w:rsid w:val="003060E4"/>
    <w:rsid w:val="003160E7"/>
    <w:rsid w:val="0031739E"/>
    <w:rsid w:val="003325AB"/>
    <w:rsid w:val="0033412B"/>
    <w:rsid w:val="00343365"/>
    <w:rsid w:val="003433F8"/>
    <w:rsid w:val="00353501"/>
    <w:rsid w:val="003606F8"/>
    <w:rsid w:val="003648EF"/>
    <w:rsid w:val="003673E6"/>
    <w:rsid w:val="00371B29"/>
    <w:rsid w:val="00377264"/>
    <w:rsid w:val="003A26A5"/>
    <w:rsid w:val="003A3761"/>
    <w:rsid w:val="003A5FEA"/>
    <w:rsid w:val="003B1D10"/>
    <w:rsid w:val="003C76D4"/>
    <w:rsid w:val="003E7C46"/>
    <w:rsid w:val="003F0F8B"/>
    <w:rsid w:val="003F52A7"/>
    <w:rsid w:val="0040240C"/>
    <w:rsid w:val="00413021"/>
    <w:rsid w:val="00440BE0"/>
    <w:rsid w:val="00442C1C"/>
    <w:rsid w:val="0044584B"/>
    <w:rsid w:val="00447CB7"/>
    <w:rsid w:val="00460826"/>
    <w:rsid w:val="00460EA7"/>
    <w:rsid w:val="0046195B"/>
    <w:rsid w:val="0046596D"/>
    <w:rsid w:val="00487C04"/>
    <w:rsid w:val="004907E1"/>
    <w:rsid w:val="004A035B"/>
    <w:rsid w:val="004A38D7"/>
    <w:rsid w:val="004A778C"/>
    <w:rsid w:val="004C2E6A"/>
    <w:rsid w:val="004D2A2D"/>
    <w:rsid w:val="004D6689"/>
    <w:rsid w:val="004E1D1D"/>
    <w:rsid w:val="004E2F64"/>
    <w:rsid w:val="004E7AC8"/>
    <w:rsid w:val="004F0C94"/>
    <w:rsid w:val="005019AE"/>
    <w:rsid w:val="00503749"/>
    <w:rsid w:val="00504CF4"/>
    <w:rsid w:val="0050578E"/>
    <w:rsid w:val="0050635B"/>
    <w:rsid w:val="00524B5B"/>
    <w:rsid w:val="0053199F"/>
    <w:rsid w:val="00533B90"/>
    <w:rsid w:val="005410F8"/>
    <w:rsid w:val="005448EC"/>
    <w:rsid w:val="00545963"/>
    <w:rsid w:val="00550256"/>
    <w:rsid w:val="00553958"/>
    <w:rsid w:val="0055763D"/>
    <w:rsid w:val="005621F2"/>
    <w:rsid w:val="00567B58"/>
    <w:rsid w:val="00575BD1"/>
    <w:rsid w:val="005763E0"/>
    <w:rsid w:val="005A27CA"/>
    <w:rsid w:val="005A2996"/>
    <w:rsid w:val="005A43BD"/>
    <w:rsid w:val="005B3C12"/>
    <w:rsid w:val="005D3401"/>
    <w:rsid w:val="005E226E"/>
    <w:rsid w:val="005E253A"/>
    <w:rsid w:val="006015D7"/>
    <w:rsid w:val="00601B21"/>
    <w:rsid w:val="00626CF8"/>
    <w:rsid w:val="00636D7D"/>
    <w:rsid w:val="00637408"/>
    <w:rsid w:val="00642868"/>
    <w:rsid w:val="00647AFE"/>
    <w:rsid w:val="006512BC"/>
    <w:rsid w:val="00653A5A"/>
    <w:rsid w:val="006575F4"/>
    <w:rsid w:val="006579E6"/>
    <w:rsid w:val="00663EDC"/>
    <w:rsid w:val="00671078"/>
    <w:rsid w:val="00680A04"/>
    <w:rsid w:val="006821DF"/>
    <w:rsid w:val="00684867"/>
    <w:rsid w:val="00686D80"/>
    <w:rsid w:val="00694895"/>
    <w:rsid w:val="00697E2E"/>
    <w:rsid w:val="006A25A2"/>
    <w:rsid w:val="006A2A53"/>
    <w:rsid w:val="006B0E73"/>
    <w:rsid w:val="006B4A4D"/>
    <w:rsid w:val="006B5695"/>
    <w:rsid w:val="006B72D4"/>
    <w:rsid w:val="006C78EB"/>
    <w:rsid w:val="006D1660"/>
    <w:rsid w:val="006F1B67"/>
    <w:rsid w:val="0070091D"/>
    <w:rsid w:val="00702854"/>
    <w:rsid w:val="0071147C"/>
    <w:rsid w:val="0071741C"/>
    <w:rsid w:val="007423E3"/>
    <w:rsid w:val="00742B90"/>
    <w:rsid w:val="0074434D"/>
    <w:rsid w:val="00771B1E"/>
    <w:rsid w:val="00773C95"/>
    <w:rsid w:val="0078171E"/>
    <w:rsid w:val="00795B34"/>
    <w:rsid w:val="007B1770"/>
    <w:rsid w:val="007B4D3E"/>
    <w:rsid w:val="007B7C70"/>
    <w:rsid w:val="007D080F"/>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A50AE"/>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32D69"/>
    <w:rsid w:val="00944647"/>
    <w:rsid w:val="00960C44"/>
    <w:rsid w:val="00977B8A"/>
    <w:rsid w:val="00982971"/>
    <w:rsid w:val="009845AD"/>
    <w:rsid w:val="00995BA0"/>
    <w:rsid w:val="009A418B"/>
    <w:rsid w:val="009A4473"/>
    <w:rsid w:val="009C151C"/>
    <w:rsid w:val="009D5125"/>
    <w:rsid w:val="009D60B8"/>
    <w:rsid w:val="009D7D4B"/>
    <w:rsid w:val="009E36ED"/>
    <w:rsid w:val="009E6B77"/>
    <w:rsid w:val="009F460A"/>
    <w:rsid w:val="00A043FB"/>
    <w:rsid w:val="00A06103"/>
    <w:rsid w:val="00A0729C"/>
    <w:rsid w:val="00A07779"/>
    <w:rsid w:val="00A20B2E"/>
    <w:rsid w:val="00A3068F"/>
    <w:rsid w:val="00A3145B"/>
    <w:rsid w:val="00A339D0"/>
    <w:rsid w:val="00A41002"/>
    <w:rsid w:val="00A4201A"/>
    <w:rsid w:val="00A45331"/>
    <w:rsid w:val="00A553CE"/>
    <w:rsid w:val="00A5677A"/>
    <w:rsid w:val="00A6490D"/>
    <w:rsid w:val="00A80363"/>
    <w:rsid w:val="00A9169D"/>
    <w:rsid w:val="00AC101C"/>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2508"/>
    <w:rsid w:val="00C45AA2"/>
    <w:rsid w:val="00C66296"/>
    <w:rsid w:val="00C77282"/>
    <w:rsid w:val="00C84DE5"/>
    <w:rsid w:val="00C86248"/>
    <w:rsid w:val="00CA4C33"/>
    <w:rsid w:val="00CA6F4A"/>
    <w:rsid w:val="00CD2119"/>
    <w:rsid w:val="00CD36AC"/>
    <w:rsid w:val="00CF1747"/>
    <w:rsid w:val="00D2392A"/>
    <w:rsid w:val="00D25FFE"/>
    <w:rsid w:val="00D4476F"/>
    <w:rsid w:val="00D54D50"/>
    <w:rsid w:val="00D60C04"/>
    <w:rsid w:val="00D66797"/>
    <w:rsid w:val="00D7087C"/>
    <w:rsid w:val="00D70C3C"/>
    <w:rsid w:val="00D72BE5"/>
    <w:rsid w:val="00D82F26"/>
    <w:rsid w:val="00D863D0"/>
    <w:rsid w:val="00D87C87"/>
    <w:rsid w:val="00DA3605"/>
    <w:rsid w:val="00DA77C4"/>
    <w:rsid w:val="00DB39CF"/>
    <w:rsid w:val="00DD447A"/>
    <w:rsid w:val="00DE3B20"/>
    <w:rsid w:val="00DE6C94"/>
    <w:rsid w:val="00DE6FD7"/>
    <w:rsid w:val="00E23271"/>
    <w:rsid w:val="00E24F80"/>
    <w:rsid w:val="00E259F3"/>
    <w:rsid w:val="00E33238"/>
    <w:rsid w:val="00E4486C"/>
    <w:rsid w:val="00E460B6"/>
    <w:rsid w:val="00E4651E"/>
    <w:rsid w:val="00E511D5"/>
    <w:rsid w:val="00E60249"/>
    <w:rsid w:val="00E65269"/>
    <w:rsid w:val="00E74606"/>
    <w:rsid w:val="00E76D66"/>
    <w:rsid w:val="00EA796A"/>
    <w:rsid w:val="00EB1856"/>
    <w:rsid w:val="00EC50CE"/>
    <w:rsid w:val="00EC5B34"/>
    <w:rsid w:val="00EE45A5"/>
    <w:rsid w:val="00EE4ADE"/>
    <w:rsid w:val="00EE5CB7"/>
    <w:rsid w:val="00F024FE"/>
    <w:rsid w:val="00F05AD4"/>
    <w:rsid w:val="00F22177"/>
    <w:rsid w:val="00F67496"/>
    <w:rsid w:val="00F801BA"/>
    <w:rsid w:val="00F946C9"/>
    <w:rsid w:val="00FA74EE"/>
    <w:rsid w:val="00FB0AF8"/>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02B844-CBEE-467E-8F0D-F41DE279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4E2F64"/>
    <w:rPr>
      <w:rFonts w:ascii="Georgia" w:hAnsi="Georgia"/>
      <w:b/>
      <w:sz w:val="22"/>
      <w:lang w:eastAsia="en-GB"/>
    </w:rPr>
  </w:style>
  <w:style w:type="character" w:customStyle="1" w:styleId="Heading5Char">
    <w:name w:val="Heading 5 Char"/>
    <w:basedOn w:val="DefaultParagraphFont"/>
    <w:link w:val="Heading5"/>
    <w:rsid w:val="004E2F64"/>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6B72D4"/>
    <w:pPr>
      <w:tabs>
        <w:tab w:val="left" w:pos="851"/>
        <w:tab w:val="right" w:pos="9356"/>
      </w:tabs>
      <w:spacing w:before="60"/>
      <w:ind w:left="851" w:right="567" w:hanging="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basedOn w:val="DefaultParagraphFont"/>
    <w:link w:val="Quote"/>
    <w:rsid w:val="004E2F64"/>
    <w:rPr>
      <w:rFonts w:ascii="Georgia" w:hAnsi="Georgia"/>
      <w:sz w:val="22"/>
      <w:lang w:eastAsia="en-GB"/>
    </w:rPr>
  </w:style>
  <w:style w:type="paragraph" w:styleId="FootnoteText">
    <w:name w:val="footnote text"/>
    <w:basedOn w:val="Normal"/>
    <w:link w:val="FootnoteTextChar"/>
    <w:semiHidden/>
    <w:rsid w:val="003060E4"/>
    <w:pPr>
      <w:spacing w:before="60"/>
      <w:ind w:left="284" w:hanging="284"/>
    </w:pPr>
    <w:rPr>
      <w:sz w:val="18"/>
    </w:rPr>
  </w:style>
  <w:style w:type="character" w:customStyle="1" w:styleId="FootnoteTextChar">
    <w:name w:val="Footnote Text Char"/>
    <w:link w:val="FootnoteText"/>
    <w:semiHidden/>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FF65CD"/>
    <w:pPr>
      <w:ind w:right="1701"/>
    </w:pPr>
    <w:rPr>
      <w:b/>
      <w:sz w:val="80"/>
    </w:rPr>
  </w:style>
  <w:style w:type="character" w:customStyle="1" w:styleId="TitleChar">
    <w:name w:val="Title Char"/>
    <w:basedOn w:val="DefaultParagraphFont"/>
    <w:link w:val="Title"/>
    <w:rsid w:val="004E2F64"/>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7D08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80F"/>
    <w:rPr>
      <w:rFonts w:ascii="Tahoma" w:hAnsi="Tahoma" w:cs="Tahoma"/>
      <w:sz w:val="16"/>
      <w:szCs w:val="16"/>
      <w:lang w:eastAsia="en-GB"/>
    </w:rPr>
  </w:style>
  <w:style w:type="character" w:customStyle="1" w:styleId="A4">
    <w:name w:val="A4"/>
    <w:uiPriority w:val="99"/>
    <w:rsid w:val="00DA3605"/>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mailto:tony.lewis@cbg.co.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14</Pages>
  <Words>2246</Words>
  <Characters>14106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Māori Provider Development Scheme (MPDS) 2015/16: Purchasing intentions</vt:lpstr>
    </vt:vector>
  </TitlesOfParts>
  <Company>Microsoft</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Māori Provider Development Scheme (MPDS) 2015/16: Purchasing intentions</dc:title>
  <dc:creator>Ministry of Health</dc:creator>
  <cp:lastModifiedBy>Logan Smith</cp:lastModifiedBy>
  <cp:revision>3</cp:revision>
  <cp:lastPrinted>2013-05-22T23:47:00Z</cp:lastPrinted>
  <dcterms:created xsi:type="dcterms:W3CDTF">2015-08-16T22:30:00Z</dcterms:created>
  <dcterms:modified xsi:type="dcterms:W3CDTF">2015-08-16T22:36:00Z</dcterms:modified>
</cp:coreProperties>
</file>