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Tr="0092659B">
        <w:trPr>
          <w:cantSplit/>
        </w:trPr>
        <w:tc>
          <w:tcPr>
            <w:tcW w:w="6663" w:type="dxa"/>
            <w:shd w:val="clear" w:color="auto" w:fill="auto"/>
            <w:vAlign w:val="bottom"/>
          </w:tcPr>
          <w:p w:rsidR="00D56D8D" w:rsidRPr="00C37086" w:rsidRDefault="00255B41" w:rsidP="00255B41">
            <w:pPr>
              <w:pStyle w:val="Heading1"/>
              <w:spacing w:after="60"/>
              <w:rPr>
                <w:b w:val="0"/>
              </w:rPr>
            </w:pPr>
            <w:bookmarkStart w:id="0" w:name="_GoBack"/>
            <w:bookmarkEnd w:id="0"/>
            <w:r>
              <w:t>Improving the Lives of People with Dementia</w:t>
            </w:r>
          </w:p>
        </w:tc>
        <w:tc>
          <w:tcPr>
            <w:tcW w:w="2835" w:type="dxa"/>
            <w:shd w:val="clear" w:color="auto" w:fill="auto"/>
            <w:vAlign w:val="bottom"/>
          </w:tcPr>
          <w:p w:rsidR="00CD373C" w:rsidRDefault="00CD373C" w:rsidP="0092659B">
            <w:pPr>
              <w:spacing w:after="120"/>
              <w:jc w:val="right"/>
            </w:pPr>
          </w:p>
          <w:p w:rsidR="00423830" w:rsidRPr="00E43A89" w:rsidRDefault="00255B41" w:rsidP="00255B41">
            <w:pPr>
              <w:spacing w:after="120"/>
              <w:jc w:val="right"/>
              <w:rPr>
                <w:color w:val="002B7F"/>
                <w:sz w:val="28"/>
                <w:szCs w:val="28"/>
              </w:rPr>
            </w:pPr>
            <w:r>
              <w:rPr>
                <w:sz w:val="28"/>
                <w:szCs w:val="28"/>
              </w:rPr>
              <w:t>August</w:t>
            </w:r>
            <w:r w:rsidR="00C37086" w:rsidRPr="0092659B">
              <w:rPr>
                <w:sz w:val="28"/>
                <w:szCs w:val="28"/>
              </w:rPr>
              <w:t xml:space="preserve"> 2014</w:t>
            </w:r>
          </w:p>
        </w:tc>
      </w:tr>
    </w:tbl>
    <w:p w:rsidR="004518F6" w:rsidRDefault="004518F6" w:rsidP="00866FB3">
      <w:pPr>
        <w:spacing w:after="360"/>
      </w:pPr>
    </w:p>
    <w:p w:rsidR="00255B41" w:rsidRPr="00255B41" w:rsidRDefault="00255B41" w:rsidP="00255B41">
      <w:pPr>
        <w:pStyle w:val="Heading2"/>
      </w:pPr>
      <w:r w:rsidRPr="00255B41">
        <w:t>Introduction</w:t>
      </w:r>
    </w:p>
    <w:p w:rsidR="00255B41" w:rsidRPr="00255B41" w:rsidRDefault="00255B41" w:rsidP="00255B41">
      <w:r w:rsidRPr="00255B41">
        <w:t>Good health is essential for the social and economic wellbeing of New Zealanders. As the population of older people grows, so too will the population of people with dementia. An ageing population means that maximising the health, independence and wellbeing of people with dementia is a key part of ensuring the good health of New Zealanders.</w:t>
      </w:r>
    </w:p>
    <w:p w:rsidR="00255B41" w:rsidRPr="00255B41" w:rsidRDefault="00255B41" w:rsidP="00255B41"/>
    <w:p w:rsidR="00255B41" w:rsidRPr="00255B41" w:rsidRDefault="00255B41" w:rsidP="00255B41">
      <w:r w:rsidRPr="00255B41">
        <w:t>There are an estimated 50,000 people with dementia in New Zealand and this number is projected to rise to an estimated 78,000 people by 2026. Dementia currently costs our health system around $1</w:t>
      </w:r>
      <w:r>
        <w:t> </w:t>
      </w:r>
      <w:r w:rsidRPr="00255B41">
        <w:t>billion each year; this cost will rise as the number of older people with dementia increases.</w:t>
      </w:r>
    </w:p>
    <w:p w:rsidR="00255B41" w:rsidRPr="00255B41" w:rsidRDefault="00255B41" w:rsidP="00255B41"/>
    <w:p w:rsidR="00255B41" w:rsidRPr="00255B41" w:rsidRDefault="00255B41" w:rsidP="00866FB3">
      <w:pPr>
        <w:pStyle w:val="Heading2"/>
        <w:spacing w:before="240"/>
      </w:pPr>
      <w:r w:rsidRPr="00255B41">
        <w:t>Actions we need to take in the next three years</w:t>
      </w:r>
    </w:p>
    <w:p w:rsidR="00255B41" w:rsidRPr="00255B41" w:rsidRDefault="00255B41" w:rsidP="00255B41">
      <w:r w:rsidRPr="00255B41">
        <w:t xml:space="preserve">There is currently no cure for dementia so we need to focus on improving the quality of life for people with dementia and their </w:t>
      </w:r>
      <w:proofErr w:type="spellStart"/>
      <w:r w:rsidRPr="00255B41">
        <w:t>carers</w:t>
      </w:r>
      <w:proofErr w:type="spellEnd"/>
      <w:r w:rsidRPr="00255B41">
        <w:t xml:space="preserve">, families and </w:t>
      </w:r>
      <w:proofErr w:type="spellStart"/>
      <w:r w:rsidRPr="00255B41">
        <w:t>whānau</w:t>
      </w:r>
      <w:proofErr w:type="spellEnd"/>
      <w:r w:rsidRPr="00255B41">
        <w:t>.</w:t>
      </w:r>
    </w:p>
    <w:p w:rsidR="00255B41" w:rsidRPr="00255B41" w:rsidRDefault="00255B41" w:rsidP="00255B41"/>
    <w:p w:rsidR="00255B41" w:rsidRPr="00255B41" w:rsidRDefault="00255B41" w:rsidP="00255B41">
      <w:r w:rsidRPr="00255B41">
        <w:t>As a country, we need to make sure that the dementia services and support people receive are appropriate, person- centred and of high quality. The right support needs to be available at the right time, especially when a person</w:t>
      </w:r>
      <w:r w:rsidR="00F50239">
        <w:t>’</w:t>
      </w:r>
      <w:r w:rsidRPr="00255B41">
        <w:t xml:space="preserve">s needs change. Proactive and coordinated services and support for people with dementia and their </w:t>
      </w:r>
      <w:proofErr w:type="spellStart"/>
      <w:r w:rsidRPr="00255B41">
        <w:t>carers</w:t>
      </w:r>
      <w:proofErr w:type="spellEnd"/>
      <w:r w:rsidRPr="00255B41">
        <w:t xml:space="preserve">, family and </w:t>
      </w:r>
      <w:proofErr w:type="spellStart"/>
      <w:r w:rsidRPr="00255B41">
        <w:t>whānau</w:t>
      </w:r>
      <w:proofErr w:type="spellEnd"/>
      <w:r w:rsidRPr="00255B41">
        <w:t xml:space="preserve"> will improve their quality of life.</w:t>
      </w:r>
    </w:p>
    <w:p w:rsidR="00255B41" w:rsidRPr="00255B41" w:rsidRDefault="00255B41" w:rsidP="00255B41"/>
    <w:p w:rsidR="00255B41" w:rsidRPr="00255B41" w:rsidRDefault="00255B41" w:rsidP="00255B41">
      <w:r w:rsidRPr="00255B41">
        <w:t xml:space="preserve">Good progress is being made in improving the lives of people with dementia and their </w:t>
      </w:r>
      <w:proofErr w:type="spellStart"/>
      <w:r w:rsidRPr="00255B41">
        <w:t>carers</w:t>
      </w:r>
      <w:proofErr w:type="spellEnd"/>
      <w:r w:rsidRPr="00255B41">
        <w:t xml:space="preserve">, family and </w:t>
      </w:r>
      <w:proofErr w:type="spellStart"/>
      <w:r w:rsidRPr="00255B41">
        <w:t>whānau</w:t>
      </w:r>
      <w:proofErr w:type="spellEnd"/>
      <w:r w:rsidRPr="00255B41">
        <w:t>. But we need to maintain the momentum if we are to meet our</w:t>
      </w:r>
      <w:r w:rsidR="00F50239">
        <w:t xml:space="preserve"> </w:t>
      </w:r>
      <w:r w:rsidRPr="00255B41">
        <w:t>goal of ensuring that people with dementia can be as healthy and independent as possible. We need to take action to address the issues people with dementia are facing so they can</w:t>
      </w:r>
      <w:r w:rsidR="00F50239">
        <w:t xml:space="preserve"> </w:t>
      </w:r>
      <w:r w:rsidRPr="00255B41">
        <w:t>be active and respected members of our communities.</w:t>
      </w:r>
    </w:p>
    <w:p w:rsidR="00255B41" w:rsidRPr="00255B41" w:rsidRDefault="00255B41" w:rsidP="00255B41"/>
    <w:p w:rsidR="00255B41" w:rsidRPr="00255B41" w:rsidRDefault="00255B41" w:rsidP="00255B41">
      <w:r w:rsidRPr="00255B41">
        <w:t>Over the next three years, the Ministry of Health (the Ministry) will support action in nine key areas to improve the quality of life for people with dementia. These action areas are to:</w:t>
      </w:r>
    </w:p>
    <w:p w:rsidR="00255B41" w:rsidRPr="00255B41" w:rsidRDefault="00255B41" w:rsidP="00866FB3">
      <w:pPr>
        <w:pStyle w:val="Bullet"/>
        <w:spacing w:before="30"/>
      </w:pPr>
      <w:r w:rsidRPr="00255B41">
        <w:t>implement a nationally consistent approach to dementia care</w:t>
      </w:r>
    </w:p>
    <w:p w:rsidR="00255B41" w:rsidRPr="00255B41" w:rsidRDefault="00255B41" w:rsidP="00866FB3">
      <w:pPr>
        <w:pStyle w:val="Bullet"/>
        <w:spacing w:before="30"/>
      </w:pPr>
      <w:r w:rsidRPr="00255B41">
        <w:t>increase dementia awareness</w:t>
      </w:r>
    </w:p>
    <w:p w:rsidR="00255B41" w:rsidRPr="00255B41" w:rsidRDefault="00255B41" w:rsidP="00866FB3">
      <w:pPr>
        <w:pStyle w:val="Bullet"/>
        <w:spacing w:before="30"/>
      </w:pPr>
      <w:r w:rsidRPr="00255B41">
        <w:t>reduce the risk of dementia</w:t>
      </w:r>
    </w:p>
    <w:p w:rsidR="00255B41" w:rsidRPr="00255B41" w:rsidRDefault="00255B41" w:rsidP="00866FB3">
      <w:pPr>
        <w:pStyle w:val="Bullet"/>
        <w:spacing w:before="30"/>
      </w:pPr>
      <w:r w:rsidRPr="00255B41">
        <w:t>increase access to a timely diagnosis of dementia</w:t>
      </w:r>
    </w:p>
    <w:p w:rsidR="00255B41" w:rsidRPr="00255B41" w:rsidRDefault="00255B41" w:rsidP="00866FB3">
      <w:pPr>
        <w:pStyle w:val="Bullet"/>
        <w:spacing w:before="30"/>
      </w:pPr>
      <w:r w:rsidRPr="00255B41">
        <w:t>provide navigation of services and increase the quality of information and education</w:t>
      </w:r>
    </w:p>
    <w:p w:rsidR="00255B41" w:rsidRPr="00255B41" w:rsidRDefault="00255B41" w:rsidP="00866FB3">
      <w:pPr>
        <w:pStyle w:val="Bullet"/>
        <w:spacing w:before="30"/>
      </w:pPr>
      <w:r w:rsidRPr="00255B41">
        <w:t>increase the ability of people with dementia to remain living at home</w:t>
      </w:r>
    </w:p>
    <w:p w:rsidR="00255B41" w:rsidRPr="00255B41" w:rsidRDefault="00255B41" w:rsidP="00866FB3">
      <w:pPr>
        <w:pStyle w:val="Bullet"/>
        <w:spacing w:before="30"/>
      </w:pPr>
      <w:r w:rsidRPr="00255B41">
        <w:t>increase the quality of information and education for the workforce</w:t>
      </w:r>
    </w:p>
    <w:p w:rsidR="00255B41" w:rsidRPr="00255B41" w:rsidRDefault="00255B41" w:rsidP="00866FB3">
      <w:pPr>
        <w:pStyle w:val="Bullet"/>
        <w:spacing w:before="30"/>
      </w:pPr>
      <w:r w:rsidRPr="00255B41">
        <w:t>develop dementia-friendly health and social support services</w:t>
      </w:r>
    </w:p>
    <w:p w:rsidR="00255B41" w:rsidRPr="00255B41" w:rsidRDefault="00255B41" w:rsidP="00866FB3">
      <w:pPr>
        <w:pStyle w:val="Bullet"/>
        <w:spacing w:before="30"/>
      </w:pPr>
      <w:proofErr w:type="gramStart"/>
      <w:r w:rsidRPr="00255B41">
        <w:t>provide</w:t>
      </w:r>
      <w:proofErr w:type="gramEnd"/>
      <w:r w:rsidRPr="00255B41">
        <w:t xml:space="preserve"> respectful and supportive end-of-life care.</w:t>
      </w:r>
    </w:p>
    <w:p w:rsidR="00255B41" w:rsidRPr="00255B41" w:rsidRDefault="00255B41" w:rsidP="00255B41"/>
    <w:p w:rsidR="00255B41" w:rsidRPr="00255B41" w:rsidRDefault="00255B41" w:rsidP="00F50239">
      <w:r w:rsidRPr="00255B41">
        <w:t>The Ministry</w:t>
      </w:r>
      <w:r w:rsidR="00F50239">
        <w:t>’</w:t>
      </w:r>
      <w:r w:rsidRPr="00255B41">
        <w:t>s nine action areas are described in further detail in the table on the next page.</w:t>
      </w:r>
    </w:p>
    <w:p w:rsidR="00255B41" w:rsidRPr="00255B41" w:rsidRDefault="00255B41" w:rsidP="00F50239"/>
    <w:p w:rsidR="00255B41" w:rsidRPr="00255B41" w:rsidRDefault="00255B41" w:rsidP="00F50239">
      <w:pPr>
        <w:pStyle w:val="Heading2"/>
      </w:pPr>
      <w:r w:rsidRPr="00255B41">
        <w:lastRenderedPageBreak/>
        <w:t>Maximising wellbeing and independence of people with dementia</w:t>
      </w:r>
    </w:p>
    <w:tbl>
      <w:tblPr>
        <w:tblW w:w="0" w:type="auto"/>
        <w:tblInd w:w="119" w:type="dxa"/>
        <w:tblLayout w:type="fixed"/>
        <w:tblLook w:val="01E0" w:firstRow="1" w:lastRow="1" w:firstColumn="1" w:lastColumn="1" w:noHBand="0" w:noVBand="0"/>
      </w:tblPr>
      <w:tblGrid>
        <w:gridCol w:w="2282"/>
        <w:gridCol w:w="2386"/>
        <w:gridCol w:w="4677"/>
      </w:tblGrid>
      <w:tr w:rsidR="00A33E3C" w:rsidRPr="00F50239" w:rsidTr="00A33E3C">
        <w:trPr>
          <w:cantSplit/>
          <w:tblHeader/>
        </w:trPr>
        <w:tc>
          <w:tcPr>
            <w:tcW w:w="2282" w:type="dxa"/>
            <w:tcBorders>
              <w:top w:val="nil"/>
              <w:left w:val="nil"/>
              <w:right w:val="single" w:sz="8" w:space="0" w:color="FFFFFF"/>
            </w:tcBorders>
            <w:shd w:val="clear" w:color="auto" w:fill="808080" w:themeFill="background1" w:themeFillShade="80"/>
          </w:tcPr>
          <w:p w:rsidR="00255B41" w:rsidRPr="00866FB3" w:rsidRDefault="00255B41" w:rsidP="00F50239">
            <w:pPr>
              <w:pStyle w:val="TableText"/>
              <w:rPr>
                <w:b/>
                <w:color w:val="FFFFFF" w:themeColor="background1"/>
              </w:rPr>
            </w:pPr>
            <w:r w:rsidRPr="00866FB3">
              <w:rPr>
                <w:b/>
                <w:color w:val="FFFFFF" w:themeColor="background1"/>
              </w:rPr>
              <w:t>Action area</w:t>
            </w:r>
          </w:p>
        </w:tc>
        <w:tc>
          <w:tcPr>
            <w:tcW w:w="2386" w:type="dxa"/>
            <w:tcBorders>
              <w:top w:val="nil"/>
              <w:left w:val="single" w:sz="8" w:space="0" w:color="FFFFFF"/>
              <w:right w:val="single" w:sz="8" w:space="0" w:color="FFFFFF"/>
            </w:tcBorders>
            <w:shd w:val="clear" w:color="auto" w:fill="404040" w:themeFill="text1" w:themeFillTint="BF"/>
          </w:tcPr>
          <w:p w:rsidR="00255B41" w:rsidRPr="00866FB3" w:rsidRDefault="00255B41" w:rsidP="00F50239">
            <w:pPr>
              <w:pStyle w:val="TableText"/>
              <w:rPr>
                <w:b/>
                <w:color w:val="FFFFFF" w:themeColor="background1"/>
              </w:rPr>
            </w:pPr>
            <w:r w:rsidRPr="00866FB3">
              <w:rPr>
                <w:b/>
                <w:color w:val="FFFFFF" w:themeColor="background1"/>
              </w:rPr>
              <w:t>Priority group</w:t>
            </w:r>
          </w:p>
        </w:tc>
        <w:tc>
          <w:tcPr>
            <w:tcW w:w="4677" w:type="dxa"/>
            <w:tcBorders>
              <w:top w:val="nil"/>
              <w:left w:val="single" w:sz="8" w:space="0" w:color="FFFFFF"/>
              <w:right w:val="nil"/>
            </w:tcBorders>
            <w:shd w:val="clear" w:color="auto" w:fill="000000" w:themeFill="text1"/>
          </w:tcPr>
          <w:p w:rsidR="00255B41" w:rsidRPr="00866FB3" w:rsidRDefault="00255B41" w:rsidP="00F50239">
            <w:pPr>
              <w:pStyle w:val="TableText"/>
              <w:rPr>
                <w:b/>
                <w:color w:val="FFFFFF" w:themeColor="background1"/>
              </w:rPr>
            </w:pPr>
            <w:r w:rsidRPr="00866FB3">
              <w:rPr>
                <w:b/>
                <w:color w:val="FFFFFF" w:themeColor="background1"/>
              </w:rPr>
              <w:t>Why this is important</w:t>
            </w:r>
          </w:p>
        </w:tc>
      </w:tr>
      <w:tr w:rsidR="00A33E3C" w:rsidRPr="00255B41" w:rsidTr="00A33E3C">
        <w:trPr>
          <w:cantSplit/>
        </w:trPr>
        <w:tc>
          <w:tcPr>
            <w:tcW w:w="2282" w:type="dxa"/>
            <w:tcBorders>
              <w:top w:val="nil"/>
              <w:left w:val="nil"/>
              <w:bottom w:val="single" w:sz="4" w:space="0" w:color="808285"/>
              <w:right w:val="single" w:sz="8" w:space="0" w:color="FFFFFF"/>
            </w:tcBorders>
            <w:shd w:val="clear" w:color="auto" w:fill="D9D9D9" w:themeFill="background1" w:themeFillShade="D9"/>
          </w:tcPr>
          <w:p w:rsidR="00255B41" w:rsidRPr="00255B41" w:rsidRDefault="00255B41" w:rsidP="00F50239">
            <w:pPr>
              <w:pStyle w:val="TableText"/>
            </w:pPr>
            <w:r w:rsidRPr="00255B41">
              <w:rPr>
                <w:color w:val="231F20"/>
              </w:rPr>
              <w:t>A nationally consistent approach to dementia care</w:t>
            </w:r>
          </w:p>
        </w:tc>
        <w:tc>
          <w:tcPr>
            <w:tcW w:w="2386" w:type="dxa"/>
            <w:tcBorders>
              <w:top w:val="nil"/>
              <w:left w:val="single" w:sz="8" w:space="0" w:color="FFFFFF"/>
              <w:bottom w:val="single" w:sz="4" w:space="0" w:color="808285"/>
              <w:right w:val="single" w:sz="8" w:space="0" w:color="FFFFFF"/>
            </w:tcBorders>
            <w:shd w:val="clear" w:color="auto" w:fill="F2F2F2" w:themeFill="background1" w:themeFillShade="F2"/>
          </w:tcPr>
          <w:p w:rsidR="00255B41" w:rsidRPr="00255B41" w:rsidRDefault="00255B41" w:rsidP="00A33E3C">
            <w:pPr>
              <w:pStyle w:val="TableText"/>
            </w:pPr>
            <w:r w:rsidRPr="00255B41">
              <w:t>Ministry of Health, DHBs, NGOs</w:t>
            </w:r>
          </w:p>
        </w:tc>
        <w:tc>
          <w:tcPr>
            <w:tcW w:w="4677" w:type="dxa"/>
            <w:tcBorders>
              <w:top w:val="nil"/>
              <w:left w:val="single" w:sz="8" w:space="0" w:color="FFFFFF"/>
              <w:bottom w:val="single" w:sz="4" w:space="0" w:color="808285"/>
              <w:right w:val="nil"/>
            </w:tcBorders>
            <w:shd w:val="clear" w:color="auto" w:fill="BFBFBF" w:themeFill="background1" w:themeFillShade="BF"/>
          </w:tcPr>
          <w:p w:rsidR="00255B41" w:rsidRPr="00255B41" w:rsidRDefault="00255B41" w:rsidP="00A33E3C">
            <w:pPr>
              <w:pStyle w:val="TableBullet"/>
            </w:pPr>
            <w:r w:rsidRPr="00255B41">
              <w:t>Placing the person with dementia, and their needs and wishes, at the centre of care and suppor</w:t>
            </w:r>
            <w:r w:rsidR="007F413B">
              <w:t>ting them to make decisions</w:t>
            </w:r>
            <w:r w:rsidRPr="00255B41">
              <w:t xml:space="preserve"> will maximise their wellbeing and independence.</w:t>
            </w:r>
          </w:p>
          <w:p w:rsidR="00255B41" w:rsidRPr="00255B41" w:rsidRDefault="00255B41" w:rsidP="00A33E3C">
            <w:pPr>
              <w:pStyle w:val="TableBullet"/>
            </w:pPr>
            <w:r w:rsidRPr="00255B41">
              <w:t>Evidence identifies that proactive, coordinated services for people with dementia and their family will maximise their wellbeing and independence and reduce the risk of a crisis.</w:t>
            </w:r>
          </w:p>
        </w:tc>
      </w:tr>
      <w:tr w:rsidR="00A33E3C" w:rsidRPr="00255B41" w:rsidTr="00A33E3C">
        <w:trPr>
          <w:cantSplit/>
        </w:trPr>
        <w:tc>
          <w:tcPr>
            <w:tcW w:w="2282" w:type="dxa"/>
            <w:tcBorders>
              <w:top w:val="single" w:sz="4" w:space="0" w:color="808285"/>
              <w:left w:val="nil"/>
              <w:bottom w:val="single" w:sz="4" w:space="0" w:color="808285"/>
              <w:right w:val="single" w:sz="8" w:space="0" w:color="FFFFFF"/>
            </w:tcBorders>
            <w:shd w:val="clear" w:color="auto" w:fill="D9D9D9" w:themeFill="background1" w:themeFillShade="D9"/>
          </w:tcPr>
          <w:p w:rsidR="00255B41" w:rsidRPr="00255B41" w:rsidRDefault="00255B41" w:rsidP="00F50239">
            <w:pPr>
              <w:pStyle w:val="TableText"/>
            </w:pPr>
            <w:r w:rsidRPr="00255B41">
              <w:rPr>
                <w:color w:val="231F20"/>
              </w:rPr>
              <w:t>Increase dementia awareness</w:t>
            </w:r>
          </w:p>
        </w:tc>
        <w:tc>
          <w:tcPr>
            <w:tcW w:w="2386" w:type="dxa"/>
            <w:tcBorders>
              <w:top w:val="single" w:sz="4" w:space="0" w:color="808285"/>
              <w:left w:val="single" w:sz="8" w:space="0" w:color="FFFFFF"/>
              <w:bottom w:val="single" w:sz="4" w:space="0" w:color="808285"/>
              <w:right w:val="single" w:sz="8" w:space="0" w:color="FFFFFF"/>
            </w:tcBorders>
            <w:shd w:val="clear" w:color="auto" w:fill="F2F2F2" w:themeFill="background1" w:themeFillShade="F2"/>
          </w:tcPr>
          <w:p w:rsidR="00255B41" w:rsidRPr="00255B41" w:rsidRDefault="00255B41" w:rsidP="00F50239">
            <w:pPr>
              <w:pStyle w:val="TableText"/>
            </w:pPr>
            <w:r w:rsidRPr="00255B41">
              <w:rPr>
                <w:color w:val="231F20"/>
              </w:rPr>
              <w:t>All New Zealanders</w:t>
            </w:r>
          </w:p>
        </w:tc>
        <w:tc>
          <w:tcPr>
            <w:tcW w:w="4677" w:type="dxa"/>
            <w:tcBorders>
              <w:top w:val="single" w:sz="4" w:space="0" w:color="808285"/>
              <w:left w:val="single" w:sz="8" w:space="0" w:color="FFFFFF"/>
              <w:bottom w:val="single" w:sz="4" w:space="0" w:color="808285"/>
              <w:right w:val="nil"/>
            </w:tcBorders>
            <w:shd w:val="clear" w:color="auto" w:fill="BFBFBF" w:themeFill="background1" w:themeFillShade="BF"/>
          </w:tcPr>
          <w:p w:rsidR="00255B41" w:rsidRPr="00255B41" w:rsidRDefault="00255B41" w:rsidP="00A33E3C">
            <w:pPr>
              <w:pStyle w:val="TableBullet"/>
            </w:pPr>
            <w:r w:rsidRPr="00255B41">
              <w:t>Evidence shows that increasing awareness of dementia will lower the stigma associated with it.</w:t>
            </w:r>
          </w:p>
          <w:p w:rsidR="00255B41" w:rsidRPr="00255B41" w:rsidRDefault="00255B41" w:rsidP="00A33E3C">
            <w:pPr>
              <w:pStyle w:val="TableBullet"/>
            </w:pPr>
            <w:r w:rsidRPr="00255B41">
              <w:t>Increasing awareness of dementia can</w:t>
            </w:r>
            <w:r w:rsidR="00F50239">
              <w:t xml:space="preserve"> </w:t>
            </w:r>
            <w:r w:rsidRPr="00255B41">
              <w:t>help people diagnosed with dementia and their families come to terms with their diagnosis and seek</w:t>
            </w:r>
            <w:r w:rsidR="00F50239">
              <w:t xml:space="preserve"> </w:t>
            </w:r>
            <w:r w:rsidRPr="00255B41">
              <w:t>the support they need.</w:t>
            </w:r>
          </w:p>
        </w:tc>
      </w:tr>
      <w:tr w:rsidR="00A33E3C" w:rsidRPr="00255B41" w:rsidTr="00A33E3C">
        <w:trPr>
          <w:cantSplit/>
        </w:trPr>
        <w:tc>
          <w:tcPr>
            <w:tcW w:w="2282" w:type="dxa"/>
            <w:tcBorders>
              <w:top w:val="single" w:sz="4" w:space="0" w:color="808285"/>
              <w:left w:val="nil"/>
              <w:bottom w:val="single" w:sz="4" w:space="0" w:color="808285"/>
              <w:right w:val="single" w:sz="8" w:space="0" w:color="FFFFFF"/>
            </w:tcBorders>
            <w:shd w:val="clear" w:color="auto" w:fill="D9D9D9" w:themeFill="background1" w:themeFillShade="D9"/>
          </w:tcPr>
          <w:p w:rsidR="00255B41" w:rsidRPr="00255B41" w:rsidRDefault="00255B41" w:rsidP="00F50239">
            <w:pPr>
              <w:pStyle w:val="TableText"/>
            </w:pPr>
            <w:r w:rsidRPr="00255B41">
              <w:rPr>
                <w:color w:val="231F20"/>
              </w:rPr>
              <w:t>Reduce the risk of dementia</w:t>
            </w:r>
          </w:p>
        </w:tc>
        <w:tc>
          <w:tcPr>
            <w:tcW w:w="2386" w:type="dxa"/>
            <w:tcBorders>
              <w:top w:val="single" w:sz="4" w:space="0" w:color="808285"/>
              <w:left w:val="single" w:sz="8" w:space="0" w:color="FFFFFF"/>
              <w:bottom w:val="single" w:sz="4" w:space="0" w:color="808285"/>
              <w:right w:val="single" w:sz="8" w:space="0" w:color="FFFFFF"/>
            </w:tcBorders>
            <w:shd w:val="clear" w:color="auto" w:fill="F2F2F2" w:themeFill="background1" w:themeFillShade="F2"/>
          </w:tcPr>
          <w:p w:rsidR="00255B41" w:rsidRPr="00255B41" w:rsidRDefault="00255B41" w:rsidP="00F50239">
            <w:pPr>
              <w:pStyle w:val="TableText"/>
            </w:pPr>
            <w:r w:rsidRPr="00255B41">
              <w:rPr>
                <w:color w:val="231F20"/>
              </w:rPr>
              <w:t>All New Zealanders</w:t>
            </w:r>
          </w:p>
        </w:tc>
        <w:tc>
          <w:tcPr>
            <w:tcW w:w="4677" w:type="dxa"/>
            <w:tcBorders>
              <w:top w:val="single" w:sz="4" w:space="0" w:color="808285"/>
              <w:left w:val="single" w:sz="8" w:space="0" w:color="FFFFFF"/>
              <w:bottom w:val="single" w:sz="4" w:space="0" w:color="808285"/>
              <w:right w:val="nil"/>
            </w:tcBorders>
            <w:shd w:val="clear" w:color="auto" w:fill="BFBFBF" w:themeFill="background1" w:themeFillShade="BF"/>
          </w:tcPr>
          <w:p w:rsidR="00255B41" w:rsidRPr="00255B41" w:rsidRDefault="00255B41" w:rsidP="00A33E3C">
            <w:pPr>
              <w:pStyle w:val="TableBullet"/>
            </w:pPr>
            <w:r w:rsidRPr="00255B41">
              <w:t>There is growing evidence that healthy lifestyles can</w:t>
            </w:r>
            <w:r w:rsidR="00F50239">
              <w:t xml:space="preserve"> </w:t>
            </w:r>
            <w:r w:rsidRPr="00255B41">
              <w:t>reduce the risk of some types of dementia occurring and can, for some people, slow its progression.</w:t>
            </w:r>
          </w:p>
        </w:tc>
      </w:tr>
      <w:tr w:rsidR="00A33E3C" w:rsidRPr="00255B41" w:rsidTr="00A33E3C">
        <w:trPr>
          <w:cantSplit/>
        </w:trPr>
        <w:tc>
          <w:tcPr>
            <w:tcW w:w="2282" w:type="dxa"/>
            <w:tcBorders>
              <w:top w:val="single" w:sz="4" w:space="0" w:color="808285"/>
              <w:left w:val="nil"/>
              <w:bottom w:val="single" w:sz="4" w:space="0" w:color="808285"/>
              <w:right w:val="single" w:sz="8" w:space="0" w:color="FFFFFF"/>
            </w:tcBorders>
            <w:shd w:val="clear" w:color="auto" w:fill="D9D9D9" w:themeFill="background1" w:themeFillShade="D9"/>
          </w:tcPr>
          <w:p w:rsidR="00255B41" w:rsidRPr="00255B41" w:rsidRDefault="00255B41" w:rsidP="00F50239">
            <w:pPr>
              <w:pStyle w:val="TableText"/>
            </w:pPr>
            <w:r w:rsidRPr="00255B41">
              <w:rPr>
                <w:color w:val="231F20"/>
              </w:rPr>
              <w:t>Increase access to timely diagnosis of dementia</w:t>
            </w:r>
          </w:p>
        </w:tc>
        <w:tc>
          <w:tcPr>
            <w:tcW w:w="2386" w:type="dxa"/>
            <w:tcBorders>
              <w:top w:val="single" w:sz="4" w:space="0" w:color="808285"/>
              <w:left w:val="single" w:sz="8" w:space="0" w:color="FFFFFF"/>
              <w:bottom w:val="single" w:sz="4" w:space="0" w:color="808285"/>
              <w:right w:val="single" w:sz="8" w:space="0" w:color="FFFFFF"/>
            </w:tcBorders>
            <w:shd w:val="clear" w:color="auto" w:fill="F2F2F2" w:themeFill="background1" w:themeFillShade="F2"/>
          </w:tcPr>
          <w:p w:rsidR="00255B41" w:rsidRPr="00255B41" w:rsidRDefault="00255B41" w:rsidP="00F50239">
            <w:pPr>
              <w:pStyle w:val="TableText"/>
            </w:pPr>
            <w:r w:rsidRPr="00255B41">
              <w:rPr>
                <w:color w:val="231F20"/>
              </w:rPr>
              <w:t>People with concerns about their cognition</w:t>
            </w:r>
          </w:p>
        </w:tc>
        <w:tc>
          <w:tcPr>
            <w:tcW w:w="4677" w:type="dxa"/>
            <w:tcBorders>
              <w:top w:val="single" w:sz="4" w:space="0" w:color="808285"/>
              <w:left w:val="single" w:sz="8" w:space="0" w:color="FFFFFF"/>
              <w:bottom w:val="single" w:sz="4" w:space="0" w:color="808285"/>
              <w:right w:val="nil"/>
            </w:tcBorders>
            <w:shd w:val="clear" w:color="auto" w:fill="BFBFBF" w:themeFill="background1" w:themeFillShade="BF"/>
          </w:tcPr>
          <w:p w:rsidR="00255B41" w:rsidRPr="00255B41" w:rsidRDefault="00255B41" w:rsidP="00A33E3C">
            <w:pPr>
              <w:pStyle w:val="TableBullet"/>
            </w:pPr>
            <w:r w:rsidRPr="00255B41">
              <w:t>Providing a timely diagnosis can</w:t>
            </w:r>
            <w:r w:rsidR="00F50239">
              <w:t xml:space="preserve"> </w:t>
            </w:r>
            <w:r w:rsidRPr="00255B41">
              <w:t>give the person with dementia the ability to discuss their plans for their future while they are still able</w:t>
            </w:r>
            <w:r w:rsidR="00F50239">
              <w:t xml:space="preserve"> </w:t>
            </w:r>
            <w:r w:rsidRPr="00255B41">
              <w:t>to, including appointing an enduring power of attorney and developing an advance care plan.</w:t>
            </w:r>
          </w:p>
          <w:p w:rsidR="00255B41" w:rsidRPr="00255B41" w:rsidRDefault="00255B41" w:rsidP="00A33E3C">
            <w:pPr>
              <w:pStyle w:val="TableBullet"/>
            </w:pPr>
            <w:r w:rsidRPr="00255B41">
              <w:t xml:space="preserve">Evidence shows that accessing support and care at an earlier stage can reduce stress on the person and their family and </w:t>
            </w:r>
            <w:proofErr w:type="spellStart"/>
            <w:r w:rsidRPr="00255B41">
              <w:t>whānau</w:t>
            </w:r>
            <w:proofErr w:type="spellEnd"/>
            <w:r w:rsidRPr="00255B41">
              <w:t>.</w:t>
            </w:r>
          </w:p>
        </w:tc>
      </w:tr>
      <w:tr w:rsidR="00A33E3C" w:rsidRPr="00255B41" w:rsidTr="00A33E3C">
        <w:trPr>
          <w:cantSplit/>
        </w:trPr>
        <w:tc>
          <w:tcPr>
            <w:tcW w:w="2282" w:type="dxa"/>
            <w:tcBorders>
              <w:top w:val="single" w:sz="4" w:space="0" w:color="808285"/>
              <w:left w:val="nil"/>
              <w:bottom w:val="single" w:sz="4" w:space="0" w:color="808285"/>
              <w:right w:val="single" w:sz="8" w:space="0" w:color="FFFFFF"/>
            </w:tcBorders>
            <w:shd w:val="clear" w:color="auto" w:fill="D9D9D9" w:themeFill="background1" w:themeFillShade="D9"/>
          </w:tcPr>
          <w:p w:rsidR="00255B41" w:rsidRPr="00255B41" w:rsidRDefault="00255B41" w:rsidP="00F50239">
            <w:pPr>
              <w:pStyle w:val="TableText"/>
            </w:pPr>
            <w:r w:rsidRPr="00255B41">
              <w:rPr>
                <w:color w:val="231F20"/>
              </w:rPr>
              <w:t>Provide navigation of services and increase the quality of dementia information and education</w:t>
            </w:r>
          </w:p>
        </w:tc>
        <w:tc>
          <w:tcPr>
            <w:tcW w:w="2386" w:type="dxa"/>
            <w:tcBorders>
              <w:top w:val="single" w:sz="4" w:space="0" w:color="808285"/>
              <w:left w:val="single" w:sz="8" w:space="0" w:color="FFFFFF"/>
              <w:bottom w:val="single" w:sz="4" w:space="0" w:color="808285"/>
              <w:right w:val="single" w:sz="8" w:space="0" w:color="FFFFFF"/>
            </w:tcBorders>
            <w:shd w:val="clear" w:color="auto" w:fill="F2F2F2" w:themeFill="background1" w:themeFillShade="F2"/>
          </w:tcPr>
          <w:p w:rsidR="00255B41" w:rsidRPr="00255B41" w:rsidRDefault="00255B41" w:rsidP="00F50239">
            <w:pPr>
              <w:pStyle w:val="TableText"/>
            </w:pPr>
            <w:r w:rsidRPr="00255B41">
              <w:rPr>
                <w:color w:val="231F20"/>
              </w:rPr>
              <w:t xml:space="preserve">People with dementia and their family and </w:t>
            </w:r>
            <w:proofErr w:type="spellStart"/>
            <w:r w:rsidRPr="00255B41">
              <w:rPr>
                <w:color w:val="231F20"/>
              </w:rPr>
              <w:t>whānau</w:t>
            </w:r>
            <w:proofErr w:type="spellEnd"/>
          </w:p>
        </w:tc>
        <w:tc>
          <w:tcPr>
            <w:tcW w:w="4677" w:type="dxa"/>
            <w:tcBorders>
              <w:top w:val="single" w:sz="4" w:space="0" w:color="808285"/>
              <w:left w:val="single" w:sz="8" w:space="0" w:color="FFFFFF"/>
              <w:bottom w:val="single" w:sz="4" w:space="0" w:color="808285"/>
              <w:right w:val="nil"/>
            </w:tcBorders>
            <w:shd w:val="clear" w:color="auto" w:fill="BFBFBF" w:themeFill="background1" w:themeFillShade="BF"/>
          </w:tcPr>
          <w:p w:rsidR="00255B41" w:rsidRPr="00255B41" w:rsidRDefault="00255B41" w:rsidP="00A33E3C">
            <w:pPr>
              <w:pStyle w:val="TableBullet"/>
            </w:pPr>
            <w:r w:rsidRPr="00255B41">
              <w:t>Evidence shows that providing people with dementia and their families with a navigator to support them accessing the health and social supports available to them reduces stress and improves outcomes.</w:t>
            </w:r>
          </w:p>
          <w:p w:rsidR="00255B41" w:rsidRPr="00255B41" w:rsidRDefault="00255B41" w:rsidP="00A33E3C">
            <w:pPr>
              <w:pStyle w:val="TableBullet"/>
            </w:pPr>
            <w:r w:rsidRPr="00255B41">
              <w:t xml:space="preserve">People with dementia and their family and </w:t>
            </w:r>
            <w:proofErr w:type="spellStart"/>
            <w:r w:rsidRPr="00255B41">
              <w:t>wh</w:t>
            </w:r>
            <w:r w:rsidR="00A33E3C">
              <w:t>ā</w:t>
            </w:r>
            <w:r w:rsidRPr="00255B41">
              <w:t>nau</w:t>
            </w:r>
            <w:proofErr w:type="spellEnd"/>
            <w:r w:rsidRPr="00255B41">
              <w:t xml:space="preserve"> want to have a good understanding of the support, information, education and choices available to them and would like to be able</w:t>
            </w:r>
            <w:r w:rsidR="00F50239">
              <w:t xml:space="preserve"> </w:t>
            </w:r>
            <w:r w:rsidRPr="00255B41">
              <w:t>to gain this from a single point of contact.</w:t>
            </w:r>
          </w:p>
        </w:tc>
      </w:tr>
      <w:tr w:rsidR="00A33E3C" w:rsidRPr="00255B41" w:rsidTr="00A33E3C">
        <w:trPr>
          <w:cantSplit/>
        </w:trPr>
        <w:tc>
          <w:tcPr>
            <w:tcW w:w="2282" w:type="dxa"/>
            <w:tcBorders>
              <w:top w:val="single" w:sz="4" w:space="0" w:color="808285"/>
              <w:left w:val="nil"/>
              <w:bottom w:val="single" w:sz="4" w:space="0" w:color="808285"/>
              <w:right w:val="single" w:sz="8" w:space="0" w:color="FFFFFF"/>
            </w:tcBorders>
            <w:shd w:val="clear" w:color="auto" w:fill="D9D9D9" w:themeFill="background1" w:themeFillShade="D9"/>
          </w:tcPr>
          <w:p w:rsidR="00255B41" w:rsidRPr="00255B41" w:rsidRDefault="00255B41" w:rsidP="00F50239">
            <w:pPr>
              <w:pStyle w:val="TableText"/>
            </w:pPr>
            <w:r w:rsidRPr="00255B41">
              <w:rPr>
                <w:color w:val="231F20"/>
              </w:rPr>
              <w:lastRenderedPageBreak/>
              <w:t>Increase the ability of people with dementia to remain living at home</w:t>
            </w:r>
          </w:p>
        </w:tc>
        <w:tc>
          <w:tcPr>
            <w:tcW w:w="2386" w:type="dxa"/>
            <w:tcBorders>
              <w:top w:val="single" w:sz="4" w:space="0" w:color="808285"/>
              <w:left w:val="single" w:sz="8" w:space="0" w:color="FFFFFF"/>
              <w:bottom w:val="single" w:sz="4" w:space="0" w:color="808285"/>
              <w:right w:val="single" w:sz="8" w:space="0" w:color="FFFFFF"/>
            </w:tcBorders>
            <w:shd w:val="clear" w:color="auto" w:fill="F2F2F2" w:themeFill="background1" w:themeFillShade="F2"/>
          </w:tcPr>
          <w:p w:rsidR="00255B41" w:rsidRPr="00255B41" w:rsidRDefault="00255B41" w:rsidP="00F50239">
            <w:pPr>
              <w:pStyle w:val="TableText"/>
            </w:pPr>
            <w:r w:rsidRPr="00255B41">
              <w:rPr>
                <w:color w:val="231F20"/>
              </w:rPr>
              <w:t xml:space="preserve">People with dementia and their family and </w:t>
            </w:r>
            <w:proofErr w:type="spellStart"/>
            <w:r w:rsidRPr="00255B41">
              <w:rPr>
                <w:color w:val="231F20"/>
              </w:rPr>
              <w:t>whānau</w:t>
            </w:r>
            <w:proofErr w:type="spellEnd"/>
          </w:p>
        </w:tc>
        <w:tc>
          <w:tcPr>
            <w:tcW w:w="4677" w:type="dxa"/>
            <w:tcBorders>
              <w:top w:val="single" w:sz="4" w:space="0" w:color="808285"/>
              <w:left w:val="single" w:sz="8" w:space="0" w:color="FFFFFF"/>
              <w:bottom w:val="single" w:sz="4" w:space="0" w:color="808285"/>
              <w:right w:val="nil"/>
            </w:tcBorders>
            <w:shd w:val="clear" w:color="auto" w:fill="BFBFBF" w:themeFill="background1" w:themeFillShade="BF"/>
          </w:tcPr>
          <w:p w:rsidR="00255B41" w:rsidRPr="00255B41" w:rsidRDefault="00255B41" w:rsidP="00A33E3C">
            <w:pPr>
              <w:pStyle w:val="TableBullet"/>
            </w:pPr>
            <w:r w:rsidRPr="00255B41">
              <w:t>Services must be connected, coordinated and person-centred so that people with dementia and their families receive the right services at the right time and in the right place.</w:t>
            </w:r>
          </w:p>
          <w:p w:rsidR="00255B41" w:rsidRPr="00255B41" w:rsidRDefault="00255B41" w:rsidP="00A33E3C">
            <w:pPr>
              <w:pStyle w:val="TableBullet"/>
            </w:pPr>
            <w:r w:rsidRPr="00255B41">
              <w:t>Increasing the ability for people with dementia to socialise and be involved in their community will reduce loneliness and isolation while providing the people supporting them an opportunity for a break.</w:t>
            </w:r>
          </w:p>
        </w:tc>
      </w:tr>
      <w:tr w:rsidR="00A33E3C" w:rsidRPr="00255B41" w:rsidTr="00A33E3C">
        <w:trPr>
          <w:cantSplit/>
        </w:trPr>
        <w:tc>
          <w:tcPr>
            <w:tcW w:w="2282" w:type="dxa"/>
            <w:tcBorders>
              <w:top w:val="single" w:sz="4" w:space="0" w:color="808285"/>
              <w:left w:val="nil"/>
              <w:bottom w:val="single" w:sz="4" w:space="0" w:color="808285"/>
              <w:right w:val="single" w:sz="8" w:space="0" w:color="FFFFFF"/>
            </w:tcBorders>
            <w:shd w:val="clear" w:color="auto" w:fill="D9D9D9" w:themeFill="background1" w:themeFillShade="D9"/>
          </w:tcPr>
          <w:p w:rsidR="00255B41" w:rsidRPr="00255B41" w:rsidRDefault="00255B41" w:rsidP="00F50239">
            <w:pPr>
              <w:pStyle w:val="TableText"/>
            </w:pPr>
            <w:r w:rsidRPr="00255B41">
              <w:rPr>
                <w:color w:val="231F20"/>
              </w:rPr>
              <w:t>Increase the quality of information and education for the workforce</w:t>
            </w:r>
          </w:p>
        </w:tc>
        <w:tc>
          <w:tcPr>
            <w:tcW w:w="2386" w:type="dxa"/>
            <w:tcBorders>
              <w:top w:val="single" w:sz="4" w:space="0" w:color="808285"/>
              <w:left w:val="single" w:sz="8" w:space="0" w:color="FFFFFF"/>
              <w:bottom w:val="single" w:sz="4" w:space="0" w:color="808285"/>
              <w:right w:val="single" w:sz="8" w:space="0" w:color="FFFFFF"/>
            </w:tcBorders>
            <w:shd w:val="clear" w:color="auto" w:fill="F2F2F2" w:themeFill="background1" w:themeFillShade="F2"/>
          </w:tcPr>
          <w:p w:rsidR="00255B41" w:rsidRPr="00255B41" w:rsidRDefault="00255B41" w:rsidP="00F50239">
            <w:pPr>
              <w:pStyle w:val="TableText"/>
            </w:pPr>
            <w:r w:rsidRPr="00255B41">
              <w:rPr>
                <w:color w:val="231F20"/>
              </w:rPr>
              <w:t>Health and social support services</w:t>
            </w:r>
          </w:p>
        </w:tc>
        <w:tc>
          <w:tcPr>
            <w:tcW w:w="4677" w:type="dxa"/>
            <w:tcBorders>
              <w:top w:val="single" w:sz="4" w:space="0" w:color="808285"/>
              <w:left w:val="single" w:sz="8" w:space="0" w:color="FFFFFF"/>
              <w:bottom w:val="single" w:sz="4" w:space="0" w:color="808285"/>
              <w:right w:val="nil"/>
            </w:tcBorders>
            <w:shd w:val="clear" w:color="auto" w:fill="BFBFBF" w:themeFill="background1" w:themeFillShade="BF"/>
          </w:tcPr>
          <w:p w:rsidR="00255B41" w:rsidRPr="00255B41" w:rsidRDefault="00255B41" w:rsidP="00A33E3C">
            <w:pPr>
              <w:pStyle w:val="TableBullet"/>
            </w:pPr>
            <w:r w:rsidRPr="00255B41">
              <w:t>Improving the dementia knowledge and skills</w:t>
            </w:r>
            <w:r w:rsidR="00F50239">
              <w:t xml:space="preserve"> </w:t>
            </w:r>
            <w:r w:rsidRPr="00255B41">
              <w:t>for a wide</w:t>
            </w:r>
            <w:r w:rsidR="00F50239">
              <w:t xml:space="preserve"> </w:t>
            </w:r>
            <w:r w:rsidRPr="00255B41">
              <w:t>range of health and social support professionals is likely to lead to better outcomes for people with dementia. It could also encourage clinically led innovation in support for people with dementia and their families.</w:t>
            </w:r>
          </w:p>
        </w:tc>
      </w:tr>
      <w:tr w:rsidR="00A33E3C" w:rsidRPr="00255B41" w:rsidTr="00A33E3C">
        <w:trPr>
          <w:cantSplit/>
        </w:trPr>
        <w:tc>
          <w:tcPr>
            <w:tcW w:w="2282" w:type="dxa"/>
            <w:tcBorders>
              <w:top w:val="single" w:sz="4" w:space="0" w:color="808285"/>
              <w:left w:val="nil"/>
              <w:bottom w:val="single" w:sz="4" w:space="0" w:color="808285"/>
              <w:right w:val="single" w:sz="8" w:space="0" w:color="FFFFFF"/>
            </w:tcBorders>
            <w:shd w:val="clear" w:color="auto" w:fill="D9D9D9" w:themeFill="background1" w:themeFillShade="D9"/>
          </w:tcPr>
          <w:p w:rsidR="00255B41" w:rsidRPr="00255B41" w:rsidRDefault="00255B41" w:rsidP="00F50239">
            <w:pPr>
              <w:pStyle w:val="TableText"/>
            </w:pPr>
            <w:r w:rsidRPr="00255B41">
              <w:rPr>
                <w:color w:val="231F20"/>
              </w:rPr>
              <w:t>Develop dementia-friendly health and social support services</w:t>
            </w:r>
          </w:p>
        </w:tc>
        <w:tc>
          <w:tcPr>
            <w:tcW w:w="2386" w:type="dxa"/>
            <w:tcBorders>
              <w:top w:val="single" w:sz="4" w:space="0" w:color="808285"/>
              <w:left w:val="single" w:sz="8" w:space="0" w:color="FFFFFF"/>
              <w:bottom w:val="single" w:sz="4" w:space="0" w:color="808285"/>
              <w:right w:val="single" w:sz="8" w:space="0" w:color="FFFFFF"/>
            </w:tcBorders>
            <w:shd w:val="clear" w:color="auto" w:fill="F2F2F2" w:themeFill="background1" w:themeFillShade="F2"/>
          </w:tcPr>
          <w:p w:rsidR="00255B41" w:rsidRPr="00255B41" w:rsidRDefault="00255B41" w:rsidP="00F50239">
            <w:pPr>
              <w:pStyle w:val="TableText"/>
            </w:pPr>
            <w:r w:rsidRPr="00255B41">
              <w:rPr>
                <w:color w:val="231F20"/>
              </w:rPr>
              <w:t>Ministry of Health, DHBs, aged residential care, families</w:t>
            </w:r>
          </w:p>
        </w:tc>
        <w:tc>
          <w:tcPr>
            <w:tcW w:w="4677" w:type="dxa"/>
            <w:tcBorders>
              <w:top w:val="single" w:sz="4" w:space="0" w:color="808285"/>
              <w:left w:val="single" w:sz="8" w:space="0" w:color="FFFFFF"/>
              <w:bottom w:val="single" w:sz="4" w:space="0" w:color="808285"/>
              <w:right w:val="nil"/>
            </w:tcBorders>
            <w:shd w:val="clear" w:color="auto" w:fill="BFBFBF" w:themeFill="background1" w:themeFillShade="BF"/>
          </w:tcPr>
          <w:p w:rsidR="00255B41" w:rsidRPr="00255B41" w:rsidRDefault="00255B41" w:rsidP="00A33E3C">
            <w:pPr>
              <w:pStyle w:val="TableBullet"/>
            </w:pPr>
            <w:r w:rsidRPr="00255B41">
              <w:t>Evidence shows that dementia-friendly environments can</w:t>
            </w:r>
            <w:r w:rsidR="00F50239">
              <w:t xml:space="preserve"> </w:t>
            </w:r>
            <w:r w:rsidRPr="00255B41">
              <w:t>reduce stress and confusion for people with dementia. Simple changes in emergency departments, hospital wards, residential care settings and the person</w:t>
            </w:r>
            <w:r w:rsidR="00F50239">
              <w:t>’</w:t>
            </w:r>
            <w:r w:rsidRPr="00255B41">
              <w:t>s own home can</w:t>
            </w:r>
            <w:r w:rsidR="00F50239">
              <w:t xml:space="preserve"> </w:t>
            </w:r>
            <w:r w:rsidRPr="00255B41">
              <w:t>make a big difference for a person with dementia.</w:t>
            </w:r>
          </w:p>
        </w:tc>
      </w:tr>
      <w:tr w:rsidR="00A33E3C" w:rsidRPr="00255B41" w:rsidTr="00A33E3C">
        <w:trPr>
          <w:cantSplit/>
        </w:trPr>
        <w:tc>
          <w:tcPr>
            <w:tcW w:w="2282" w:type="dxa"/>
            <w:tcBorders>
              <w:top w:val="single" w:sz="4" w:space="0" w:color="808285"/>
              <w:left w:val="nil"/>
              <w:bottom w:val="single" w:sz="4" w:space="0" w:color="808285"/>
              <w:right w:val="single" w:sz="8" w:space="0" w:color="FFFFFF"/>
            </w:tcBorders>
            <w:shd w:val="clear" w:color="auto" w:fill="D9D9D9" w:themeFill="background1" w:themeFillShade="D9"/>
          </w:tcPr>
          <w:p w:rsidR="00255B41" w:rsidRPr="00255B41" w:rsidRDefault="00255B41" w:rsidP="00F50239">
            <w:pPr>
              <w:pStyle w:val="TableText"/>
            </w:pPr>
            <w:r w:rsidRPr="00255B41">
              <w:rPr>
                <w:color w:val="231F20"/>
              </w:rPr>
              <w:t>Provide respectful and supportive end-of-life care</w:t>
            </w:r>
          </w:p>
        </w:tc>
        <w:tc>
          <w:tcPr>
            <w:tcW w:w="2386" w:type="dxa"/>
            <w:tcBorders>
              <w:top w:val="single" w:sz="4" w:space="0" w:color="808285"/>
              <w:left w:val="single" w:sz="8" w:space="0" w:color="FFFFFF"/>
              <w:bottom w:val="single" w:sz="4" w:space="0" w:color="808285"/>
              <w:right w:val="single" w:sz="8" w:space="0" w:color="FFFFFF"/>
            </w:tcBorders>
            <w:shd w:val="clear" w:color="auto" w:fill="F2F2F2" w:themeFill="background1" w:themeFillShade="F2"/>
          </w:tcPr>
          <w:p w:rsidR="00255B41" w:rsidRPr="00255B41" w:rsidRDefault="00255B41" w:rsidP="00F50239">
            <w:pPr>
              <w:pStyle w:val="TableText"/>
            </w:pPr>
            <w:r w:rsidRPr="00255B41">
              <w:rPr>
                <w:color w:val="231F20"/>
              </w:rPr>
              <w:t>Ministry of Health, DHBs, palliative care services</w:t>
            </w:r>
          </w:p>
        </w:tc>
        <w:tc>
          <w:tcPr>
            <w:tcW w:w="4677" w:type="dxa"/>
            <w:tcBorders>
              <w:top w:val="single" w:sz="4" w:space="0" w:color="808285"/>
              <w:left w:val="single" w:sz="8" w:space="0" w:color="FFFFFF"/>
              <w:bottom w:val="single" w:sz="4" w:space="0" w:color="808285"/>
              <w:right w:val="nil"/>
            </w:tcBorders>
            <w:shd w:val="clear" w:color="auto" w:fill="BFBFBF" w:themeFill="background1" w:themeFillShade="BF"/>
          </w:tcPr>
          <w:p w:rsidR="00255B41" w:rsidRPr="00255B41" w:rsidRDefault="00255B41" w:rsidP="00A33E3C">
            <w:pPr>
              <w:pStyle w:val="TableBullet"/>
            </w:pPr>
            <w:r w:rsidRPr="00255B41">
              <w:t>End-of-life care that takes the person</w:t>
            </w:r>
            <w:r w:rsidR="00F50239">
              <w:t>’</w:t>
            </w:r>
            <w:r w:rsidRPr="00255B41">
              <w:t xml:space="preserve">s wishes and preferences into account and includes their family and </w:t>
            </w:r>
            <w:proofErr w:type="spellStart"/>
            <w:r w:rsidRPr="00255B41">
              <w:t>whānau</w:t>
            </w:r>
            <w:proofErr w:type="spellEnd"/>
            <w:r w:rsidRPr="00255B41">
              <w:t xml:space="preserve"> as active participants in the planning and provision of their care improves outcomes and reduces stress for everyone.</w:t>
            </w:r>
          </w:p>
          <w:p w:rsidR="00255B41" w:rsidRPr="00255B41" w:rsidRDefault="00255B41" w:rsidP="00A33E3C">
            <w:pPr>
              <w:pStyle w:val="TableBullet"/>
            </w:pPr>
            <w:r w:rsidRPr="00255B41">
              <w:t>There is a need for end-of-life care with a palliative approach for people with dementia to be developed to support consistent best practice in New Zealand.</w:t>
            </w:r>
          </w:p>
        </w:tc>
      </w:tr>
    </w:tbl>
    <w:p w:rsidR="00255B41" w:rsidRPr="00255B41" w:rsidRDefault="00255B41" w:rsidP="00F50239">
      <w:pPr>
        <w:pStyle w:val="Note"/>
      </w:pPr>
      <w:r w:rsidRPr="00255B41">
        <w:t>Note: DHBs = district health boards; NGOs = non-governmental organisations</w:t>
      </w:r>
      <w:r w:rsidR="00F50239">
        <w:t>.</w:t>
      </w:r>
    </w:p>
    <w:p w:rsidR="00255B41" w:rsidRPr="00255B41" w:rsidRDefault="00255B41" w:rsidP="00F50239"/>
    <w:p w:rsidR="00255B41" w:rsidRPr="00255B41" w:rsidRDefault="00255B41" w:rsidP="00F50239">
      <w:pPr>
        <w:pStyle w:val="Heading2"/>
      </w:pPr>
      <w:r w:rsidRPr="00255B41">
        <w:lastRenderedPageBreak/>
        <w:t>The challenge</w:t>
      </w:r>
    </w:p>
    <w:p w:rsidR="00255B41" w:rsidRPr="00A33E3C" w:rsidRDefault="00255B41" w:rsidP="00A33E3C">
      <w:pPr>
        <w:keepNext/>
        <w:ind w:right="-142"/>
        <w:rPr>
          <w:spacing w:val="-4"/>
        </w:rPr>
      </w:pPr>
      <w:r w:rsidRPr="00A33E3C">
        <w:rPr>
          <w:spacing w:val="-4"/>
        </w:rPr>
        <w:t>Dementia is a degenerative condition that affects a person</w:t>
      </w:r>
      <w:r w:rsidR="00F50239" w:rsidRPr="00A33E3C">
        <w:rPr>
          <w:spacing w:val="-4"/>
        </w:rPr>
        <w:t>’</w:t>
      </w:r>
      <w:r w:rsidRPr="00A33E3C">
        <w:rPr>
          <w:spacing w:val="-4"/>
        </w:rPr>
        <w:t>s memory and their ability to do everyday tasks. It</w:t>
      </w:r>
      <w:r w:rsidR="00A33E3C">
        <w:rPr>
          <w:spacing w:val="-4"/>
        </w:rPr>
        <w:t> </w:t>
      </w:r>
      <w:r w:rsidRPr="00A33E3C">
        <w:rPr>
          <w:spacing w:val="-4"/>
        </w:rPr>
        <w:t>is caused by a range of diseases, of which Alzheimer</w:t>
      </w:r>
      <w:r w:rsidR="00F50239" w:rsidRPr="00A33E3C">
        <w:rPr>
          <w:spacing w:val="-4"/>
        </w:rPr>
        <w:t>’</w:t>
      </w:r>
      <w:r w:rsidRPr="00A33E3C">
        <w:rPr>
          <w:spacing w:val="-4"/>
        </w:rPr>
        <w:t>s disease is the best known. While</w:t>
      </w:r>
      <w:r w:rsidR="00F50239" w:rsidRPr="00A33E3C">
        <w:rPr>
          <w:spacing w:val="-4"/>
        </w:rPr>
        <w:t xml:space="preserve"> </w:t>
      </w:r>
      <w:r w:rsidRPr="00A33E3C">
        <w:rPr>
          <w:spacing w:val="-4"/>
        </w:rPr>
        <w:t>most people with dementia are older, the condition can</w:t>
      </w:r>
      <w:r w:rsidR="00F50239" w:rsidRPr="00A33E3C">
        <w:rPr>
          <w:spacing w:val="-4"/>
        </w:rPr>
        <w:t xml:space="preserve"> </w:t>
      </w:r>
      <w:r w:rsidRPr="00A33E3C">
        <w:rPr>
          <w:spacing w:val="-4"/>
        </w:rPr>
        <w:t>also affect younger people, people with Down syndrome, and those with alcohol and/or drug addictions. But the impact of dementia is not limited to those with it. It also has</w:t>
      </w:r>
      <w:r w:rsidR="00F50239" w:rsidRPr="00A33E3C">
        <w:rPr>
          <w:spacing w:val="-4"/>
        </w:rPr>
        <w:t xml:space="preserve"> </w:t>
      </w:r>
      <w:r w:rsidRPr="00A33E3C">
        <w:rPr>
          <w:spacing w:val="-4"/>
        </w:rPr>
        <w:t xml:space="preserve">an impact on the life of the carer as well as family, </w:t>
      </w:r>
      <w:proofErr w:type="spellStart"/>
      <w:r w:rsidRPr="00A33E3C">
        <w:rPr>
          <w:spacing w:val="-4"/>
        </w:rPr>
        <w:t>whānau</w:t>
      </w:r>
      <w:proofErr w:type="spellEnd"/>
      <w:r w:rsidRPr="00A33E3C">
        <w:rPr>
          <w:spacing w:val="-4"/>
        </w:rPr>
        <w:t>, friends and communities.</w:t>
      </w:r>
    </w:p>
    <w:p w:rsidR="00255B41" w:rsidRPr="00255B41" w:rsidRDefault="00255B41" w:rsidP="00A33E3C">
      <w:pPr>
        <w:keepNext/>
      </w:pPr>
    </w:p>
    <w:p w:rsidR="00255B41" w:rsidRPr="00255B41" w:rsidRDefault="00255B41" w:rsidP="00A33E3C">
      <w:pPr>
        <w:keepLines/>
      </w:pPr>
      <w:r w:rsidRPr="00255B41">
        <w:t>There are large health and social costs for the person with dementia, including lost quality of life, a shortened lifespan, and the impact their condition has</w:t>
      </w:r>
      <w:r w:rsidR="00F50239">
        <w:t xml:space="preserve"> </w:t>
      </w:r>
      <w:r w:rsidRPr="00255B41">
        <w:t>on their family and friends. In the Ministry of Health</w:t>
      </w:r>
      <w:r w:rsidR="00F50239">
        <w:t>’</w:t>
      </w:r>
      <w:r w:rsidRPr="00255B41">
        <w:t xml:space="preserve">s (2013a) report, </w:t>
      </w:r>
      <w:r w:rsidRPr="00255B41">
        <w:rPr>
          <w:i/>
        </w:rPr>
        <w:t>Health Loss in New Zealand</w:t>
      </w:r>
      <w:r w:rsidRPr="00255B41">
        <w:t>, dementia was one</w:t>
      </w:r>
      <w:r w:rsidR="00F50239">
        <w:t xml:space="preserve"> </w:t>
      </w:r>
      <w:r w:rsidRPr="00255B41">
        <w:t>of the top four</w:t>
      </w:r>
      <w:r w:rsidR="00F50239">
        <w:t xml:space="preserve"> </w:t>
      </w:r>
      <w:r w:rsidRPr="00255B41">
        <w:t>leading causes of health loss for people aged over</w:t>
      </w:r>
      <w:r w:rsidR="00F50239">
        <w:t xml:space="preserve"> </w:t>
      </w:r>
      <w:r w:rsidRPr="00255B41">
        <w:t>75 years.</w:t>
      </w:r>
    </w:p>
    <w:p w:rsidR="00255B41" w:rsidRPr="00255B41" w:rsidRDefault="00255B41" w:rsidP="00F50239"/>
    <w:p w:rsidR="00255B41" w:rsidRPr="00255B41" w:rsidRDefault="00255B41" w:rsidP="00F50239">
      <w:r w:rsidRPr="00255B41">
        <w:t>Historically, people with advanced dementia have been cared for in rest homes. We understand that more and more people want to stay</w:t>
      </w:r>
      <w:r w:rsidR="00F50239">
        <w:t xml:space="preserve"> </w:t>
      </w:r>
      <w:r w:rsidRPr="00255B41">
        <w:t>in their own</w:t>
      </w:r>
      <w:r w:rsidR="00F50239">
        <w:t xml:space="preserve"> </w:t>
      </w:r>
      <w:r w:rsidRPr="00255B41">
        <w:t>homes alongside their families and community. Supporting people with dementia to remain at home safely and appropriately, with services coming to them and being readily available in the community, is crucial to ensuring their health, independence and happiness.</w:t>
      </w:r>
    </w:p>
    <w:p w:rsidR="00255B41" w:rsidRPr="00255B41" w:rsidRDefault="00255B41" w:rsidP="00F50239"/>
    <w:p w:rsidR="00255B41" w:rsidRPr="00255B41" w:rsidRDefault="00255B41" w:rsidP="00F50239">
      <w:r w:rsidRPr="00255B41">
        <w:t>Our challenge is to take action to make sure we have the best dementia health and social support services available to improve people</w:t>
      </w:r>
      <w:r w:rsidR="00F50239">
        <w:t>’</w:t>
      </w:r>
      <w:r w:rsidRPr="00255B41">
        <w:t>s lives.</w:t>
      </w:r>
      <w:r w:rsidR="00F50239">
        <w:t xml:space="preserve"> </w:t>
      </w:r>
      <w:r w:rsidRPr="00255B41">
        <w:t xml:space="preserve">We need these services not only to provide the best support today, but also to continue to do </w:t>
      </w:r>
      <w:proofErr w:type="gramStart"/>
      <w:r w:rsidRPr="00255B41">
        <w:t>so</w:t>
      </w:r>
      <w:proofErr w:type="gramEnd"/>
      <w:r w:rsidRPr="00255B41">
        <w:t xml:space="preserve"> in the future as demand increases.</w:t>
      </w:r>
    </w:p>
    <w:p w:rsidR="00255B41" w:rsidRPr="00255B41" w:rsidRDefault="00255B41" w:rsidP="00F50239"/>
    <w:p w:rsidR="00255B41" w:rsidRPr="00255B41" w:rsidRDefault="00255B41" w:rsidP="00F50239">
      <w:pPr>
        <w:pStyle w:val="Heading2"/>
      </w:pPr>
      <w:r w:rsidRPr="00255B41">
        <w:t>What are we doing now?</w:t>
      </w:r>
    </w:p>
    <w:p w:rsidR="00255B41" w:rsidRPr="00255B41" w:rsidRDefault="00255B41" w:rsidP="00F50239">
      <w:r w:rsidRPr="00255B41">
        <w:t>A key part of meeting the challenge outlined above is making sure New Zealand has</w:t>
      </w:r>
      <w:r w:rsidR="00F50239">
        <w:t xml:space="preserve"> </w:t>
      </w:r>
      <w:r w:rsidRPr="00255B41">
        <w:t xml:space="preserve">a working and integrated system for people with dementia. To achieve this goal, in November 2013 the Ministry set an overarching direction for dementia care and support in the </w:t>
      </w:r>
      <w:r w:rsidRPr="00255B41">
        <w:rPr>
          <w:i/>
        </w:rPr>
        <w:t xml:space="preserve">New Zealand Framework for Dementia Care </w:t>
      </w:r>
      <w:r w:rsidRPr="00255B41">
        <w:t>(the Framework) (Ministry</w:t>
      </w:r>
      <w:r w:rsidR="00F50239">
        <w:t xml:space="preserve"> </w:t>
      </w:r>
      <w:r w:rsidRPr="00255B41">
        <w:t>of Health 2013b). The Framework was developed in collaboration with people with dementia, their families, district health boards and non-governmental organisations. The Ministry will use the Framework along with the investments we have made and the collective interest that has</w:t>
      </w:r>
      <w:r w:rsidR="00F50239">
        <w:t xml:space="preserve"> </w:t>
      </w:r>
      <w:r w:rsidRPr="00255B41">
        <w:t>been built to drive further change and improvement in dementia care.</w:t>
      </w:r>
    </w:p>
    <w:p w:rsidR="00255B41" w:rsidRPr="00255B41" w:rsidRDefault="00255B41" w:rsidP="00F50239"/>
    <w:p w:rsidR="00255B41" w:rsidRPr="00255B41" w:rsidRDefault="00255B41" w:rsidP="00F50239">
      <w:r w:rsidRPr="00255B41">
        <w:t>The Framework centres around using dementia care pathways to provide seamless, proactive and planned care and support services throughout a person</w:t>
      </w:r>
      <w:r w:rsidR="00F50239">
        <w:t>’</w:t>
      </w:r>
      <w:r w:rsidRPr="00255B41">
        <w:t>s journey with dementia. District health boards are now progressively developing dementia care pathways to ensure that people with dementia are receiving best-practice care and support.</w:t>
      </w:r>
    </w:p>
    <w:p w:rsidR="00255B41" w:rsidRPr="00255B41" w:rsidRDefault="00255B41" w:rsidP="00F50239"/>
    <w:p w:rsidR="00255B41" w:rsidRPr="00255B41" w:rsidRDefault="00255B41" w:rsidP="00F50239">
      <w:r w:rsidRPr="00255B41">
        <w:t>In addition to dementia care pathways, the Ministry has</w:t>
      </w:r>
      <w:r w:rsidR="00F50239">
        <w:t xml:space="preserve"> </w:t>
      </w:r>
      <w:r w:rsidRPr="00255B41">
        <w:t>made significant investments to improve dementia services. Investments have included funding to encourage growth in dementia residential care to meet future need, a public dementia awareness campaign, increasing primary care awareness and responsiveness to dementia, and increasing the number of support workers doing dementia training.</w:t>
      </w:r>
    </w:p>
    <w:p w:rsidR="00255B41" w:rsidRPr="00255B41" w:rsidRDefault="00255B41" w:rsidP="00F50239"/>
    <w:p w:rsidR="00255B41" w:rsidRPr="00255B41" w:rsidRDefault="00255B41" w:rsidP="00A33E3C">
      <w:r w:rsidRPr="00255B41">
        <w:t>The Ministry has</w:t>
      </w:r>
      <w:r w:rsidR="00F50239">
        <w:t xml:space="preserve"> </w:t>
      </w:r>
      <w:r w:rsidRPr="00255B41">
        <w:t>also invested in growing the skills, knowledge and ability of the aged-care workforce which will improve support for people with dementia. These investments include a Voluntary Bonding Scheme that encourages doctors and nurses to work</w:t>
      </w:r>
      <w:r w:rsidR="00F50239">
        <w:t xml:space="preserve"> </w:t>
      </w:r>
      <w:r w:rsidRPr="00255B41">
        <w:t>in hard-to-staff areas and vocational fields, including aged care, and an Aged Residential Care Nurse Entry to Practice programme that aims to attract and retain graduate nurses in the aged-care sector.</w:t>
      </w:r>
    </w:p>
    <w:p w:rsidR="00255B41" w:rsidRPr="00255B41" w:rsidRDefault="00255B41" w:rsidP="00F50239"/>
    <w:p w:rsidR="00255B41" w:rsidRPr="00255B41" w:rsidRDefault="00255B41" w:rsidP="00F50239">
      <w:r w:rsidRPr="00255B41">
        <w:lastRenderedPageBreak/>
        <w:t xml:space="preserve">The Ministry also acknowledges the important role that family members and unpaid carers have in supporting those with dementia. The recent </w:t>
      </w:r>
      <w:r w:rsidRPr="00255B41">
        <w:rPr>
          <w:i/>
        </w:rPr>
        <w:t>New Zealand Carers</w:t>
      </w:r>
      <w:r w:rsidR="00F50239">
        <w:rPr>
          <w:i/>
        </w:rPr>
        <w:t>’</w:t>
      </w:r>
      <w:r w:rsidRPr="00255B41">
        <w:rPr>
          <w:i/>
        </w:rPr>
        <w:t xml:space="preserve"> Strategy Action Plan for 2014 to 2018 </w:t>
      </w:r>
      <w:r w:rsidRPr="00255B41">
        <w:t xml:space="preserve">(Ministry of Social Development 2014) recognises the immense contribution of </w:t>
      </w:r>
      <w:proofErr w:type="spellStart"/>
      <w:r w:rsidRPr="00255B41">
        <w:t>whānau</w:t>
      </w:r>
      <w:proofErr w:type="spellEnd"/>
      <w:r w:rsidRPr="00255B41">
        <w:t xml:space="preserve">, </w:t>
      </w:r>
      <w:proofErr w:type="spellStart"/>
      <w:r w:rsidRPr="00255B41">
        <w:t>aiga</w:t>
      </w:r>
      <w:proofErr w:type="spellEnd"/>
      <w:r w:rsidRPr="00255B41">
        <w:t xml:space="preserve"> and carers and addresses the issues that impact them.</w:t>
      </w:r>
    </w:p>
    <w:p w:rsidR="00255B41" w:rsidRPr="00255B41" w:rsidRDefault="00255B41" w:rsidP="00F50239"/>
    <w:p w:rsidR="00255B41" w:rsidRDefault="00255B41" w:rsidP="00F50239">
      <w:r w:rsidRPr="00255B41">
        <w:t>The table on the next page provides further detail on the current actions targeted at dementia care. Together, all of these initiatives create a comprehensive care system for New Zealanders with dementia. But we need to build on this system to make it the best it can</w:t>
      </w:r>
      <w:r w:rsidR="00F50239">
        <w:t xml:space="preserve"> </w:t>
      </w:r>
      <w:r w:rsidRPr="00255B41">
        <w:t>be, both now and in the future. By combining these initiatives with the nine action areas for the next three years, we can</w:t>
      </w:r>
      <w:r w:rsidR="00F50239">
        <w:t xml:space="preserve"> </w:t>
      </w:r>
      <w:r w:rsidRPr="00255B41">
        <w:t xml:space="preserve">develop a care system that maximises the health, independence and wellbeing of people with dementia, as well as of their </w:t>
      </w:r>
      <w:proofErr w:type="spellStart"/>
      <w:r w:rsidRPr="00255B41">
        <w:t>carers</w:t>
      </w:r>
      <w:proofErr w:type="spellEnd"/>
      <w:r w:rsidRPr="00255B41">
        <w:t xml:space="preserve">, families, </w:t>
      </w:r>
      <w:proofErr w:type="spellStart"/>
      <w:r w:rsidRPr="00255B41">
        <w:t>whānau</w:t>
      </w:r>
      <w:proofErr w:type="spellEnd"/>
      <w:r w:rsidRPr="00255B41">
        <w:t xml:space="preserve"> and communities.</w:t>
      </w:r>
    </w:p>
    <w:p w:rsidR="00F50239" w:rsidRDefault="00F50239" w:rsidP="00F50239"/>
    <w:p w:rsidR="00F50239" w:rsidRDefault="00F50239" w:rsidP="00F50239">
      <w:r w:rsidRPr="00F50239">
        <w:rPr>
          <w:noProof/>
          <w:lang w:eastAsia="en-NZ"/>
        </w:rPr>
        <w:drawing>
          <wp:inline distT="0" distB="0" distL="0" distR="0" wp14:anchorId="3054F8DA" wp14:editId="46DB9BD6">
            <wp:extent cx="5936729" cy="5943600"/>
            <wp:effectExtent l="0" t="0" r="6985"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grayscl/>
                    </a:blip>
                    <a:srcRect t="1515"/>
                    <a:stretch/>
                  </pic:blipFill>
                  <pic:spPr bwMode="auto">
                    <a:xfrm>
                      <a:off x="0" y="0"/>
                      <a:ext cx="5939790" cy="5946665"/>
                    </a:xfrm>
                    <a:prstGeom prst="rect">
                      <a:avLst/>
                    </a:prstGeom>
                    <a:ln>
                      <a:noFill/>
                    </a:ln>
                    <a:extLst>
                      <a:ext uri="{53640926-AAD7-44D8-BBD7-CCE9431645EC}">
                        <a14:shadowObscured xmlns:a14="http://schemas.microsoft.com/office/drawing/2010/main"/>
                      </a:ext>
                    </a:extLst>
                  </pic:spPr>
                </pic:pic>
              </a:graphicData>
            </a:graphic>
          </wp:inline>
        </w:drawing>
      </w:r>
    </w:p>
    <w:p w:rsidR="00F50239" w:rsidRPr="00255B41" w:rsidRDefault="00F50239" w:rsidP="00F50239"/>
    <w:p w:rsidR="00255B41" w:rsidRDefault="00255B41" w:rsidP="00F50239">
      <w:pPr>
        <w:pStyle w:val="Heading2"/>
      </w:pPr>
      <w:r w:rsidRPr="00255B41">
        <w:lastRenderedPageBreak/>
        <w:t xml:space="preserve">Dementia care and support: </w:t>
      </w:r>
      <w:r w:rsidR="00A33E3C">
        <w:t>r</w:t>
      </w:r>
      <w:r w:rsidRPr="00255B41">
        <w:t>ange of existing actions</w:t>
      </w:r>
    </w:p>
    <w:p w:rsidR="0045661B" w:rsidRPr="0045661B" w:rsidRDefault="0045661B" w:rsidP="0045661B">
      <w:r w:rsidRPr="0045661B">
        <w:rPr>
          <w:noProof/>
          <w:lang w:eastAsia="en-NZ"/>
        </w:rPr>
        <w:drawing>
          <wp:inline distT="0" distB="0" distL="0" distR="0" wp14:anchorId="439C3046" wp14:editId="59F4BD87">
            <wp:extent cx="5939790" cy="707571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39790" cy="7075711"/>
                    </a:xfrm>
                    <a:prstGeom prst="rect">
                      <a:avLst/>
                    </a:prstGeom>
                  </pic:spPr>
                </pic:pic>
              </a:graphicData>
            </a:graphic>
          </wp:inline>
        </w:drawing>
      </w:r>
    </w:p>
    <w:p w:rsidR="00255B41" w:rsidRPr="00255B41" w:rsidRDefault="00255B41" w:rsidP="00F50239">
      <w:pPr>
        <w:pStyle w:val="Note"/>
      </w:pPr>
      <w:r w:rsidRPr="00255B41">
        <w:rPr>
          <w:rFonts w:asciiTheme="minorHAnsi" w:eastAsiaTheme="minorHAnsi" w:hAnsiTheme="minorHAnsi" w:cstheme="minorBidi"/>
          <w:noProof/>
          <w:sz w:val="22"/>
          <w:lang w:eastAsia="en-NZ"/>
        </w:rPr>
        <mc:AlternateContent>
          <mc:Choice Requires="wpg">
            <w:drawing>
              <wp:anchor distT="0" distB="0" distL="114300" distR="114300" simplePos="0" relativeHeight="251661312" behindDoc="1" locked="0" layoutInCell="1" allowOverlap="1" wp14:anchorId="09FE5A76" wp14:editId="7DE1068D">
                <wp:simplePos x="0" y="0"/>
                <wp:positionH relativeFrom="page">
                  <wp:posOffset>3394075</wp:posOffset>
                </wp:positionH>
                <wp:positionV relativeFrom="paragraph">
                  <wp:posOffset>-3742690</wp:posOffset>
                </wp:positionV>
                <wp:extent cx="3818255" cy="101600"/>
                <wp:effectExtent l="3175" t="635" r="0" b="25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8255" cy="101600"/>
                          <a:chOff x="5345" y="-5894"/>
                          <a:chExt cx="6013" cy="160"/>
                        </a:xfrm>
                      </wpg:grpSpPr>
                      <wps:wsp>
                        <wps:cNvPr id="7" name="Freeform 541"/>
                        <wps:cNvSpPr>
                          <a:spLocks/>
                        </wps:cNvSpPr>
                        <wps:spPr bwMode="auto">
                          <a:xfrm>
                            <a:off x="5345" y="-5894"/>
                            <a:ext cx="6013" cy="160"/>
                          </a:xfrm>
                          <a:custGeom>
                            <a:avLst/>
                            <a:gdLst>
                              <a:gd name="T0" fmla="+- 0 5345 5345"/>
                              <a:gd name="T1" fmla="*/ T0 w 6013"/>
                              <a:gd name="T2" fmla="+- 0 -5734 -5894"/>
                              <a:gd name="T3" fmla="*/ -5734 h 160"/>
                              <a:gd name="T4" fmla="+- 0 11357 5345"/>
                              <a:gd name="T5" fmla="*/ T4 w 6013"/>
                              <a:gd name="T6" fmla="+- 0 -5734 -5894"/>
                              <a:gd name="T7" fmla="*/ -5734 h 160"/>
                              <a:gd name="T8" fmla="+- 0 11357 5345"/>
                              <a:gd name="T9" fmla="*/ T8 w 6013"/>
                              <a:gd name="T10" fmla="+- 0 -5894 -5894"/>
                              <a:gd name="T11" fmla="*/ -5894 h 160"/>
                              <a:gd name="T12" fmla="+- 0 5345 5345"/>
                              <a:gd name="T13" fmla="*/ T12 w 6013"/>
                              <a:gd name="T14" fmla="+- 0 -5894 -5894"/>
                              <a:gd name="T15" fmla="*/ -5894 h 160"/>
                              <a:gd name="T16" fmla="+- 0 5345 5345"/>
                              <a:gd name="T17" fmla="*/ T16 w 6013"/>
                              <a:gd name="T18" fmla="+- 0 -5734 -5894"/>
                              <a:gd name="T19" fmla="*/ -5734 h 160"/>
                            </a:gdLst>
                            <a:ahLst/>
                            <a:cxnLst>
                              <a:cxn ang="0">
                                <a:pos x="T1" y="T3"/>
                              </a:cxn>
                              <a:cxn ang="0">
                                <a:pos x="T5" y="T7"/>
                              </a:cxn>
                              <a:cxn ang="0">
                                <a:pos x="T9" y="T11"/>
                              </a:cxn>
                              <a:cxn ang="0">
                                <a:pos x="T13" y="T15"/>
                              </a:cxn>
                              <a:cxn ang="0">
                                <a:pos x="T17" y="T19"/>
                              </a:cxn>
                            </a:cxnLst>
                            <a:rect l="0" t="0" r="r" b="b"/>
                            <a:pathLst>
                              <a:path w="6013" h="160">
                                <a:moveTo>
                                  <a:pt x="0" y="160"/>
                                </a:moveTo>
                                <a:lnTo>
                                  <a:pt x="6012" y="160"/>
                                </a:lnTo>
                                <a:lnTo>
                                  <a:pt x="6012" y="0"/>
                                </a:lnTo>
                                <a:lnTo>
                                  <a:pt x="0" y="0"/>
                                </a:lnTo>
                                <a:lnTo>
                                  <a:pt x="0" y="1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67.25pt;margin-top:-294.7pt;width:300.65pt;height:8pt;z-index:-251655168;mso-position-horizontal-relative:page" coordorigin="5345,-5894" coordsize="601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">
                <v:shape id="Freeform 541" o:spid="_x0000_s1027" style="position:absolute;left:5345;top:-5894;width:6013;height:160;visibility:visible;mso-wrap-style:square;v-text-anchor:top" coordsize="6013,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MZcMA&#10;AADaAAAADwAAAGRycy9kb3ducmV2LnhtbESPQWvCQBSE7wX/w/IKvZS6qQeNqatIQfDQHBK95PbI&#10;PpPQ7Ns1u2r677uC4HGYmW+Y1WY0vbjS4DvLCj6nCQji2uqOGwXHw+4jBeEDssbeMin4Iw+b9eRl&#10;hZm2Ny7oWoZGRAj7DBW0IbhMSl+3ZNBPrSOO3skOBkOUQyP1gLcIN72cJclcGuw4LrTo6Lul+re8&#10;GAVbh0W1qPzPu0vP/YlkvjRlrtTb67j9AhFoDM/wo73XChZwvxJv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MZcMAAADaAAAADwAAAAAAAAAAAAAAAACYAgAAZHJzL2Rv&#10;d25yZXYueG1sUEsFBgAAAAAEAAQA9QAAAIgDAAAAAA==&#10;" path="m,160r6012,l6012,,,,,160xe" stroked="f">
                  <v:path arrowok="t" o:connecttype="custom" o:connectlocs="0,-5734;6012,-5734;6012,-5894;0,-5894;0,-5734" o:connectangles="0,0,0,0,0"/>
                </v:shape>
                <w10:wrap anchorx="page"/>
              </v:group>
            </w:pict>
          </mc:Fallback>
        </mc:AlternateContent>
      </w:r>
      <w:r w:rsidRPr="00255B41">
        <w:t>Note: DHB = district health board</w:t>
      </w:r>
      <w:r w:rsidR="00F50239">
        <w:t>.</w:t>
      </w:r>
    </w:p>
    <w:p w:rsidR="00255B41" w:rsidRPr="00255B41" w:rsidRDefault="00255B41" w:rsidP="00F50239"/>
    <w:p w:rsidR="00255B41" w:rsidRPr="00255B41" w:rsidRDefault="00255B41" w:rsidP="00F50239">
      <w:pPr>
        <w:pStyle w:val="Heading2"/>
      </w:pPr>
      <w:r w:rsidRPr="00255B41">
        <w:lastRenderedPageBreak/>
        <w:t>References</w:t>
      </w:r>
    </w:p>
    <w:p w:rsidR="00255B41" w:rsidRPr="00255B41" w:rsidRDefault="00255B41" w:rsidP="0045661B">
      <w:pPr>
        <w:pStyle w:val="References"/>
        <w:keepNext/>
      </w:pPr>
      <w:proofErr w:type="gramStart"/>
      <w:r w:rsidRPr="00255B41">
        <w:t>Ministry of Health.</w:t>
      </w:r>
      <w:proofErr w:type="gramEnd"/>
      <w:r w:rsidRPr="00255B41">
        <w:t xml:space="preserve"> </w:t>
      </w:r>
      <w:proofErr w:type="gramStart"/>
      <w:r w:rsidRPr="00255B41">
        <w:t xml:space="preserve">2013a. </w:t>
      </w:r>
      <w:r w:rsidRPr="00255B41">
        <w:rPr>
          <w:i/>
        </w:rPr>
        <w:t>Health Loss in New Zealand</w:t>
      </w:r>
      <w:r w:rsidRPr="00255B41">
        <w:t>.</w:t>
      </w:r>
      <w:proofErr w:type="gramEnd"/>
      <w:r w:rsidRPr="00255B41">
        <w:t xml:space="preserve"> Wellington: Ministry of Health.</w:t>
      </w:r>
    </w:p>
    <w:p w:rsidR="00255B41" w:rsidRPr="00255B41" w:rsidRDefault="00255B41" w:rsidP="00F50239">
      <w:pPr>
        <w:pStyle w:val="References"/>
      </w:pPr>
      <w:proofErr w:type="gramStart"/>
      <w:r w:rsidRPr="00255B41">
        <w:t>Ministry of Health.</w:t>
      </w:r>
      <w:proofErr w:type="gramEnd"/>
      <w:r w:rsidRPr="00255B41">
        <w:t xml:space="preserve"> </w:t>
      </w:r>
      <w:proofErr w:type="gramStart"/>
      <w:r w:rsidRPr="00255B41">
        <w:t xml:space="preserve">2013b. </w:t>
      </w:r>
      <w:r w:rsidRPr="00255B41">
        <w:rPr>
          <w:i/>
        </w:rPr>
        <w:t>New Zealand Framework for Dementia Care</w:t>
      </w:r>
      <w:r w:rsidRPr="00255B41">
        <w:t>.</w:t>
      </w:r>
      <w:proofErr w:type="gramEnd"/>
      <w:r w:rsidRPr="00255B41">
        <w:t xml:space="preserve"> Wellington: Ministry of Health.</w:t>
      </w:r>
    </w:p>
    <w:p w:rsidR="00255B41" w:rsidRPr="00255B41" w:rsidRDefault="00255B41" w:rsidP="00F50239">
      <w:pPr>
        <w:pStyle w:val="References"/>
      </w:pPr>
      <w:proofErr w:type="gramStart"/>
      <w:r w:rsidRPr="00255B41">
        <w:t>Ministry of Social Development.</w:t>
      </w:r>
      <w:proofErr w:type="gramEnd"/>
      <w:r w:rsidRPr="00255B41">
        <w:t xml:space="preserve"> 2014. </w:t>
      </w:r>
      <w:r w:rsidRPr="00255B41">
        <w:rPr>
          <w:i/>
        </w:rPr>
        <w:t>New Zealand Carers</w:t>
      </w:r>
      <w:r w:rsidR="00F50239">
        <w:rPr>
          <w:i/>
        </w:rPr>
        <w:t>’</w:t>
      </w:r>
      <w:r w:rsidRPr="00255B41">
        <w:rPr>
          <w:i/>
        </w:rPr>
        <w:t xml:space="preserve"> Strategy Action Plan for 2014 to 2018</w:t>
      </w:r>
      <w:r w:rsidRPr="00255B41">
        <w:t>. Wellington: Ministry of</w:t>
      </w:r>
      <w:r w:rsidR="00F50239">
        <w:t xml:space="preserve"> </w:t>
      </w:r>
      <w:r w:rsidRPr="00255B41">
        <w:t>Social Development.</w:t>
      </w:r>
    </w:p>
    <w:p w:rsidR="00255B41" w:rsidRPr="00255B41" w:rsidRDefault="00255B41" w:rsidP="00F50239"/>
    <w:p w:rsidR="00C37086" w:rsidRPr="00255B41" w:rsidRDefault="00C37086" w:rsidP="00BF23CB">
      <w:pPr>
        <w:spacing w:before="2000"/>
        <w:jc w:val="center"/>
      </w:pPr>
      <w:proofErr w:type="gramStart"/>
      <w:r w:rsidRPr="00255B41">
        <w:t xml:space="preserve">Published in </w:t>
      </w:r>
      <w:r w:rsidR="00F50239">
        <w:t>August</w:t>
      </w:r>
      <w:r w:rsidRPr="00255B41">
        <w:t xml:space="preserve"> 2014 by the Ministry of Health,</w:t>
      </w:r>
      <w:r w:rsidRPr="00255B41">
        <w:rPr>
          <w:lang w:eastAsia="en-NZ"/>
        </w:rPr>
        <w:t xml:space="preserve"> PO Box 5013, Wellington 6145</w:t>
      </w:r>
      <w:r w:rsidRPr="00255B41">
        <w:t>.</w:t>
      </w:r>
      <w:proofErr w:type="gramEnd"/>
    </w:p>
    <w:p w:rsidR="00C37086" w:rsidRPr="00255B41" w:rsidRDefault="00C37086" w:rsidP="00C37086">
      <w:pPr>
        <w:spacing w:before="60"/>
        <w:jc w:val="center"/>
      </w:pPr>
      <w:r w:rsidRPr="00255B41">
        <w:t>ISBN 978-0-478-4286</w:t>
      </w:r>
      <w:r w:rsidR="00F50239">
        <w:t>9</w:t>
      </w:r>
      <w:r w:rsidRPr="00255B41">
        <w:t>-</w:t>
      </w:r>
      <w:r w:rsidR="00F50239">
        <w:t>8</w:t>
      </w:r>
      <w:r w:rsidRPr="00255B41">
        <w:t xml:space="preserve"> (</w:t>
      </w:r>
      <w:r w:rsidR="00F50239">
        <w:t>print</w:t>
      </w:r>
      <w:proofErr w:type="gramStart"/>
      <w:r w:rsidRPr="00255B41">
        <w:t>)</w:t>
      </w:r>
      <w:proofErr w:type="gramEnd"/>
      <w:r w:rsidR="00F50239">
        <w:br/>
        <w:t>ISBN 978-0-478-42870 (online)</w:t>
      </w:r>
      <w:r w:rsidRPr="00255B41">
        <w:br/>
        <w:t>HP 596</w:t>
      </w:r>
      <w:r w:rsidR="00F50239">
        <w:t>3</w:t>
      </w:r>
    </w:p>
    <w:p w:rsidR="001336C6" w:rsidRPr="00255B41" w:rsidRDefault="00902F19" w:rsidP="0092659B">
      <w:pPr>
        <w:spacing w:before="360"/>
        <w:jc w:val="center"/>
      </w:pPr>
      <w:r w:rsidRPr="00255B41">
        <w:rPr>
          <w:noProof/>
          <w:lang w:eastAsia="en-NZ"/>
        </w:rPr>
        <w:drawing>
          <wp:inline distT="0" distB="0" distL="0" distR="0" wp14:anchorId="3A8FDEBE" wp14:editId="3C61053A">
            <wp:extent cx="1213485" cy="490220"/>
            <wp:effectExtent l="0" t="0" r="5715" b="5080"/>
            <wp:docPr id="2" name="Picture 2" descr="MoH-logoblu-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H-logoblu-white"/>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l="7208" t="12723" r="8492" b="12723"/>
                    <a:stretch>
                      <a:fillRect/>
                    </a:stretch>
                  </pic:blipFill>
                  <pic:spPr bwMode="auto">
                    <a:xfrm>
                      <a:off x="0" y="0"/>
                      <a:ext cx="1213485" cy="490220"/>
                    </a:xfrm>
                    <a:prstGeom prst="rect">
                      <a:avLst/>
                    </a:prstGeom>
                    <a:noFill/>
                    <a:ln>
                      <a:noFill/>
                    </a:ln>
                  </pic:spPr>
                </pic:pic>
              </a:graphicData>
            </a:graphic>
          </wp:inline>
        </w:drawing>
      </w:r>
    </w:p>
    <w:sectPr w:rsidR="001336C6" w:rsidRPr="00255B41" w:rsidSect="007F366E">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418"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884" w:rsidRDefault="00457884">
      <w:r>
        <w:separator/>
      </w:r>
    </w:p>
  </w:endnote>
  <w:endnote w:type="continuationSeparator" w:id="0">
    <w:p w:rsidR="00457884" w:rsidRDefault="0045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66E" w:rsidRDefault="007F366E" w:rsidP="007F366E">
    <w:pPr>
      <w:pStyle w:val="Footer"/>
      <w:pBdr>
        <w:top w:val="single" w:sz="4" w:space="4" w:color="auto"/>
      </w:pBdr>
      <w:tabs>
        <w:tab w:val="left" w:pos="567"/>
      </w:tabs>
      <w:ind w:left="567" w:hanging="567"/>
    </w:pPr>
    <w:r>
      <w:rPr>
        <w:rStyle w:val="PageNumber"/>
      </w:rPr>
      <w:fldChar w:fldCharType="begin"/>
    </w:r>
    <w:r>
      <w:rPr>
        <w:rStyle w:val="PageNumber"/>
      </w:rPr>
      <w:instrText xml:space="preserve"> PAGE </w:instrText>
    </w:r>
    <w:r>
      <w:rPr>
        <w:rStyle w:val="PageNumber"/>
      </w:rPr>
      <w:fldChar w:fldCharType="separate"/>
    </w:r>
    <w:r w:rsidR="00B50E63">
      <w:rPr>
        <w:rStyle w:val="PageNumber"/>
        <w:noProof/>
      </w:rPr>
      <w:t>2</w:t>
    </w:r>
    <w:r>
      <w:rPr>
        <w:rStyle w:val="PageNumber"/>
      </w:rPr>
      <w:fldChar w:fldCharType="end"/>
    </w:r>
    <w:r>
      <w:tab/>
    </w:r>
    <w:r w:rsidR="00A7574D">
      <w:t>Improving the Lives of People with Dementia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9E" w:rsidRPr="00343CC9" w:rsidRDefault="00343CC9" w:rsidP="007F366E">
    <w:pPr>
      <w:pStyle w:val="Footer"/>
      <w:pBdr>
        <w:top w:val="single" w:sz="4" w:space="4" w:color="auto"/>
      </w:pBdr>
    </w:pPr>
    <w:r>
      <w:tab/>
    </w:r>
    <w:r w:rsidR="00A7574D">
      <w:t>Improving the Lives of People with Dementia</w:t>
    </w:r>
    <w:r>
      <w:tab/>
    </w:r>
    <w:r>
      <w:rPr>
        <w:rStyle w:val="PageNumber"/>
      </w:rPr>
      <w:fldChar w:fldCharType="begin"/>
    </w:r>
    <w:r>
      <w:rPr>
        <w:rStyle w:val="PageNumber"/>
      </w:rPr>
      <w:instrText xml:space="preserve"> PAGE </w:instrText>
    </w:r>
    <w:r>
      <w:rPr>
        <w:rStyle w:val="PageNumber"/>
      </w:rPr>
      <w:fldChar w:fldCharType="separate"/>
    </w:r>
    <w:r w:rsidR="00B50E63">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9E" w:rsidRDefault="00D0569E" w:rsidP="007F366E">
    <w:pPr>
      <w:pStyle w:val="Footer"/>
      <w:pBdr>
        <w:top w:val="single" w:sz="4" w:space="4" w:color="auto"/>
      </w:pBdr>
    </w:pPr>
    <w:r>
      <w:tab/>
    </w:r>
    <w:r w:rsidR="00255B41">
      <w:t>Improving the Lives of People with Dementia</w:t>
    </w:r>
    <w:r w:rsidR="00343CC9">
      <w:tab/>
    </w:r>
    <w:r w:rsidR="00343CC9">
      <w:rPr>
        <w:rStyle w:val="PageNumber"/>
      </w:rPr>
      <w:fldChar w:fldCharType="begin"/>
    </w:r>
    <w:r w:rsidR="00343CC9">
      <w:rPr>
        <w:rStyle w:val="PageNumber"/>
      </w:rPr>
      <w:instrText xml:space="preserve"> PAGE </w:instrText>
    </w:r>
    <w:r w:rsidR="00343CC9">
      <w:rPr>
        <w:rStyle w:val="PageNumber"/>
      </w:rPr>
      <w:fldChar w:fldCharType="separate"/>
    </w:r>
    <w:r w:rsidR="00B50E63">
      <w:rPr>
        <w:rStyle w:val="PageNumber"/>
        <w:noProof/>
      </w:rPr>
      <w:t>1</w:t>
    </w:r>
    <w:r w:rsidR="00343CC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884" w:rsidRPr="00680D2D" w:rsidRDefault="00457884" w:rsidP="00680D2D">
      <w:pPr>
        <w:pStyle w:val="Footer"/>
      </w:pPr>
    </w:p>
  </w:footnote>
  <w:footnote w:type="continuationSeparator" w:id="0">
    <w:p w:rsidR="00457884" w:rsidRDefault="00457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63" w:rsidRDefault="00B50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63" w:rsidRDefault="00B50E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9E" w:rsidRDefault="0092659B" w:rsidP="0092659B">
    <w:pPr>
      <w:pStyle w:val="Header"/>
      <w:spacing w:after="360"/>
    </w:pPr>
    <w:r>
      <w:rPr>
        <w:noProof/>
        <w:lang w:eastAsia="en-NZ"/>
      </w:rPr>
      <w:drawing>
        <wp:inline distT="0" distB="0" distL="0" distR="0" wp14:anchorId="6667E1FC" wp14:editId="3A557FC7">
          <wp:extent cx="5960225" cy="569686"/>
          <wp:effectExtent l="0" t="0" r="2540" b="1905"/>
          <wp:docPr id="4" name="Picture 4" descr="C:\Users\APETHIG\AppData\Local\Temp\notes2D4894\~6425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THIG\AppData\Local\Temp\notes2D4894\~6425033.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19"/>
                  <a:stretch/>
                </pic:blipFill>
                <pic:spPr bwMode="auto">
                  <a:xfrm>
                    <a:off x="0" y="0"/>
                    <a:ext cx="5956406" cy="56932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5E2"/>
    <w:multiLevelType w:val="multilevel"/>
    <w:tmpl w:val="BCEC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43A02"/>
    <w:multiLevelType w:val="hybridMultilevel"/>
    <w:tmpl w:val="537C202E"/>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6B6B31"/>
    <w:multiLevelType w:val="hybridMultilevel"/>
    <w:tmpl w:val="12C2E6AA"/>
    <w:lvl w:ilvl="0" w:tplc="48B48050">
      <w:start w:val="1"/>
      <w:numFmt w:val="decimal"/>
      <w:lvlText w:val="%1."/>
      <w:lvlJc w:val="left"/>
      <w:pPr>
        <w:ind w:left="930" w:hanging="57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
    <w:nsid w:val="131B38E6"/>
    <w:multiLevelType w:val="hybridMultilevel"/>
    <w:tmpl w:val="B15E0900"/>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BD0323B"/>
    <w:multiLevelType w:val="hybridMultilevel"/>
    <w:tmpl w:val="1B025C26"/>
    <w:lvl w:ilvl="0" w:tplc="14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1CA0668"/>
    <w:multiLevelType w:val="hybridMultilevel"/>
    <w:tmpl w:val="E6EC7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4E7161"/>
    <w:multiLevelType w:val="hybridMultilevel"/>
    <w:tmpl w:val="AF5CEEAA"/>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297401D0"/>
    <w:multiLevelType w:val="hybridMultilevel"/>
    <w:tmpl w:val="2EF61FCE"/>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AE379A4"/>
    <w:multiLevelType w:val="hybridMultilevel"/>
    <w:tmpl w:val="07CC5D2C"/>
    <w:lvl w:ilvl="0" w:tplc="D4C2B8C2">
      <w:start w:val="1"/>
      <w:numFmt w:val="bullet"/>
      <w:lvlText w:val=""/>
      <w:lvlJc w:val="left"/>
      <w:pPr>
        <w:tabs>
          <w:tab w:val="num" w:pos="1440"/>
        </w:tabs>
        <w:ind w:left="144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BE707B2"/>
    <w:multiLevelType w:val="hybridMultilevel"/>
    <w:tmpl w:val="E4CCE838"/>
    <w:lvl w:ilvl="0" w:tplc="D4C2B8C2">
      <w:start w:val="1"/>
      <w:numFmt w:val="bullet"/>
      <w:lvlText w:val=""/>
      <w:lvlJc w:val="left"/>
      <w:pPr>
        <w:tabs>
          <w:tab w:val="num" w:pos="1440"/>
        </w:tabs>
        <w:ind w:left="144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2E82515"/>
    <w:multiLevelType w:val="hybridMultilevel"/>
    <w:tmpl w:val="9BCEA6DA"/>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378120F5"/>
    <w:multiLevelType w:val="hybridMultilevel"/>
    <w:tmpl w:val="D8445344"/>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A21553F"/>
    <w:multiLevelType w:val="hybridMultilevel"/>
    <w:tmpl w:val="4F04DFD0"/>
    <w:lvl w:ilvl="0" w:tplc="1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3">
    <w:nsid w:val="3D192E16"/>
    <w:multiLevelType w:val="hybridMultilevel"/>
    <w:tmpl w:val="9FE6BFEC"/>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534E3094"/>
    <w:multiLevelType w:val="hybridMultilevel"/>
    <w:tmpl w:val="ADCC05F0"/>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556679DD"/>
    <w:multiLevelType w:val="hybridMultilevel"/>
    <w:tmpl w:val="6A12C44E"/>
    <w:lvl w:ilvl="0" w:tplc="932A1A56">
      <w:start w:val="1"/>
      <w:numFmt w:val="bullet"/>
      <w:lvlRestart w:val="0"/>
      <w:lvlText w:val=""/>
      <w:lvlJc w:val="left"/>
      <w:pPr>
        <w:tabs>
          <w:tab w:val="num" w:pos="726"/>
        </w:tabs>
        <w:ind w:left="726" w:hanging="363"/>
      </w:pPr>
      <w:rPr>
        <w:rFonts w:ascii="Symbol" w:hAnsi="Symbol" w:hint="default"/>
        <w:color w:val="auto"/>
      </w:rPr>
    </w:lvl>
    <w:lvl w:ilvl="1" w:tplc="04090003" w:tentative="1">
      <w:start w:val="1"/>
      <w:numFmt w:val="bullet"/>
      <w:lvlText w:val="o"/>
      <w:lvlJc w:val="left"/>
      <w:pPr>
        <w:tabs>
          <w:tab w:val="num" w:pos="1803"/>
        </w:tabs>
        <w:ind w:left="1803" w:hanging="360"/>
      </w:pPr>
      <w:rPr>
        <w:rFonts w:ascii="Courier New" w:hAnsi="Courier New" w:cs="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16">
    <w:nsid w:val="566E0B01"/>
    <w:multiLevelType w:val="hybridMultilevel"/>
    <w:tmpl w:val="9AD08C2E"/>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57B037B9"/>
    <w:multiLevelType w:val="hybridMultilevel"/>
    <w:tmpl w:val="DD4C42FC"/>
    <w:lvl w:ilvl="0" w:tplc="83CA7E2A">
      <w:start w:val="1"/>
      <w:numFmt w:val="bullet"/>
      <w:pStyle w:val="TableBullet"/>
      <w:lvlText w:val=""/>
      <w:lvlJc w:val="left"/>
      <w:pPr>
        <w:ind w:left="720" w:hanging="360"/>
      </w:pPr>
      <w:rPr>
        <w:rFonts w:ascii="Symbol" w:hAnsi="Symbol" w:hint="default"/>
        <w:color w:val="auto"/>
        <w:sz w:val="20"/>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8BF6637"/>
    <w:multiLevelType w:val="hybridMultilevel"/>
    <w:tmpl w:val="5378A82C"/>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9">
    <w:nsid w:val="5A5F32D0"/>
    <w:multiLevelType w:val="hybridMultilevel"/>
    <w:tmpl w:val="472CF3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B342B6B"/>
    <w:multiLevelType w:val="hybridMultilevel"/>
    <w:tmpl w:val="20DAB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1E4205B"/>
    <w:multiLevelType w:val="hybridMultilevel"/>
    <w:tmpl w:val="720467C0"/>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66725D6E"/>
    <w:multiLevelType w:val="hybridMultilevel"/>
    <w:tmpl w:val="31F6FA2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6867853"/>
    <w:multiLevelType w:val="hybridMultilevel"/>
    <w:tmpl w:val="776E2F12"/>
    <w:lvl w:ilvl="0" w:tplc="14090001">
      <w:start w:val="1"/>
      <w:numFmt w:val="bullet"/>
      <w:lvlText w:val=""/>
      <w:lvlJc w:val="left"/>
      <w:pPr>
        <w:tabs>
          <w:tab w:val="num" w:pos="360"/>
        </w:tabs>
        <w:ind w:left="360" w:hanging="360"/>
      </w:pPr>
      <w:rPr>
        <w:rFonts w:ascii="Symbol" w:hAnsi="Symbol" w:hint="default"/>
      </w:rPr>
    </w:lvl>
    <w:lvl w:ilvl="1" w:tplc="D4C2B8C2">
      <w:start w:val="1"/>
      <w:numFmt w:val="bullet"/>
      <w:lvlText w:val=""/>
      <w:lvlJc w:val="left"/>
      <w:pPr>
        <w:tabs>
          <w:tab w:val="num" w:pos="1080"/>
        </w:tabs>
        <w:ind w:left="1080" w:hanging="360"/>
      </w:pPr>
      <w:rPr>
        <w:rFonts w:ascii="Symbol" w:hAnsi="Symbol" w:hint="default"/>
        <w:color w:val="auto"/>
        <w:sz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6">
    <w:nsid w:val="68944223"/>
    <w:multiLevelType w:val="hybridMultilevel"/>
    <w:tmpl w:val="03146A06"/>
    <w:lvl w:ilvl="0" w:tplc="D4C2B8C2">
      <w:start w:val="1"/>
      <w:numFmt w:val="bullet"/>
      <w:lvlText w:val=""/>
      <w:lvlJc w:val="left"/>
      <w:pPr>
        <w:tabs>
          <w:tab w:val="num" w:pos="1440"/>
        </w:tabs>
        <w:ind w:left="144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BC23A38"/>
    <w:multiLevelType w:val="hybridMultilevel"/>
    <w:tmpl w:val="680064D2"/>
    <w:lvl w:ilvl="0" w:tplc="D4C2B8C2">
      <w:start w:val="1"/>
      <w:numFmt w:val="bullet"/>
      <w:lvlText w:val=""/>
      <w:lvlJc w:val="left"/>
      <w:pPr>
        <w:tabs>
          <w:tab w:val="num" w:pos="1440"/>
        </w:tabs>
        <w:ind w:left="144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C624CDC"/>
    <w:multiLevelType w:val="hybridMultilevel"/>
    <w:tmpl w:val="9F86735A"/>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787A37FE"/>
    <w:multiLevelType w:val="hybridMultilevel"/>
    <w:tmpl w:val="A2041A70"/>
    <w:lvl w:ilvl="0" w:tplc="1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7B4839BC"/>
    <w:multiLevelType w:val="hybridMultilevel"/>
    <w:tmpl w:val="D592C3E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C1218D3"/>
    <w:multiLevelType w:val="singleLevel"/>
    <w:tmpl w:val="C58C0308"/>
    <w:lvl w:ilvl="0">
      <w:start w:val="1"/>
      <w:numFmt w:val="bullet"/>
      <w:lvlText w:val=""/>
      <w:lvlJc w:val="left"/>
      <w:pPr>
        <w:tabs>
          <w:tab w:val="num" w:pos="284"/>
        </w:tabs>
        <w:ind w:left="284" w:hanging="284"/>
      </w:pPr>
      <w:rPr>
        <w:rFonts w:ascii="Symbol" w:hAnsi="Symbol" w:hint="default"/>
        <w:sz w:val="18"/>
      </w:rPr>
    </w:lvl>
  </w:abstractNum>
  <w:num w:numId="1">
    <w:abstractNumId w:val="15"/>
  </w:num>
  <w:num w:numId="2">
    <w:abstractNumId w:val="28"/>
  </w:num>
  <w:num w:numId="3">
    <w:abstractNumId w:val="12"/>
  </w:num>
  <w:num w:numId="4">
    <w:abstractNumId w:val="16"/>
  </w:num>
  <w:num w:numId="5">
    <w:abstractNumId w:val="14"/>
  </w:num>
  <w:num w:numId="6">
    <w:abstractNumId w:val="1"/>
  </w:num>
  <w:num w:numId="7">
    <w:abstractNumId w:val="29"/>
  </w:num>
  <w:num w:numId="8">
    <w:abstractNumId w:val="13"/>
  </w:num>
  <w:num w:numId="9">
    <w:abstractNumId w:val="3"/>
  </w:num>
  <w:num w:numId="10">
    <w:abstractNumId w:val="6"/>
  </w:num>
  <w:num w:numId="11">
    <w:abstractNumId w:val="22"/>
  </w:num>
  <w:num w:numId="12">
    <w:abstractNumId w:val="7"/>
  </w:num>
  <w:num w:numId="13">
    <w:abstractNumId w:val="21"/>
  </w:num>
  <w:num w:numId="14">
    <w:abstractNumId w:val="10"/>
  </w:num>
  <w:num w:numId="15">
    <w:abstractNumId w:val="24"/>
  </w:num>
  <w:num w:numId="16">
    <w:abstractNumId w:val="9"/>
  </w:num>
  <w:num w:numId="17">
    <w:abstractNumId w:val="8"/>
  </w:num>
  <w:num w:numId="18">
    <w:abstractNumId w:val="0"/>
  </w:num>
  <w:num w:numId="19">
    <w:abstractNumId w:val="27"/>
  </w:num>
  <w:num w:numId="20">
    <w:abstractNumId w:val="26"/>
  </w:num>
  <w:num w:numId="21">
    <w:abstractNumId w:val="4"/>
  </w:num>
  <w:num w:numId="22">
    <w:abstractNumId w:val="18"/>
  </w:num>
  <w:num w:numId="23">
    <w:abstractNumId w:val="23"/>
  </w:num>
  <w:num w:numId="24">
    <w:abstractNumId w:val="11"/>
  </w:num>
  <w:num w:numId="25">
    <w:abstractNumId w:val="2"/>
  </w:num>
  <w:num w:numId="26">
    <w:abstractNumId w:val="20"/>
  </w:num>
  <w:num w:numId="27">
    <w:abstractNumId w:val="30"/>
  </w:num>
  <w:num w:numId="28">
    <w:abstractNumId w:val="5"/>
  </w:num>
  <w:num w:numId="29">
    <w:abstractNumId w:val="25"/>
  </w:num>
  <w:num w:numId="30">
    <w:abstractNumId w:val="31"/>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567"/>
  <w:evenAndOddHeaders/>
  <w:noPunctuationKerning/>
  <w:characterSpacingControl w:val="doNotCompress"/>
  <w:hdrShapeDefaults>
    <o:shapedefaults v:ext="edit" spidmax="4097">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37"/>
    <w:rsid w:val="000123DF"/>
    <w:rsid w:val="00075ED0"/>
    <w:rsid w:val="00095852"/>
    <w:rsid w:val="000A6BCB"/>
    <w:rsid w:val="000B1E21"/>
    <w:rsid w:val="000B6957"/>
    <w:rsid w:val="000B6BD8"/>
    <w:rsid w:val="000C3F39"/>
    <w:rsid w:val="000D0170"/>
    <w:rsid w:val="000E093C"/>
    <w:rsid w:val="000E5175"/>
    <w:rsid w:val="000F1B71"/>
    <w:rsid w:val="000F265B"/>
    <w:rsid w:val="001009C3"/>
    <w:rsid w:val="00105DB9"/>
    <w:rsid w:val="001175B4"/>
    <w:rsid w:val="001227B0"/>
    <w:rsid w:val="00123376"/>
    <w:rsid w:val="00130CE3"/>
    <w:rsid w:val="001336C6"/>
    <w:rsid w:val="00137BE7"/>
    <w:rsid w:val="00142C45"/>
    <w:rsid w:val="00145D5F"/>
    <w:rsid w:val="001503FD"/>
    <w:rsid w:val="001705DC"/>
    <w:rsid w:val="0018777F"/>
    <w:rsid w:val="001A3A19"/>
    <w:rsid w:val="001E1749"/>
    <w:rsid w:val="001F5811"/>
    <w:rsid w:val="00206DC0"/>
    <w:rsid w:val="002222BC"/>
    <w:rsid w:val="00240554"/>
    <w:rsid w:val="002542A3"/>
    <w:rsid w:val="00254ED0"/>
    <w:rsid w:val="00255B41"/>
    <w:rsid w:val="00255D89"/>
    <w:rsid w:val="0026708A"/>
    <w:rsid w:val="00272F4E"/>
    <w:rsid w:val="00281EAA"/>
    <w:rsid w:val="00285375"/>
    <w:rsid w:val="0028738D"/>
    <w:rsid w:val="00296F98"/>
    <w:rsid w:val="002A38BC"/>
    <w:rsid w:val="002B34DC"/>
    <w:rsid w:val="002C1F8F"/>
    <w:rsid w:val="003030F4"/>
    <w:rsid w:val="00306307"/>
    <w:rsid w:val="00307CE5"/>
    <w:rsid w:val="00334085"/>
    <w:rsid w:val="00343CC9"/>
    <w:rsid w:val="00351AC8"/>
    <w:rsid w:val="003579BD"/>
    <w:rsid w:val="00363CA9"/>
    <w:rsid w:val="00367836"/>
    <w:rsid w:val="003717C9"/>
    <w:rsid w:val="003731B9"/>
    <w:rsid w:val="00377C88"/>
    <w:rsid w:val="00377F02"/>
    <w:rsid w:val="003A0523"/>
    <w:rsid w:val="003A128B"/>
    <w:rsid w:val="003A21EA"/>
    <w:rsid w:val="003A779C"/>
    <w:rsid w:val="003B145F"/>
    <w:rsid w:val="003B7FA2"/>
    <w:rsid w:val="003E6828"/>
    <w:rsid w:val="003F0969"/>
    <w:rsid w:val="004014CB"/>
    <w:rsid w:val="0041467A"/>
    <w:rsid w:val="00423830"/>
    <w:rsid w:val="00440BC8"/>
    <w:rsid w:val="00443649"/>
    <w:rsid w:val="004518F6"/>
    <w:rsid w:val="004535A4"/>
    <w:rsid w:val="0045661B"/>
    <w:rsid w:val="00457884"/>
    <w:rsid w:val="00477783"/>
    <w:rsid w:val="004845E0"/>
    <w:rsid w:val="0048760A"/>
    <w:rsid w:val="00492913"/>
    <w:rsid w:val="004A6CC1"/>
    <w:rsid w:val="004B28B7"/>
    <w:rsid w:val="004D17ED"/>
    <w:rsid w:val="004E420D"/>
    <w:rsid w:val="00525F48"/>
    <w:rsid w:val="005363DD"/>
    <w:rsid w:val="00545BA3"/>
    <w:rsid w:val="00546D2C"/>
    <w:rsid w:val="00554E9C"/>
    <w:rsid w:val="00563001"/>
    <w:rsid w:val="00577711"/>
    <w:rsid w:val="00582EA7"/>
    <w:rsid w:val="00590D07"/>
    <w:rsid w:val="005950A6"/>
    <w:rsid w:val="00597F47"/>
    <w:rsid w:val="005B2223"/>
    <w:rsid w:val="005D3D35"/>
    <w:rsid w:val="005E2D49"/>
    <w:rsid w:val="005E44CE"/>
    <w:rsid w:val="00620375"/>
    <w:rsid w:val="00622810"/>
    <w:rsid w:val="00626AB8"/>
    <w:rsid w:val="006306C9"/>
    <w:rsid w:val="006339A0"/>
    <w:rsid w:val="00640014"/>
    <w:rsid w:val="00672B8B"/>
    <w:rsid w:val="00673303"/>
    <w:rsid w:val="006744E6"/>
    <w:rsid w:val="00676929"/>
    <w:rsid w:val="00680D2D"/>
    <w:rsid w:val="006C407C"/>
    <w:rsid w:val="006D2458"/>
    <w:rsid w:val="006F544C"/>
    <w:rsid w:val="00737F49"/>
    <w:rsid w:val="00740786"/>
    <w:rsid w:val="0074188F"/>
    <w:rsid w:val="00760E80"/>
    <w:rsid w:val="00761961"/>
    <w:rsid w:val="00766D1F"/>
    <w:rsid w:val="00771B0E"/>
    <w:rsid w:val="00783974"/>
    <w:rsid w:val="00790152"/>
    <w:rsid w:val="007A21D3"/>
    <w:rsid w:val="007B45B9"/>
    <w:rsid w:val="007E44CF"/>
    <w:rsid w:val="007E5F4D"/>
    <w:rsid w:val="007F366E"/>
    <w:rsid w:val="007F413B"/>
    <w:rsid w:val="00801FF3"/>
    <w:rsid w:val="008067DF"/>
    <w:rsid w:val="0080749B"/>
    <w:rsid w:val="0081034D"/>
    <w:rsid w:val="00813CF6"/>
    <w:rsid w:val="0081671E"/>
    <w:rsid w:val="00832071"/>
    <w:rsid w:val="008357B6"/>
    <w:rsid w:val="00836F81"/>
    <w:rsid w:val="00842851"/>
    <w:rsid w:val="0084791E"/>
    <w:rsid w:val="0085124D"/>
    <w:rsid w:val="0086178A"/>
    <w:rsid w:val="008619D3"/>
    <w:rsid w:val="00866FB3"/>
    <w:rsid w:val="00871DCD"/>
    <w:rsid w:val="00874284"/>
    <w:rsid w:val="00874CFF"/>
    <w:rsid w:val="008772CA"/>
    <w:rsid w:val="008C6C9F"/>
    <w:rsid w:val="008F2E4A"/>
    <w:rsid w:val="008F7A81"/>
    <w:rsid w:val="00902ACF"/>
    <w:rsid w:val="00902F19"/>
    <w:rsid w:val="009126F6"/>
    <w:rsid w:val="00920A63"/>
    <w:rsid w:val="00923D37"/>
    <w:rsid w:val="00925481"/>
    <w:rsid w:val="0092659B"/>
    <w:rsid w:val="009401CC"/>
    <w:rsid w:val="0094065C"/>
    <w:rsid w:val="00942757"/>
    <w:rsid w:val="00947E2E"/>
    <w:rsid w:val="0095076C"/>
    <w:rsid w:val="009602C6"/>
    <w:rsid w:val="00973036"/>
    <w:rsid w:val="009842E4"/>
    <w:rsid w:val="009874FB"/>
    <w:rsid w:val="00993F56"/>
    <w:rsid w:val="009948F8"/>
    <w:rsid w:val="009A3D52"/>
    <w:rsid w:val="009C39E2"/>
    <w:rsid w:val="009F1222"/>
    <w:rsid w:val="009F1BFF"/>
    <w:rsid w:val="009F4CBC"/>
    <w:rsid w:val="00A0032E"/>
    <w:rsid w:val="00A00DBD"/>
    <w:rsid w:val="00A14C1E"/>
    <w:rsid w:val="00A2337F"/>
    <w:rsid w:val="00A27B28"/>
    <w:rsid w:val="00A31F67"/>
    <w:rsid w:val="00A33E3C"/>
    <w:rsid w:val="00A3619A"/>
    <w:rsid w:val="00A41A77"/>
    <w:rsid w:val="00A7037D"/>
    <w:rsid w:val="00A7574D"/>
    <w:rsid w:val="00A8057D"/>
    <w:rsid w:val="00A821D8"/>
    <w:rsid w:val="00A8585C"/>
    <w:rsid w:val="00A92321"/>
    <w:rsid w:val="00AA7466"/>
    <w:rsid w:val="00AB0789"/>
    <w:rsid w:val="00AB1FC9"/>
    <w:rsid w:val="00B102DF"/>
    <w:rsid w:val="00B220C1"/>
    <w:rsid w:val="00B242C0"/>
    <w:rsid w:val="00B30B70"/>
    <w:rsid w:val="00B50E63"/>
    <w:rsid w:val="00B52D24"/>
    <w:rsid w:val="00B530A4"/>
    <w:rsid w:val="00B57C49"/>
    <w:rsid w:val="00B61631"/>
    <w:rsid w:val="00B7079A"/>
    <w:rsid w:val="00B70D1A"/>
    <w:rsid w:val="00B75827"/>
    <w:rsid w:val="00B75C16"/>
    <w:rsid w:val="00B86FF2"/>
    <w:rsid w:val="00B92AC6"/>
    <w:rsid w:val="00B94CCA"/>
    <w:rsid w:val="00B958CC"/>
    <w:rsid w:val="00B96CEA"/>
    <w:rsid w:val="00BC2FB8"/>
    <w:rsid w:val="00BC4B9D"/>
    <w:rsid w:val="00BC61BF"/>
    <w:rsid w:val="00BD23EA"/>
    <w:rsid w:val="00BE3BEA"/>
    <w:rsid w:val="00BE5D75"/>
    <w:rsid w:val="00BF23CB"/>
    <w:rsid w:val="00C05555"/>
    <w:rsid w:val="00C07E3F"/>
    <w:rsid w:val="00C169F3"/>
    <w:rsid w:val="00C2180D"/>
    <w:rsid w:val="00C25485"/>
    <w:rsid w:val="00C260A1"/>
    <w:rsid w:val="00C32E23"/>
    <w:rsid w:val="00C37086"/>
    <w:rsid w:val="00C44CE3"/>
    <w:rsid w:val="00C5449C"/>
    <w:rsid w:val="00C8457A"/>
    <w:rsid w:val="00CA2A9E"/>
    <w:rsid w:val="00CB6E4F"/>
    <w:rsid w:val="00CC140B"/>
    <w:rsid w:val="00CD373C"/>
    <w:rsid w:val="00CD6D75"/>
    <w:rsid w:val="00CE689F"/>
    <w:rsid w:val="00CF580E"/>
    <w:rsid w:val="00CF7EBD"/>
    <w:rsid w:val="00D0569E"/>
    <w:rsid w:val="00D1061D"/>
    <w:rsid w:val="00D20C0C"/>
    <w:rsid w:val="00D24A2A"/>
    <w:rsid w:val="00D30984"/>
    <w:rsid w:val="00D36191"/>
    <w:rsid w:val="00D40578"/>
    <w:rsid w:val="00D518A4"/>
    <w:rsid w:val="00D52304"/>
    <w:rsid w:val="00D532EE"/>
    <w:rsid w:val="00D56D8D"/>
    <w:rsid w:val="00D67409"/>
    <w:rsid w:val="00D67D08"/>
    <w:rsid w:val="00D738F0"/>
    <w:rsid w:val="00D76A3D"/>
    <w:rsid w:val="00D81249"/>
    <w:rsid w:val="00D96F46"/>
    <w:rsid w:val="00DA050F"/>
    <w:rsid w:val="00DA12D6"/>
    <w:rsid w:val="00DA1DDB"/>
    <w:rsid w:val="00DA30E7"/>
    <w:rsid w:val="00DA5318"/>
    <w:rsid w:val="00DA56D5"/>
    <w:rsid w:val="00DF0496"/>
    <w:rsid w:val="00E2207D"/>
    <w:rsid w:val="00E2772A"/>
    <w:rsid w:val="00E40493"/>
    <w:rsid w:val="00E43A89"/>
    <w:rsid w:val="00E44733"/>
    <w:rsid w:val="00E5476D"/>
    <w:rsid w:val="00E54AB1"/>
    <w:rsid w:val="00E93AE4"/>
    <w:rsid w:val="00E960C8"/>
    <w:rsid w:val="00EA5579"/>
    <w:rsid w:val="00EB1603"/>
    <w:rsid w:val="00ED15B8"/>
    <w:rsid w:val="00ED414F"/>
    <w:rsid w:val="00EE1FAA"/>
    <w:rsid w:val="00EF1CA8"/>
    <w:rsid w:val="00EF20E5"/>
    <w:rsid w:val="00EF3820"/>
    <w:rsid w:val="00F06432"/>
    <w:rsid w:val="00F11884"/>
    <w:rsid w:val="00F44338"/>
    <w:rsid w:val="00F45052"/>
    <w:rsid w:val="00F50239"/>
    <w:rsid w:val="00F57118"/>
    <w:rsid w:val="00F612A9"/>
    <w:rsid w:val="00F6682D"/>
    <w:rsid w:val="00F74042"/>
    <w:rsid w:val="00F75AA1"/>
    <w:rsid w:val="00F824C7"/>
    <w:rsid w:val="00FA5B0D"/>
    <w:rsid w:val="00FC3B66"/>
    <w:rsid w:val="00FC4D37"/>
    <w:rsid w:val="00FE363D"/>
    <w:rsid w:val="00FE54F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A0"/>
    <w:pPr>
      <w:spacing w:line="276" w:lineRule="auto"/>
    </w:pPr>
    <w:rPr>
      <w:rFonts w:ascii="Georgia" w:hAnsi="Georgia"/>
      <w:sz w:val="21"/>
      <w:szCs w:val="24"/>
      <w:lang w:eastAsia="en-US"/>
    </w:rPr>
  </w:style>
  <w:style w:type="paragraph" w:styleId="Heading1">
    <w:name w:val="heading 1"/>
    <w:basedOn w:val="Normal"/>
    <w:next w:val="Normal"/>
    <w:qFormat/>
    <w:rsid w:val="0092659B"/>
    <w:pPr>
      <w:outlineLvl w:val="0"/>
    </w:pPr>
    <w:rPr>
      <w:rFonts w:cs="Arial"/>
      <w:b/>
      <w:bCs/>
      <w:sz w:val="56"/>
      <w:szCs w:val="48"/>
    </w:rPr>
  </w:style>
  <w:style w:type="paragraph" w:styleId="Heading2">
    <w:name w:val="heading 2"/>
    <w:basedOn w:val="Normal"/>
    <w:next w:val="Normal"/>
    <w:qFormat/>
    <w:rsid w:val="0092659B"/>
    <w:pPr>
      <w:keepNext/>
      <w:spacing w:before="360" w:after="120"/>
      <w:outlineLvl w:val="1"/>
    </w:pPr>
    <w:rPr>
      <w:rFonts w:cs="Arial"/>
      <w:b/>
      <w:bCs/>
      <w:iCs/>
      <w:sz w:val="36"/>
      <w:szCs w:val="28"/>
    </w:rPr>
  </w:style>
  <w:style w:type="paragraph" w:styleId="Heading3">
    <w:name w:val="heading 3"/>
    <w:basedOn w:val="Normal"/>
    <w:next w:val="Normal"/>
    <w:qFormat/>
    <w:rsid w:val="00C37086"/>
    <w:pPr>
      <w:keepNext/>
      <w:spacing w:before="360" w:after="120"/>
      <w:outlineLvl w:val="2"/>
    </w:pPr>
    <w:rPr>
      <w:rFonts w:cs="Arial"/>
      <w:b/>
      <w:bCs/>
      <w:color w:val="002B7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4D37"/>
    <w:rPr>
      <w:color w:val="0000FF"/>
      <w:u w:val="single"/>
    </w:rPr>
  </w:style>
  <w:style w:type="paragraph" w:styleId="FootnoteText">
    <w:name w:val="footnote text"/>
    <w:basedOn w:val="Normal"/>
    <w:semiHidden/>
    <w:rsid w:val="00680D2D"/>
    <w:pPr>
      <w:spacing w:before="60"/>
      <w:ind w:left="284" w:hanging="284"/>
    </w:pPr>
    <w:rPr>
      <w:sz w:val="18"/>
      <w:szCs w:val="20"/>
    </w:rPr>
  </w:style>
  <w:style w:type="character" w:styleId="FootnoteReference">
    <w:name w:val="footnote reference"/>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F580E"/>
    <w:pPr>
      <w:keepNext/>
      <w:pBdr>
        <w:top w:val="single" w:sz="18" w:space="6" w:color="002B7F"/>
      </w:pBdr>
      <w:spacing w:before="120" w:after="120"/>
    </w:pPr>
    <w:rPr>
      <w:b/>
      <w:color w:val="002B7F"/>
    </w:rPr>
  </w:style>
  <w:style w:type="paragraph" w:customStyle="1" w:styleId="Note">
    <w:name w:val="Note"/>
    <w:basedOn w:val="Normal"/>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6339A0"/>
    <w:pPr>
      <w:numPr>
        <w:numId w:val="15"/>
      </w:numPr>
      <w:spacing w:before="60"/>
    </w:pPr>
  </w:style>
  <w:style w:type="character" w:styleId="PageNumber">
    <w:name w:val="page number"/>
    <w:rsid w:val="0092659B"/>
    <w:rPr>
      <w:color w:val="auto"/>
      <w:sz w:val="24"/>
    </w:rPr>
  </w:style>
  <w:style w:type="paragraph" w:customStyle="1" w:styleId="TableText">
    <w:name w:val="TableText"/>
    <w:basedOn w:val="Normal"/>
    <w:rsid w:val="008357B6"/>
    <w:pPr>
      <w:spacing w:before="80" w:after="80"/>
    </w:p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TableBullet">
    <w:name w:val="TableBullet"/>
    <w:basedOn w:val="TableText"/>
    <w:qFormat/>
    <w:rsid w:val="00A33E3C"/>
    <w:pPr>
      <w:numPr>
        <w:numId w:val="32"/>
      </w:numPr>
      <w:ind w:left="284" w:hanging="284"/>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9"/>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6339A0"/>
    <w:rPr>
      <w:rFonts w:ascii="Georgia" w:hAnsi="Georgia"/>
      <w:sz w:val="21"/>
      <w:szCs w:val="24"/>
      <w:lang w:eastAsia="en-US"/>
    </w:rPr>
  </w:style>
  <w:style w:type="paragraph" w:styleId="BalloonText">
    <w:name w:val="Balloon Text"/>
    <w:basedOn w:val="Normal"/>
    <w:link w:val="BalloonTextChar"/>
    <w:uiPriority w:val="99"/>
    <w:semiHidden/>
    <w:unhideWhenUsed/>
    <w:rsid w:val="007F41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13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9A0"/>
    <w:pPr>
      <w:spacing w:line="276" w:lineRule="auto"/>
    </w:pPr>
    <w:rPr>
      <w:rFonts w:ascii="Georgia" w:hAnsi="Georgia"/>
      <w:sz w:val="21"/>
      <w:szCs w:val="24"/>
      <w:lang w:eastAsia="en-US"/>
    </w:rPr>
  </w:style>
  <w:style w:type="paragraph" w:styleId="Heading1">
    <w:name w:val="heading 1"/>
    <w:basedOn w:val="Normal"/>
    <w:next w:val="Normal"/>
    <w:qFormat/>
    <w:rsid w:val="0092659B"/>
    <w:pPr>
      <w:outlineLvl w:val="0"/>
    </w:pPr>
    <w:rPr>
      <w:rFonts w:cs="Arial"/>
      <w:b/>
      <w:bCs/>
      <w:sz w:val="56"/>
      <w:szCs w:val="48"/>
    </w:rPr>
  </w:style>
  <w:style w:type="paragraph" w:styleId="Heading2">
    <w:name w:val="heading 2"/>
    <w:basedOn w:val="Normal"/>
    <w:next w:val="Normal"/>
    <w:qFormat/>
    <w:rsid w:val="0092659B"/>
    <w:pPr>
      <w:keepNext/>
      <w:spacing w:before="360" w:after="120"/>
      <w:outlineLvl w:val="1"/>
    </w:pPr>
    <w:rPr>
      <w:rFonts w:cs="Arial"/>
      <w:b/>
      <w:bCs/>
      <w:iCs/>
      <w:sz w:val="36"/>
      <w:szCs w:val="28"/>
    </w:rPr>
  </w:style>
  <w:style w:type="paragraph" w:styleId="Heading3">
    <w:name w:val="heading 3"/>
    <w:basedOn w:val="Normal"/>
    <w:next w:val="Normal"/>
    <w:qFormat/>
    <w:rsid w:val="00C37086"/>
    <w:pPr>
      <w:keepNext/>
      <w:spacing w:before="360" w:after="120"/>
      <w:outlineLvl w:val="2"/>
    </w:pPr>
    <w:rPr>
      <w:rFonts w:cs="Arial"/>
      <w:b/>
      <w:bCs/>
      <w:color w:val="002B7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4D37"/>
    <w:rPr>
      <w:color w:val="0000FF"/>
      <w:u w:val="single"/>
    </w:rPr>
  </w:style>
  <w:style w:type="paragraph" w:styleId="FootnoteText">
    <w:name w:val="footnote text"/>
    <w:basedOn w:val="Normal"/>
    <w:semiHidden/>
    <w:rsid w:val="00680D2D"/>
    <w:pPr>
      <w:spacing w:before="60"/>
      <w:ind w:left="284" w:hanging="284"/>
    </w:pPr>
    <w:rPr>
      <w:sz w:val="18"/>
      <w:szCs w:val="20"/>
    </w:rPr>
  </w:style>
  <w:style w:type="character" w:styleId="FootnoteReference">
    <w:name w:val="footnote reference"/>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F580E"/>
    <w:pPr>
      <w:keepNext/>
      <w:pBdr>
        <w:top w:val="single" w:sz="18" w:space="6" w:color="002B7F"/>
      </w:pBdr>
      <w:spacing w:before="120" w:after="120"/>
    </w:pPr>
    <w:rPr>
      <w:b/>
      <w:color w:val="002B7F"/>
    </w:rPr>
  </w:style>
  <w:style w:type="paragraph" w:customStyle="1" w:styleId="Note">
    <w:name w:val="Note"/>
    <w:basedOn w:val="Normal"/>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6339A0"/>
    <w:pPr>
      <w:numPr>
        <w:numId w:val="15"/>
      </w:numPr>
      <w:spacing w:before="60"/>
    </w:pPr>
  </w:style>
  <w:style w:type="character" w:styleId="PageNumber">
    <w:name w:val="page number"/>
    <w:rsid w:val="0092659B"/>
    <w:rPr>
      <w:color w:val="auto"/>
      <w:sz w:val="24"/>
    </w:rPr>
  </w:style>
  <w:style w:type="paragraph" w:customStyle="1" w:styleId="TableText">
    <w:name w:val="TableText"/>
    <w:basedOn w:val="Normal"/>
    <w:rsid w:val="008357B6"/>
    <w:pPr>
      <w:spacing w:before="80" w:after="80"/>
    </w:p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TableBullet">
    <w:name w:val="TableBullet"/>
    <w:basedOn w:val="TableText"/>
    <w:qFormat/>
    <w:rsid w:val="00A33E3C"/>
    <w:pPr>
      <w:numPr>
        <w:numId w:val="32"/>
      </w:numPr>
      <w:ind w:left="284" w:hanging="284"/>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9"/>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6339A0"/>
    <w:rPr>
      <w:rFonts w:ascii="Georgia" w:hAnsi="Georgia"/>
      <w:sz w:val="21"/>
      <w:szCs w:val="24"/>
      <w:lang w:eastAsia="en-US"/>
    </w:rPr>
  </w:style>
  <w:style w:type="paragraph" w:styleId="BalloonText">
    <w:name w:val="Balloon Text"/>
    <w:basedOn w:val="Normal"/>
    <w:link w:val="BalloonTextChar"/>
    <w:uiPriority w:val="99"/>
    <w:semiHidden/>
    <w:unhideWhenUsed/>
    <w:rsid w:val="007F41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13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1779</Words>
  <Characters>9548</Characters>
  <Application>Microsoft Office Word</Application>
  <DocSecurity>0</DocSecurity>
  <Lines>258</Lines>
  <Paragraphs>92</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Lives of People with Dementia</dc:title>
  <dc:creator>Ministry Of Health</dc:creator>
  <cp:lastModifiedBy>Jane Adam</cp:lastModifiedBy>
  <cp:revision>13</cp:revision>
  <cp:lastPrinted>2011-09-08T03:16:00Z</cp:lastPrinted>
  <dcterms:created xsi:type="dcterms:W3CDTF">2014-08-04T00:46:00Z</dcterms:created>
  <dcterms:modified xsi:type="dcterms:W3CDTF">2014-08-07T03:47:00Z</dcterms:modified>
</cp:coreProperties>
</file>