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F6" w:rsidRPr="008968BB" w:rsidRDefault="002A01F6" w:rsidP="002A01F6">
      <w:pPr>
        <w:pStyle w:val="Heading1"/>
        <w:ind w:left="0" w:firstLine="0"/>
        <w:rPr>
          <w:lang w:eastAsia="en-NZ"/>
        </w:rPr>
      </w:pPr>
      <w:bookmarkStart w:id="0" w:name="_Toc381610253"/>
      <w:r w:rsidRPr="008968BB">
        <w:rPr>
          <w:lang w:eastAsia="en-NZ"/>
        </w:rPr>
        <w:t>Appendix 9:</w:t>
      </w:r>
      <w:r w:rsidRPr="008968BB">
        <w:rPr>
          <w:szCs w:val="24"/>
          <w:lang w:eastAsia="en-NZ"/>
        </w:rPr>
        <w:t xml:space="preserve"> The </w:t>
      </w:r>
      <w:r w:rsidRPr="008968BB">
        <w:rPr>
          <w:lang w:eastAsia="en-NZ"/>
        </w:rPr>
        <w:t>Clinical Opioid Withdrawal Scale</w:t>
      </w:r>
      <w:bookmarkEnd w:id="0"/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3685"/>
        <w:gridCol w:w="744"/>
        <w:gridCol w:w="744"/>
        <w:gridCol w:w="744"/>
        <w:gridCol w:w="745"/>
      </w:tblGrid>
      <w:tr w:rsidR="002A01F6" w:rsidRPr="008968BB" w:rsidTr="00A53C27">
        <w:trPr>
          <w:cantSplit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01F6" w:rsidRPr="008E3346" w:rsidRDefault="002A01F6" w:rsidP="00A53C27">
            <w:pPr>
              <w:pStyle w:val="TableText"/>
              <w:rPr>
                <w:b/>
              </w:rPr>
            </w:pPr>
            <w:r w:rsidRPr="008E3346">
              <w:rPr>
                <w:b/>
              </w:rPr>
              <w:t>Name: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01F6" w:rsidRPr="008968BB" w:rsidRDefault="002A01F6" w:rsidP="00A53C27">
            <w:pPr>
              <w:pStyle w:val="TableText"/>
            </w:pPr>
          </w:p>
        </w:tc>
      </w:tr>
      <w:tr w:rsidR="002A01F6" w:rsidRPr="008968BB" w:rsidTr="00A53C2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1F6" w:rsidRPr="008E3346" w:rsidRDefault="002A01F6" w:rsidP="00A53C27">
            <w:pPr>
              <w:pStyle w:val="TableText"/>
              <w:rPr>
                <w:b/>
              </w:rPr>
            </w:pPr>
            <w:r w:rsidRPr="008E3346">
              <w:rPr>
                <w:b/>
              </w:rPr>
              <w:t>Reason for this assessment:</w:t>
            </w:r>
          </w:p>
        </w:tc>
        <w:tc>
          <w:tcPr>
            <w:tcW w:w="66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1F6" w:rsidRDefault="002A01F6" w:rsidP="00A53C27">
            <w:pPr>
              <w:pStyle w:val="TableText"/>
            </w:pPr>
          </w:p>
        </w:tc>
      </w:tr>
      <w:tr w:rsidR="002A01F6" w:rsidRPr="008968BB" w:rsidTr="00A53C27">
        <w:trPr>
          <w:cantSplit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6" w:rsidRPr="008E3346" w:rsidRDefault="002A01F6" w:rsidP="00A53C27">
            <w:pPr>
              <w:pStyle w:val="TableText"/>
              <w:rPr>
                <w:b/>
              </w:rPr>
            </w:pPr>
            <w:r w:rsidRPr="008E3346">
              <w:rPr>
                <w:b/>
              </w:rPr>
              <w:t>Date and time:</w:t>
            </w:r>
          </w:p>
        </w:tc>
        <w:tc>
          <w:tcPr>
            <w:tcW w:w="66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01F6" w:rsidRPr="008968BB" w:rsidRDefault="002A01F6" w:rsidP="00A53C27">
            <w:pPr>
              <w:pStyle w:val="TableText"/>
            </w:pPr>
          </w:p>
        </w:tc>
      </w:tr>
      <w:tr w:rsidR="002A01F6" w:rsidRPr="008968BB" w:rsidTr="00A53C27">
        <w:trPr>
          <w:cantSplit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</w:pPr>
            <w:r w:rsidRPr="008E3346">
              <w:rPr>
                <w:b/>
              </w:rPr>
              <w:t>Resting pulse rate:</w:t>
            </w:r>
            <w:r w:rsidRPr="008968BB">
              <w:t xml:space="preserve"> (record beats per minute)</w:t>
            </w:r>
          </w:p>
          <w:p w:rsidR="002A01F6" w:rsidRPr="008968BB" w:rsidRDefault="002A01F6" w:rsidP="00A53C27">
            <w:pPr>
              <w:pStyle w:val="TableText"/>
              <w:rPr>
                <w:i/>
              </w:rPr>
            </w:pPr>
            <w:r w:rsidRPr="008968BB">
              <w:rPr>
                <w:i/>
              </w:rPr>
              <w:t>Measured after person is sitting or lying for one minute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0 pulse rate 80 or below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1 pulse rate 81–100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2 pulse rate 101–120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4 pulse rate greater than 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</w:tr>
      <w:tr w:rsidR="002A01F6" w:rsidRPr="008968BB" w:rsidTr="00A53C27">
        <w:trPr>
          <w:cantSplit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1F6" w:rsidRPr="008E3346" w:rsidRDefault="002A01F6" w:rsidP="00A53C27">
            <w:pPr>
              <w:pStyle w:val="TableText"/>
              <w:rPr>
                <w:b/>
              </w:rPr>
            </w:pPr>
            <w:r w:rsidRPr="008E3346">
              <w:rPr>
                <w:b/>
              </w:rPr>
              <w:t>Sweating:</w:t>
            </w:r>
          </w:p>
          <w:p w:rsidR="002A01F6" w:rsidRPr="008968BB" w:rsidRDefault="002A01F6" w:rsidP="00A53C27">
            <w:pPr>
              <w:pStyle w:val="TableText"/>
              <w:rPr>
                <w:i/>
              </w:rPr>
            </w:pPr>
            <w:r w:rsidRPr="008968BB">
              <w:rPr>
                <w:i/>
              </w:rPr>
              <w:t xml:space="preserve">Over past </w:t>
            </w:r>
            <w:r>
              <w:rPr>
                <w:i/>
              </w:rPr>
              <w:t>half-</w:t>
            </w:r>
            <w:r w:rsidRPr="008968BB">
              <w:rPr>
                <w:i/>
              </w:rPr>
              <w:t>hour not accounted for by room temperature or activity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0 no report of chills or flushing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1 subjective report of chills or flushing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2 flushed or observable moistness on face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3 beads of sweat on brow or face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4 sweat streaming off face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</w:tr>
      <w:tr w:rsidR="002A01F6" w:rsidRPr="008968BB" w:rsidTr="00A53C27">
        <w:trPr>
          <w:cantSplit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2A01F6" w:rsidRPr="008E3346" w:rsidRDefault="002A01F6" w:rsidP="00A53C27">
            <w:pPr>
              <w:pStyle w:val="TableText"/>
              <w:rPr>
                <w:b/>
              </w:rPr>
            </w:pPr>
            <w:r w:rsidRPr="008E3346">
              <w:rPr>
                <w:b/>
              </w:rPr>
              <w:t>Restlessness: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rPr>
                <w:i/>
              </w:rPr>
              <w:t>Observation during assessmen</w:t>
            </w:r>
            <w:r w:rsidRPr="008968BB">
              <w:t>t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0 able to sit still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1 reports difficulty sitting still, but is able to do so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3 frequent shifting or extraneous movements of legs/arms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5 unable to sit still for more than a few seconds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</w:tr>
      <w:tr w:rsidR="002A01F6" w:rsidRPr="008968BB" w:rsidTr="00A53C27">
        <w:trPr>
          <w:cantSplit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1F6" w:rsidRPr="008E3346" w:rsidRDefault="002A01F6" w:rsidP="00A53C27">
            <w:pPr>
              <w:pStyle w:val="TableText"/>
              <w:rPr>
                <w:b/>
              </w:rPr>
            </w:pPr>
            <w:r w:rsidRPr="008E3346">
              <w:rPr>
                <w:b/>
              </w:rPr>
              <w:t>Pupil size: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0 pupils pinned or normal size for room light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1 pupils possibly larger than normal for room light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2 pupils moderately dilated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5 pupils so dilated that only the rim of the iris is visible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</w:tr>
      <w:tr w:rsidR="002A01F6" w:rsidRPr="008968BB" w:rsidTr="00A53C27">
        <w:trPr>
          <w:cantSplit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2A01F6" w:rsidRPr="008E3346" w:rsidRDefault="002A01F6" w:rsidP="00A53C27">
            <w:pPr>
              <w:pStyle w:val="TableText"/>
              <w:rPr>
                <w:b/>
              </w:rPr>
            </w:pPr>
            <w:r w:rsidRPr="008E3346">
              <w:rPr>
                <w:b/>
              </w:rPr>
              <w:t>Bone or joint aches: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rPr>
                <w:i/>
              </w:rPr>
              <w:t>If the person was having pain previously, only the additional component attributed to opiates withdrawal is scored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0 not present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1 mild diffuse discomfort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2 person reports severe diffuse aching of joints/ muscles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4 person is rubbing joints or muscles and is unable to sit still because of discomfort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</w:tr>
      <w:tr w:rsidR="002A01F6" w:rsidRPr="008968BB" w:rsidTr="00A53C27">
        <w:trPr>
          <w:cantSplit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</w:pPr>
            <w:r w:rsidRPr="008968BB">
              <w:t>Runny nose or tearing: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rPr>
                <w:i/>
              </w:rPr>
              <w:t>Not accounted for by cold symptoms or allergies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0 not present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1 nasal stuffiness or unusually moist eyes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2 nose running or tearing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 xml:space="preserve">4 nose constantly running or tears streaming down cheeks 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</w:tr>
      <w:tr w:rsidR="002A01F6" w:rsidRPr="008968BB" w:rsidTr="00A53C27">
        <w:trPr>
          <w:cantSplit/>
        </w:trPr>
        <w:tc>
          <w:tcPr>
            <w:tcW w:w="6379" w:type="dxa"/>
            <w:gridSpan w:val="2"/>
            <w:tcBorders>
              <w:top w:val="single" w:sz="4" w:space="0" w:color="A6A6A6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2A01F6" w:rsidRPr="008E3346" w:rsidRDefault="002A01F6" w:rsidP="00A53C27">
            <w:pPr>
              <w:pStyle w:val="TableText"/>
              <w:rPr>
                <w:b/>
                <w:i/>
              </w:rPr>
            </w:pPr>
            <w:r w:rsidRPr="008E3346">
              <w:rPr>
                <w:b/>
              </w:rPr>
              <w:lastRenderedPageBreak/>
              <w:t>GI upset:</w:t>
            </w:r>
          </w:p>
          <w:p w:rsidR="002A01F6" w:rsidRPr="008968BB" w:rsidRDefault="002A01F6" w:rsidP="00A53C27">
            <w:pPr>
              <w:pStyle w:val="TableText"/>
              <w:rPr>
                <w:i/>
              </w:rPr>
            </w:pPr>
            <w:r w:rsidRPr="008968BB">
              <w:rPr>
                <w:i/>
              </w:rPr>
              <w:t xml:space="preserve">Over last </w:t>
            </w:r>
            <w:r>
              <w:rPr>
                <w:i/>
              </w:rPr>
              <w:t>half-</w:t>
            </w:r>
            <w:r w:rsidRPr="008968BB">
              <w:rPr>
                <w:i/>
              </w:rPr>
              <w:t>hour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0 no GI symptoms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1 stomach cramps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2 nausea or loose stool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 xml:space="preserve">3 vomiting or </w:t>
            </w:r>
            <w:proofErr w:type="spellStart"/>
            <w:r w:rsidRPr="008968BB">
              <w:t>diarrhea</w:t>
            </w:r>
            <w:proofErr w:type="spellEnd"/>
          </w:p>
          <w:p w:rsidR="002A01F6" w:rsidRPr="008968BB" w:rsidRDefault="002A01F6" w:rsidP="00A53C27">
            <w:pPr>
              <w:pStyle w:val="TableText"/>
            </w:pPr>
            <w:r w:rsidRPr="008968BB">
              <w:t xml:space="preserve">5 Multiple episodes of </w:t>
            </w:r>
            <w:proofErr w:type="spellStart"/>
            <w:r w:rsidRPr="008968BB">
              <w:t>diarrhea</w:t>
            </w:r>
            <w:proofErr w:type="spellEnd"/>
            <w:r w:rsidRPr="008968BB">
              <w:t xml:space="preserve"> or vomiting</w:t>
            </w:r>
          </w:p>
        </w:tc>
        <w:tc>
          <w:tcPr>
            <w:tcW w:w="744" w:type="dxa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5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</w:tr>
      <w:tr w:rsidR="002A01F6" w:rsidRPr="008968BB" w:rsidTr="00A53C27">
        <w:trPr>
          <w:cantSplit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1F6" w:rsidRPr="008E3346" w:rsidRDefault="002A01F6" w:rsidP="00A53C27">
            <w:pPr>
              <w:pStyle w:val="TableText"/>
              <w:rPr>
                <w:b/>
              </w:rPr>
            </w:pPr>
            <w:r w:rsidRPr="008E3346">
              <w:rPr>
                <w:b/>
              </w:rPr>
              <w:t>Tremor: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rPr>
                <w:i/>
              </w:rPr>
              <w:t>Observation of outstretched hands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0 No tremor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1 tremor can be felt, but not observed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2 slight tremor observable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4 gross tremor or muscle twitching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</w:tr>
      <w:tr w:rsidR="002A01F6" w:rsidRPr="008968BB" w:rsidTr="00A53C27">
        <w:trPr>
          <w:cantSplit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2A01F6" w:rsidRPr="008E3346" w:rsidRDefault="002A01F6" w:rsidP="00A53C27">
            <w:pPr>
              <w:pStyle w:val="TableText"/>
              <w:rPr>
                <w:b/>
              </w:rPr>
            </w:pPr>
            <w:r w:rsidRPr="008E3346">
              <w:rPr>
                <w:b/>
              </w:rPr>
              <w:t>Yawning: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rPr>
                <w:i/>
              </w:rPr>
              <w:t>Observation during assessment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0 no yawning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1 yawning once or twice during assessment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2 yawning three or more times during assessment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4 yawning several times/minute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</w:tr>
      <w:tr w:rsidR="002A01F6" w:rsidRPr="008968BB" w:rsidTr="00A53C27">
        <w:trPr>
          <w:cantSplit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1F6" w:rsidRPr="008E3346" w:rsidRDefault="002A01F6" w:rsidP="00A53C27">
            <w:pPr>
              <w:pStyle w:val="TableText"/>
              <w:rPr>
                <w:b/>
              </w:rPr>
            </w:pPr>
            <w:r w:rsidRPr="008E3346">
              <w:rPr>
                <w:b/>
              </w:rPr>
              <w:t>Anxiety or irritability: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0 none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1 patient reports increasing irritability or anxiousness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2 patient obviously irritable or anxious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4 patient so irritable or anxious that participation in the assessment is difficult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</w:tr>
      <w:tr w:rsidR="002A01F6" w:rsidRPr="008968BB" w:rsidTr="00A53C27">
        <w:trPr>
          <w:cantSplit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2A01F6" w:rsidRPr="008E3346" w:rsidRDefault="002A01F6" w:rsidP="00A53C27">
            <w:pPr>
              <w:pStyle w:val="TableText"/>
              <w:rPr>
                <w:b/>
              </w:rPr>
            </w:pPr>
            <w:r w:rsidRPr="008E3346">
              <w:rPr>
                <w:b/>
              </w:rPr>
              <w:t>Gooseflesh skin: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>0 skin is smooth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 xml:space="preserve">3 </w:t>
            </w:r>
            <w:proofErr w:type="spellStart"/>
            <w:r w:rsidRPr="008968BB">
              <w:t>piloerection</w:t>
            </w:r>
            <w:proofErr w:type="spellEnd"/>
            <w:r w:rsidRPr="008968BB">
              <w:t xml:space="preserve"> of skin can be felt or hairs standing up on arms</w:t>
            </w:r>
          </w:p>
          <w:p w:rsidR="002A01F6" w:rsidRPr="008968BB" w:rsidRDefault="002A01F6" w:rsidP="00A53C27">
            <w:pPr>
              <w:pStyle w:val="TableText"/>
            </w:pPr>
            <w:r w:rsidRPr="008968BB">
              <w:t xml:space="preserve">5 prominent </w:t>
            </w:r>
            <w:proofErr w:type="spellStart"/>
            <w:r w:rsidRPr="008968BB">
              <w:t>piloerection</w:t>
            </w:r>
            <w:proofErr w:type="spellEnd"/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</w:tr>
      <w:tr w:rsidR="002A01F6" w:rsidRPr="008968BB" w:rsidTr="00A53C27">
        <w:trPr>
          <w:cantSplit/>
        </w:trPr>
        <w:tc>
          <w:tcPr>
            <w:tcW w:w="637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2A01F6" w:rsidRPr="008E3346" w:rsidRDefault="002A01F6" w:rsidP="00A53C27">
            <w:pPr>
              <w:pStyle w:val="TableText"/>
              <w:rPr>
                <w:b/>
              </w:rPr>
            </w:pPr>
            <w:r w:rsidRPr="008E3346">
              <w:rPr>
                <w:b/>
              </w:rPr>
              <w:t>Total scores</w:t>
            </w:r>
          </w:p>
          <w:p w:rsidR="002A01F6" w:rsidRPr="008E3346" w:rsidRDefault="002A01F6" w:rsidP="00A53C27">
            <w:pPr>
              <w:pStyle w:val="TableText"/>
              <w:rPr>
                <w:b/>
              </w:rPr>
            </w:pPr>
            <w:r w:rsidRPr="008968BB">
              <w:t>The total score is the sum of all 11 items</w:t>
            </w:r>
            <w:r>
              <w:t xml:space="preserve"> </w:t>
            </w:r>
            <w:r w:rsidRPr="008968BB">
              <w:t>with observer</w:t>
            </w:r>
            <w:r>
              <w:t>’</w:t>
            </w:r>
            <w:r w:rsidRPr="008968BB">
              <w:t>s initials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right w:val="nil"/>
            </w:tcBorders>
          </w:tcPr>
          <w:p w:rsidR="002A01F6" w:rsidRPr="008968BB" w:rsidRDefault="002A01F6" w:rsidP="00A53C27">
            <w:pPr>
              <w:pStyle w:val="TableText"/>
              <w:jc w:val="center"/>
            </w:pPr>
          </w:p>
        </w:tc>
      </w:tr>
    </w:tbl>
    <w:p w:rsidR="002A01F6" w:rsidRPr="008968BB" w:rsidRDefault="002A01F6" w:rsidP="002A01F6">
      <w:pPr>
        <w:pStyle w:val="Note"/>
        <w:ind w:left="0" w:right="0" w:firstLine="0"/>
      </w:pPr>
      <w:r w:rsidRPr="008968BB">
        <w:t>Score: 5–12 = mild; 13–24 = moderate; 25–36 = moderately severe; more than 36 = severe withdrawal</w:t>
      </w:r>
      <w:r>
        <w:t>.</w:t>
      </w:r>
    </w:p>
    <w:p w:rsidR="002A01F6" w:rsidRDefault="002A01F6" w:rsidP="002A01F6">
      <w:pPr>
        <w:pStyle w:val="Source"/>
      </w:pPr>
      <w:r w:rsidRPr="008968BB">
        <w:t>Source: Wesson and Ling 2003</w:t>
      </w:r>
      <w:r>
        <w:t>.</w:t>
      </w:r>
    </w:p>
    <w:p w:rsidR="002A01F6" w:rsidRPr="008E3346" w:rsidRDefault="002A01F6" w:rsidP="002A01F6"/>
    <w:p w:rsidR="009866FE" w:rsidRDefault="009866FE" w:rsidP="002A01F6"/>
    <w:sectPr w:rsidR="009866FE" w:rsidSect="002A0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F6" w:rsidRDefault="002A01F6" w:rsidP="002A01F6">
      <w:pPr>
        <w:spacing w:line="240" w:lineRule="auto"/>
      </w:pPr>
      <w:r>
        <w:separator/>
      </w:r>
    </w:p>
  </w:endnote>
  <w:endnote w:type="continuationSeparator" w:id="0">
    <w:p w:rsidR="002A01F6" w:rsidRDefault="002A01F6" w:rsidP="002A0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879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01F6" w:rsidRDefault="002A01F6" w:rsidP="002A01F6">
        <w:pPr>
          <w:pStyle w:val="Footer"/>
          <w:tabs>
            <w:tab w:val="clear" w:pos="9026"/>
            <w:tab w:val="right" w:pos="4962"/>
          </w:tabs>
          <w:ind w:firstLine="720"/>
          <w:jc w:val="right"/>
        </w:pPr>
        <w:r w:rsidRPr="002A01F6">
          <w:rPr>
            <w:sz w:val="20"/>
          </w:rPr>
          <w:t xml:space="preserve">New Zealand Practice Guidelines for Opioid Substitution Treatment: </w:t>
        </w:r>
        <w:r>
          <w:rPr>
            <w:sz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>
          <w:rPr>
            <w:sz w:val="20"/>
          </w:rPr>
          <w:t>Appendix 9: The Clinical Opioid Withdrawal Scale</w:t>
        </w:r>
        <w:r>
          <w:rPr>
            <w:sz w:val="20"/>
          </w:rPr>
          <w:tab/>
        </w:r>
        <w:bookmarkStart w:id="1" w:name="_GoBack"/>
        <w:bookmarkEnd w:id="1"/>
        <w:r>
          <w:rPr>
            <w:sz w:val="20"/>
          </w:rPr>
          <w:tab/>
        </w:r>
      </w:p>
    </w:sdtContent>
  </w:sdt>
  <w:p w:rsidR="002A01F6" w:rsidRDefault="002A01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368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01F6" w:rsidRDefault="002A01F6" w:rsidP="002A01F6">
        <w:pPr>
          <w:pStyle w:val="Footer"/>
          <w:tabs>
            <w:tab w:val="clear" w:pos="4513"/>
            <w:tab w:val="clear" w:pos="9026"/>
            <w:tab w:val="center" w:pos="426"/>
            <w:tab w:val="right" w:pos="3969"/>
          </w:tabs>
          <w:ind w:left="426" w:hanging="42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Pr="002A01F6">
          <w:rPr>
            <w:sz w:val="20"/>
          </w:rPr>
          <w:t xml:space="preserve">New Zealand Practice Guidelines for Opioid Substitution Treatment: </w:t>
        </w:r>
        <w:r>
          <w:rPr>
            <w:sz w:val="20"/>
          </w:rPr>
          <w:br/>
          <w:t>Appendix 9: The Clinical Opioid Withdrawal Scale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F6" w:rsidRDefault="002A01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F6" w:rsidRDefault="002A01F6" w:rsidP="002A01F6">
      <w:pPr>
        <w:spacing w:line="240" w:lineRule="auto"/>
      </w:pPr>
      <w:r>
        <w:separator/>
      </w:r>
    </w:p>
  </w:footnote>
  <w:footnote w:type="continuationSeparator" w:id="0">
    <w:p w:rsidR="002A01F6" w:rsidRDefault="002A01F6" w:rsidP="002A0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F6" w:rsidRDefault="002A01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F6" w:rsidRDefault="002A01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F6" w:rsidRDefault="002A0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F6"/>
    <w:rsid w:val="000F5235"/>
    <w:rsid w:val="002A01F6"/>
    <w:rsid w:val="00460FDC"/>
    <w:rsid w:val="007E7084"/>
    <w:rsid w:val="009138C8"/>
    <w:rsid w:val="009866FE"/>
    <w:rsid w:val="00AA7E28"/>
    <w:rsid w:val="00AF3065"/>
    <w:rsid w:val="00D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F6"/>
    <w:pPr>
      <w:spacing w:after="0" w:line="264" w:lineRule="auto"/>
    </w:pPr>
    <w:rPr>
      <w:rFonts w:ascii="Georgia" w:eastAsia="Times New Roman" w:hAnsi="Georgia" w:cs="Times New Roman"/>
      <w:sz w:val="22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2A01F6"/>
    <w:pPr>
      <w:pBdr>
        <w:top w:val="single" w:sz="48" w:space="16" w:color="auto"/>
      </w:pBdr>
      <w:spacing w:after="360"/>
      <w:ind w:left="992" w:hanging="992"/>
      <w:outlineLvl w:val="0"/>
    </w:pPr>
    <w:rPr>
      <w:b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01F6"/>
    <w:rPr>
      <w:rFonts w:ascii="Georgia" w:eastAsia="Times New Roman" w:hAnsi="Georgia" w:cs="Times New Roman"/>
      <w:b/>
      <w:sz w:val="60"/>
      <w:szCs w:val="20"/>
      <w:lang w:eastAsia="en-GB"/>
    </w:rPr>
  </w:style>
  <w:style w:type="paragraph" w:customStyle="1" w:styleId="TableText">
    <w:name w:val="TableText"/>
    <w:basedOn w:val="Normal"/>
    <w:qFormat/>
    <w:rsid w:val="002A01F6"/>
    <w:pPr>
      <w:spacing w:before="60" w:after="60" w:line="240" w:lineRule="auto"/>
    </w:pPr>
    <w:rPr>
      <w:rFonts w:ascii="Arial" w:hAnsi="Arial"/>
      <w:sz w:val="18"/>
    </w:rPr>
  </w:style>
  <w:style w:type="paragraph" w:customStyle="1" w:styleId="Source">
    <w:name w:val="Source"/>
    <w:basedOn w:val="Note"/>
    <w:next w:val="Normal"/>
    <w:qFormat/>
    <w:rsid w:val="002A01F6"/>
    <w:pPr>
      <w:ind w:left="0" w:right="0" w:firstLine="0"/>
    </w:pPr>
  </w:style>
  <w:style w:type="paragraph" w:customStyle="1" w:styleId="Note">
    <w:name w:val="Note"/>
    <w:basedOn w:val="Normal"/>
    <w:next w:val="Normal"/>
    <w:link w:val="NoteChar"/>
    <w:qFormat/>
    <w:rsid w:val="002A01F6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2A01F6"/>
    <w:rPr>
      <w:rFonts w:eastAsia="Times New Roman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01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F6"/>
    <w:rPr>
      <w:rFonts w:ascii="Georgia" w:eastAsia="Times New Roman" w:hAnsi="Georgia" w:cs="Times New Roman"/>
      <w:sz w:val="22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A01F6"/>
    <w:pPr>
      <w:pBdr>
        <w:top w:val="single" w:sz="4" w:space="8" w:color="auto"/>
      </w:pBd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F6"/>
    <w:rPr>
      <w:rFonts w:ascii="Georgia" w:eastAsia="Times New Roman" w:hAnsi="Georgia" w:cs="Times New Roman"/>
      <w:sz w:val="22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F6"/>
    <w:pPr>
      <w:spacing w:after="0" w:line="264" w:lineRule="auto"/>
    </w:pPr>
    <w:rPr>
      <w:rFonts w:ascii="Georgia" w:eastAsia="Times New Roman" w:hAnsi="Georgia" w:cs="Times New Roman"/>
      <w:sz w:val="22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2A01F6"/>
    <w:pPr>
      <w:pBdr>
        <w:top w:val="single" w:sz="48" w:space="16" w:color="auto"/>
      </w:pBdr>
      <w:spacing w:after="360"/>
      <w:ind w:left="992" w:hanging="992"/>
      <w:outlineLvl w:val="0"/>
    </w:pPr>
    <w:rPr>
      <w:b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01F6"/>
    <w:rPr>
      <w:rFonts w:ascii="Georgia" w:eastAsia="Times New Roman" w:hAnsi="Georgia" w:cs="Times New Roman"/>
      <w:b/>
      <w:sz w:val="60"/>
      <w:szCs w:val="20"/>
      <w:lang w:eastAsia="en-GB"/>
    </w:rPr>
  </w:style>
  <w:style w:type="paragraph" w:customStyle="1" w:styleId="TableText">
    <w:name w:val="TableText"/>
    <w:basedOn w:val="Normal"/>
    <w:qFormat/>
    <w:rsid w:val="002A01F6"/>
    <w:pPr>
      <w:spacing w:before="60" w:after="60" w:line="240" w:lineRule="auto"/>
    </w:pPr>
    <w:rPr>
      <w:rFonts w:ascii="Arial" w:hAnsi="Arial"/>
      <w:sz w:val="18"/>
    </w:rPr>
  </w:style>
  <w:style w:type="paragraph" w:customStyle="1" w:styleId="Source">
    <w:name w:val="Source"/>
    <w:basedOn w:val="Note"/>
    <w:next w:val="Normal"/>
    <w:qFormat/>
    <w:rsid w:val="002A01F6"/>
    <w:pPr>
      <w:ind w:left="0" w:right="0" w:firstLine="0"/>
    </w:pPr>
  </w:style>
  <w:style w:type="paragraph" w:customStyle="1" w:styleId="Note">
    <w:name w:val="Note"/>
    <w:basedOn w:val="Normal"/>
    <w:next w:val="Normal"/>
    <w:link w:val="NoteChar"/>
    <w:qFormat/>
    <w:rsid w:val="002A01F6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2A01F6"/>
    <w:rPr>
      <w:rFonts w:eastAsia="Times New Roman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01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F6"/>
    <w:rPr>
      <w:rFonts w:ascii="Georgia" w:eastAsia="Times New Roman" w:hAnsi="Georgia" w:cs="Times New Roman"/>
      <w:sz w:val="22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A01F6"/>
    <w:pPr>
      <w:pBdr>
        <w:top w:val="single" w:sz="4" w:space="8" w:color="auto"/>
      </w:pBd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F6"/>
    <w:rPr>
      <w:rFonts w:ascii="Georgia" w:eastAsia="Times New Roman" w:hAnsi="Georgia" w:cs="Times New Roman"/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776F-997A-4BC8-BE79-9CE31121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2223</Characters>
  <Application>Microsoft Office Word</Application>
  <DocSecurity>0</DocSecurity>
  <Lines>18</Lines>
  <Paragraphs>5</Paragraphs>
  <ScaleCrop>false</ScaleCrop>
  <Company>Ministry of Health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Health</dc:creator>
  <cp:lastModifiedBy>Ministry of Health</cp:lastModifiedBy>
  <cp:revision>1</cp:revision>
  <dcterms:created xsi:type="dcterms:W3CDTF">2014-06-04T23:40:00Z</dcterms:created>
  <dcterms:modified xsi:type="dcterms:W3CDTF">2014-06-04T23:49:00Z</dcterms:modified>
</cp:coreProperties>
</file>