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3" w:rsidRPr="00674B6A" w:rsidRDefault="004972A7" w:rsidP="003553C8">
      <w:pPr>
        <w:spacing w:before="1200"/>
        <w:jc w:val="center"/>
        <w:rPr>
          <w:rFonts w:cs="Arial"/>
          <w:lang w:val="en-GB" w:eastAsia="en-GB"/>
        </w:rPr>
      </w:pPr>
      <w:r w:rsidRPr="00674B6A">
        <w:rPr>
          <w:rFonts w:cs="Arial"/>
          <w:b/>
          <w:noProof/>
          <w:color w:val="000000"/>
          <w:sz w:val="32"/>
          <w:lang w:eastAsia="en-NZ"/>
        </w:rPr>
        <w:drawing>
          <wp:inline distT="0" distB="0" distL="0" distR="0" wp14:anchorId="5A180A4B" wp14:editId="674FC8E5">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E1551C" w:rsidRDefault="00E1551C" w:rsidP="003553C8">
      <w:pPr>
        <w:spacing w:before="1440"/>
        <w:jc w:val="center"/>
        <w:rPr>
          <w:rFonts w:cs="Arial"/>
          <w:b/>
          <w:bCs/>
          <w:sz w:val="40"/>
          <w:szCs w:val="40"/>
        </w:rPr>
      </w:pPr>
      <w:r w:rsidRPr="001F131D">
        <w:rPr>
          <w:rFonts w:cs="Arial"/>
          <w:b/>
          <w:bCs/>
          <w:sz w:val="40"/>
          <w:szCs w:val="40"/>
        </w:rPr>
        <w:t>Inspection Report</w:t>
      </w:r>
    </w:p>
    <w:p w:rsidR="0041624F" w:rsidRDefault="0041624F" w:rsidP="003553C8">
      <w:pPr>
        <w:spacing w:before="1440"/>
        <w:jc w:val="center"/>
        <w:rPr>
          <w:rFonts w:cs="Arial"/>
          <w:b/>
          <w:bCs/>
          <w:sz w:val="40"/>
          <w:szCs w:val="40"/>
        </w:rPr>
      </w:pPr>
      <w:r>
        <w:rPr>
          <w:rFonts w:cs="Arial"/>
          <w:b/>
          <w:bCs/>
          <w:sz w:val="40"/>
          <w:szCs w:val="40"/>
        </w:rPr>
        <w:t xml:space="preserve">Radius Residential Care Limited – </w:t>
      </w:r>
    </w:p>
    <w:p w:rsidR="0041624F" w:rsidRPr="001F131D" w:rsidRDefault="0041624F" w:rsidP="0041624F">
      <w:pPr>
        <w:spacing w:before="600"/>
        <w:jc w:val="center"/>
        <w:rPr>
          <w:rFonts w:cs="Arial"/>
          <w:b/>
          <w:bCs/>
          <w:sz w:val="40"/>
          <w:szCs w:val="40"/>
        </w:rPr>
      </w:pPr>
      <w:r>
        <w:rPr>
          <w:rFonts w:cs="Arial"/>
          <w:b/>
          <w:bCs/>
          <w:sz w:val="40"/>
          <w:szCs w:val="40"/>
        </w:rPr>
        <w:t>Radius Elloughton Gardens</w:t>
      </w:r>
    </w:p>
    <w:p w:rsidR="0041624F" w:rsidRDefault="0041624F" w:rsidP="003553C8">
      <w:pPr>
        <w:spacing w:before="480"/>
        <w:jc w:val="center"/>
        <w:rPr>
          <w:rFonts w:ascii="Arial Mäori" w:hAnsi="Arial Mäori" w:cs="Arial Mäori"/>
          <w:b/>
          <w:bCs/>
          <w:sz w:val="40"/>
          <w:szCs w:val="40"/>
        </w:rPr>
      </w:pPr>
      <w:bookmarkStart w:id="0" w:name="PRMS_RIName"/>
      <w:bookmarkEnd w:id="0"/>
    </w:p>
    <w:p w:rsidR="0041624F" w:rsidRDefault="0041624F" w:rsidP="0041624F">
      <w:pPr>
        <w:spacing w:before="480"/>
        <w:jc w:val="center"/>
        <w:rPr>
          <w:rFonts w:ascii="Arial Mäori" w:hAnsi="Arial Mäori" w:cs="Arial Mäori"/>
          <w:b/>
          <w:bCs/>
          <w:sz w:val="40"/>
          <w:szCs w:val="40"/>
        </w:rPr>
      </w:pPr>
      <w:r>
        <w:rPr>
          <w:rFonts w:ascii="Arial Mäori" w:hAnsi="Arial Mäori" w:cs="Arial Mäori"/>
          <w:b/>
          <w:bCs/>
          <w:sz w:val="40"/>
          <w:szCs w:val="40"/>
        </w:rPr>
        <w:t>Date of Inspection: 30 November 2016</w:t>
      </w:r>
      <w:bookmarkStart w:id="1" w:name="AuditStartDate"/>
      <w:bookmarkEnd w:id="1"/>
    </w:p>
    <w:p w:rsidR="0041624F" w:rsidRDefault="0041624F" w:rsidP="0041624F">
      <w:pPr>
        <w:spacing w:before="480"/>
        <w:rPr>
          <w:rFonts w:ascii="Arial Mäori" w:hAnsi="Arial Mäori" w:cs="Arial Mäori"/>
          <w:b/>
          <w:bCs/>
          <w:sz w:val="40"/>
          <w:szCs w:val="40"/>
        </w:rPr>
      </w:pPr>
    </w:p>
    <w:p w:rsidR="0041624F" w:rsidRDefault="0041624F" w:rsidP="0041624F">
      <w:pPr>
        <w:spacing w:before="480"/>
        <w:rPr>
          <w:rFonts w:ascii="Arial Mäori" w:hAnsi="Arial Mäori" w:cs="Arial Mäori"/>
          <w:b/>
          <w:bCs/>
          <w:sz w:val="40"/>
          <w:szCs w:val="40"/>
        </w:rPr>
      </w:pPr>
    </w:p>
    <w:p w:rsidR="0041624F" w:rsidRDefault="0041624F" w:rsidP="0041624F">
      <w:pPr>
        <w:spacing w:before="480"/>
        <w:rPr>
          <w:rFonts w:ascii="Arial Mäori" w:hAnsi="Arial Mäori" w:cs="Arial Mäori"/>
          <w:b/>
          <w:bCs/>
          <w:sz w:val="40"/>
          <w:szCs w:val="40"/>
        </w:rPr>
      </w:pPr>
    </w:p>
    <w:p w:rsidR="0041624F" w:rsidRDefault="0041624F" w:rsidP="0041624F">
      <w:pPr>
        <w:spacing w:before="480"/>
        <w:rPr>
          <w:rFonts w:ascii="Arial Mäori" w:hAnsi="Arial Mäori" w:cs="Arial Mäori"/>
          <w:b/>
          <w:bCs/>
          <w:sz w:val="40"/>
          <w:szCs w:val="40"/>
        </w:rPr>
      </w:pPr>
    </w:p>
    <w:p w:rsidR="003553C8" w:rsidRPr="0041624F" w:rsidRDefault="001D76A9" w:rsidP="0041624F">
      <w:pPr>
        <w:spacing w:before="480"/>
        <w:rPr>
          <w:rFonts w:ascii="Arial Mäori" w:hAnsi="Arial Mäori" w:cs="Arial Mäori"/>
          <w:b/>
          <w:bCs/>
          <w:sz w:val="40"/>
          <w:szCs w:val="40"/>
        </w:rPr>
      </w:pPr>
      <w:r w:rsidRPr="001F131D">
        <w:rPr>
          <w:rFonts w:cs="Arial"/>
          <w:color w:val="000000"/>
          <w:sz w:val="20"/>
          <w:szCs w:val="20"/>
          <w:lang w:eastAsia="en-NZ"/>
        </w:rPr>
        <w:t>He</w:t>
      </w:r>
      <w:r w:rsidR="0041624F">
        <w:rPr>
          <w:rFonts w:cs="Arial"/>
          <w:color w:val="000000"/>
          <w:sz w:val="20"/>
          <w:szCs w:val="20"/>
          <w:lang w:eastAsia="en-NZ"/>
        </w:rPr>
        <w:t>a</w:t>
      </w:r>
      <w:r w:rsidRPr="001F131D">
        <w:rPr>
          <w:rFonts w:cs="Arial"/>
          <w:color w:val="000000"/>
          <w:sz w:val="20"/>
          <w:szCs w:val="20"/>
          <w:lang w:eastAsia="en-NZ"/>
        </w:rPr>
        <w:t>lthCERT</w:t>
      </w:r>
    </w:p>
    <w:p w:rsidR="003553C8" w:rsidRDefault="00D367ED" w:rsidP="003553C8">
      <w:pPr>
        <w:rPr>
          <w:rFonts w:cs="Arial"/>
          <w:color w:val="000000"/>
          <w:sz w:val="20"/>
          <w:szCs w:val="20"/>
          <w:lang w:eastAsia="en-NZ"/>
        </w:rPr>
      </w:pPr>
      <w:r w:rsidRPr="001F131D">
        <w:rPr>
          <w:rFonts w:cs="Arial"/>
          <w:color w:val="000000"/>
          <w:sz w:val="20"/>
          <w:szCs w:val="20"/>
          <w:lang w:eastAsia="en-NZ"/>
        </w:rPr>
        <w:t>Protection Regulation</w:t>
      </w:r>
      <w:r w:rsidR="0041624F">
        <w:rPr>
          <w:rFonts w:cs="Arial"/>
          <w:color w:val="000000"/>
          <w:sz w:val="20"/>
          <w:szCs w:val="20"/>
          <w:lang w:eastAsia="en-NZ"/>
        </w:rPr>
        <w:t xml:space="preserve"> and Assurance</w:t>
      </w:r>
    </w:p>
    <w:p w:rsidR="00E1551C" w:rsidRDefault="001D76A9" w:rsidP="003553C8">
      <w:pPr>
        <w:rPr>
          <w:rFonts w:cs="Arial"/>
          <w:color w:val="000000"/>
          <w:sz w:val="20"/>
          <w:szCs w:val="20"/>
          <w:lang w:eastAsia="en-NZ"/>
        </w:rPr>
      </w:pPr>
      <w:r w:rsidRPr="001F131D">
        <w:rPr>
          <w:rFonts w:cs="Arial"/>
          <w:color w:val="000000"/>
          <w:sz w:val="20"/>
          <w:szCs w:val="20"/>
          <w:lang w:eastAsia="en-NZ"/>
        </w:rPr>
        <w:t>Ministry of Health</w:t>
      </w:r>
    </w:p>
    <w:p w:rsidR="003553C8" w:rsidRDefault="003553C8" w:rsidP="003553C8">
      <w:pPr>
        <w:rPr>
          <w:rFonts w:cs="Arial"/>
          <w:color w:val="000000"/>
          <w:sz w:val="20"/>
          <w:szCs w:val="20"/>
          <w:lang w:eastAsia="en-NZ"/>
        </w:rPr>
      </w:pPr>
    </w:p>
    <w:p w:rsidR="003553C8" w:rsidRDefault="003553C8" w:rsidP="003553C8">
      <w:pPr>
        <w:rPr>
          <w:rFonts w:cs="Arial"/>
          <w:sz w:val="20"/>
          <w:szCs w:val="16"/>
        </w:rPr>
        <w:sectPr w:rsidR="003553C8" w:rsidSect="00E325BD">
          <w:footerReference w:type="default" r:id="rId9"/>
          <w:footerReference w:type="first" r:id="rId10"/>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rsidR="00D55F6B" w:rsidRPr="00D55F6B" w:rsidRDefault="00D55F6B" w:rsidP="00D55F6B">
          <w:pPr>
            <w:pStyle w:val="TOCHeading"/>
            <w:spacing w:after="240"/>
            <w:rPr>
              <w:rFonts w:ascii="Arial" w:hAnsi="Arial" w:cs="Arial"/>
              <w:color w:val="auto"/>
            </w:rPr>
          </w:pPr>
          <w:r w:rsidRPr="00D55F6B">
            <w:rPr>
              <w:rFonts w:ascii="Arial" w:hAnsi="Arial" w:cs="Arial"/>
              <w:color w:val="auto"/>
            </w:rPr>
            <w:t>Table of Contents</w:t>
          </w:r>
        </w:p>
        <w:p w:rsidR="00232AA3" w:rsidRDefault="00D55F6B">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468692164" w:history="1">
            <w:r w:rsidR="00232AA3" w:rsidRPr="00BB17A0">
              <w:rPr>
                <w:rStyle w:val="Hyperlink"/>
                <w:noProof/>
              </w:rPr>
              <w:t>1.</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Provider Details</w:t>
            </w:r>
            <w:r w:rsidR="00232AA3">
              <w:rPr>
                <w:noProof/>
                <w:webHidden/>
              </w:rPr>
              <w:tab/>
            </w:r>
            <w:r w:rsidR="00232AA3">
              <w:rPr>
                <w:noProof/>
                <w:webHidden/>
              </w:rPr>
              <w:fldChar w:fldCharType="begin"/>
            </w:r>
            <w:r w:rsidR="00232AA3">
              <w:rPr>
                <w:noProof/>
                <w:webHidden/>
              </w:rPr>
              <w:instrText xml:space="preserve"> PAGEREF _Toc468692164 \h </w:instrText>
            </w:r>
            <w:r w:rsidR="00232AA3">
              <w:rPr>
                <w:noProof/>
                <w:webHidden/>
              </w:rPr>
            </w:r>
            <w:r w:rsidR="00232AA3">
              <w:rPr>
                <w:noProof/>
                <w:webHidden/>
              </w:rPr>
              <w:fldChar w:fldCharType="separate"/>
            </w:r>
            <w:r w:rsidR="00232AA3">
              <w:rPr>
                <w:noProof/>
                <w:webHidden/>
              </w:rPr>
              <w:t>3</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65" w:history="1">
            <w:r w:rsidR="00232AA3" w:rsidRPr="00BB17A0">
              <w:rPr>
                <w:rStyle w:val="Hyperlink"/>
                <w:noProof/>
              </w:rPr>
              <w:t>2.</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Executive Summary</w:t>
            </w:r>
            <w:r w:rsidR="00232AA3">
              <w:rPr>
                <w:noProof/>
                <w:webHidden/>
              </w:rPr>
              <w:tab/>
            </w:r>
            <w:r w:rsidR="00232AA3">
              <w:rPr>
                <w:noProof/>
                <w:webHidden/>
              </w:rPr>
              <w:fldChar w:fldCharType="begin"/>
            </w:r>
            <w:r w:rsidR="00232AA3">
              <w:rPr>
                <w:noProof/>
                <w:webHidden/>
              </w:rPr>
              <w:instrText xml:space="preserve"> PAGEREF _Toc468692165 \h </w:instrText>
            </w:r>
            <w:r w:rsidR="00232AA3">
              <w:rPr>
                <w:noProof/>
                <w:webHidden/>
              </w:rPr>
            </w:r>
            <w:r w:rsidR="00232AA3">
              <w:rPr>
                <w:noProof/>
                <w:webHidden/>
              </w:rPr>
              <w:fldChar w:fldCharType="separate"/>
            </w:r>
            <w:r w:rsidR="00232AA3">
              <w:rPr>
                <w:noProof/>
                <w:webHidden/>
              </w:rPr>
              <w:t>3</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66" w:history="1">
            <w:r w:rsidR="00232AA3" w:rsidRPr="00BB17A0">
              <w:rPr>
                <w:rStyle w:val="Hyperlink"/>
                <w:noProof/>
              </w:rPr>
              <w:t>3.</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Background</w:t>
            </w:r>
            <w:r w:rsidR="00232AA3">
              <w:rPr>
                <w:noProof/>
                <w:webHidden/>
              </w:rPr>
              <w:tab/>
            </w:r>
            <w:r w:rsidR="00232AA3">
              <w:rPr>
                <w:noProof/>
                <w:webHidden/>
              </w:rPr>
              <w:fldChar w:fldCharType="begin"/>
            </w:r>
            <w:r w:rsidR="00232AA3">
              <w:rPr>
                <w:noProof/>
                <w:webHidden/>
              </w:rPr>
              <w:instrText xml:space="preserve"> PAGEREF _Toc468692166 \h </w:instrText>
            </w:r>
            <w:r w:rsidR="00232AA3">
              <w:rPr>
                <w:noProof/>
                <w:webHidden/>
              </w:rPr>
            </w:r>
            <w:r w:rsidR="00232AA3">
              <w:rPr>
                <w:noProof/>
                <w:webHidden/>
              </w:rPr>
              <w:fldChar w:fldCharType="separate"/>
            </w:r>
            <w:r w:rsidR="00232AA3">
              <w:rPr>
                <w:noProof/>
                <w:webHidden/>
              </w:rPr>
              <w:t>3</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67" w:history="1">
            <w:r w:rsidR="00232AA3" w:rsidRPr="00BB17A0">
              <w:rPr>
                <w:rStyle w:val="Hyperlink"/>
                <w:noProof/>
              </w:rPr>
              <w:t>4.</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Inspection Team</w:t>
            </w:r>
            <w:r w:rsidR="00232AA3">
              <w:rPr>
                <w:noProof/>
                <w:webHidden/>
              </w:rPr>
              <w:tab/>
            </w:r>
            <w:r w:rsidR="00232AA3">
              <w:rPr>
                <w:noProof/>
                <w:webHidden/>
              </w:rPr>
              <w:fldChar w:fldCharType="begin"/>
            </w:r>
            <w:r w:rsidR="00232AA3">
              <w:rPr>
                <w:noProof/>
                <w:webHidden/>
              </w:rPr>
              <w:instrText xml:space="preserve"> PAGEREF _Toc468692167 \h </w:instrText>
            </w:r>
            <w:r w:rsidR="00232AA3">
              <w:rPr>
                <w:noProof/>
                <w:webHidden/>
              </w:rPr>
            </w:r>
            <w:r w:rsidR="00232AA3">
              <w:rPr>
                <w:noProof/>
                <w:webHidden/>
              </w:rPr>
              <w:fldChar w:fldCharType="separate"/>
            </w:r>
            <w:r w:rsidR="00232AA3">
              <w:rPr>
                <w:noProof/>
                <w:webHidden/>
              </w:rPr>
              <w:t>6</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68" w:history="1">
            <w:r w:rsidR="00232AA3" w:rsidRPr="00BB17A0">
              <w:rPr>
                <w:rStyle w:val="Hyperlink"/>
                <w:noProof/>
              </w:rPr>
              <w:t>5.</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Inspection Methodology</w:t>
            </w:r>
            <w:r w:rsidR="00232AA3">
              <w:rPr>
                <w:noProof/>
                <w:webHidden/>
              </w:rPr>
              <w:tab/>
            </w:r>
            <w:r w:rsidR="00232AA3">
              <w:rPr>
                <w:noProof/>
                <w:webHidden/>
              </w:rPr>
              <w:fldChar w:fldCharType="begin"/>
            </w:r>
            <w:r w:rsidR="00232AA3">
              <w:rPr>
                <w:noProof/>
                <w:webHidden/>
              </w:rPr>
              <w:instrText xml:space="preserve"> PAGEREF _Toc468692168 \h </w:instrText>
            </w:r>
            <w:r w:rsidR="00232AA3">
              <w:rPr>
                <w:noProof/>
                <w:webHidden/>
              </w:rPr>
            </w:r>
            <w:r w:rsidR="00232AA3">
              <w:rPr>
                <w:noProof/>
                <w:webHidden/>
              </w:rPr>
              <w:fldChar w:fldCharType="separate"/>
            </w:r>
            <w:r w:rsidR="00232AA3">
              <w:rPr>
                <w:noProof/>
                <w:webHidden/>
              </w:rPr>
              <w:t>6</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69" w:history="1">
            <w:r w:rsidR="00232AA3" w:rsidRPr="00BB17A0">
              <w:rPr>
                <w:rStyle w:val="Hyperlink"/>
                <w:noProof/>
              </w:rPr>
              <w:t>6.</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Inspection Limitations</w:t>
            </w:r>
            <w:r w:rsidR="00232AA3">
              <w:rPr>
                <w:noProof/>
                <w:webHidden/>
              </w:rPr>
              <w:tab/>
            </w:r>
            <w:r w:rsidR="00232AA3">
              <w:rPr>
                <w:noProof/>
                <w:webHidden/>
              </w:rPr>
              <w:fldChar w:fldCharType="begin"/>
            </w:r>
            <w:r w:rsidR="00232AA3">
              <w:rPr>
                <w:noProof/>
                <w:webHidden/>
              </w:rPr>
              <w:instrText xml:space="preserve"> PAGEREF _Toc468692169 \h </w:instrText>
            </w:r>
            <w:r w:rsidR="00232AA3">
              <w:rPr>
                <w:noProof/>
                <w:webHidden/>
              </w:rPr>
            </w:r>
            <w:r w:rsidR="00232AA3">
              <w:rPr>
                <w:noProof/>
                <w:webHidden/>
              </w:rPr>
              <w:fldChar w:fldCharType="separate"/>
            </w:r>
            <w:r w:rsidR="00232AA3">
              <w:rPr>
                <w:noProof/>
                <w:webHidden/>
              </w:rPr>
              <w:t>6</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70" w:history="1">
            <w:r w:rsidR="00232AA3" w:rsidRPr="00BB17A0">
              <w:rPr>
                <w:rStyle w:val="Hyperlink"/>
                <w:noProof/>
              </w:rPr>
              <w:t>7.</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Entry Meeting</w:t>
            </w:r>
            <w:r w:rsidR="00232AA3">
              <w:rPr>
                <w:noProof/>
                <w:webHidden/>
              </w:rPr>
              <w:tab/>
            </w:r>
            <w:r w:rsidR="00232AA3">
              <w:rPr>
                <w:noProof/>
                <w:webHidden/>
              </w:rPr>
              <w:fldChar w:fldCharType="begin"/>
            </w:r>
            <w:r w:rsidR="00232AA3">
              <w:rPr>
                <w:noProof/>
                <w:webHidden/>
              </w:rPr>
              <w:instrText xml:space="preserve"> PAGEREF _Toc468692170 \h </w:instrText>
            </w:r>
            <w:r w:rsidR="00232AA3">
              <w:rPr>
                <w:noProof/>
                <w:webHidden/>
              </w:rPr>
            </w:r>
            <w:r w:rsidR="00232AA3">
              <w:rPr>
                <w:noProof/>
                <w:webHidden/>
              </w:rPr>
              <w:fldChar w:fldCharType="separate"/>
            </w:r>
            <w:r w:rsidR="00232AA3">
              <w:rPr>
                <w:noProof/>
                <w:webHidden/>
              </w:rPr>
              <w:t>6</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71" w:history="1">
            <w:r w:rsidR="00232AA3" w:rsidRPr="00BB17A0">
              <w:rPr>
                <w:rStyle w:val="Hyperlink"/>
                <w:noProof/>
              </w:rPr>
              <w:t>8.</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Inspection Findings</w:t>
            </w:r>
            <w:r w:rsidR="00232AA3">
              <w:rPr>
                <w:noProof/>
                <w:webHidden/>
              </w:rPr>
              <w:tab/>
            </w:r>
            <w:r w:rsidR="00232AA3">
              <w:rPr>
                <w:noProof/>
                <w:webHidden/>
              </w:rPr>
              <w:fldChar w:fldCharType="begin"/>
            </w:r>
            <w:r w:rsidR="00232AA3">
              <w:rPr>
                <w:noProof/>
                <w:webHidden/>
              </w:rPr>
              <w:instrText xml:space="preserve"> PAGEREF _Toc468692171 \h </w:instrText>
            </w:r>
            <w:r w:rsidR="00232AA3">
              <w:rPr>
                <w:noProof/>
                <w:webHidden/>
              </w:rPr>
            </w:r>
            <w:r w:rsidR="00232AA3">
              <w:rPr>
                <w:noProof/>
                <w:webHidden/>
              </w:rPr>
              <w:fldChar w:fldCharType="separate"/>
            </w:r>
            <w:r w:rsidR="00232AA3">
              <w:rPr>
                <w:noProof/>
                <w:webHidden/>
              </w:rPr>
              <w:t>6</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72" w:history="1">
            <w:r w:rsidR="00232AA3" w:rsidRPr="00BB17A0">
              <w:rPr>
                <w:rStyle w:val="Hyperlink"/>
                <w:noProof/>
              </w:rPr>
              <w:t>9.</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Summation Meeting</w:t>
            </w:r>
            <w:r w:rsidR="00232AA3">
              <w:rPr>
                <w:noProof/>
                <w:webHidden/>
              </w:rPr>
              <w:tab/>
            </w:r>
            <w:r w:rsidR="00232AA3">
              <w:rPr>
                <w:noProof/>
                <w:webHidden/>
              </w:rPr>
              <w:fldChar w:fldCharType="begin"/>
            </w:r>
            <w:r w:rsidR="00232AA3">
              <w:rPr>
                <w:noProof/>
                <w:webHidden/>
              </w:rPr>
              <w:instrText xml:space="preserve"> PAGEREF _Toc468692172 \h </w:instrText>
            </w:r>
            <w:r w:rsidR="00232AA3">
              <w:rPr>
                <w:noProof/>
                <w:webHidden/>
              </w:rPr>
            </w:r>
            <w:r w:rsidR="00232AA3">
              <w:rPr>
                <w:noProof/>
                <w:webHidden/>
              </w:rPr>
              <w:fldChar w:fldCharType="separate"/>
            </w:r>
            <w:r w:rsidR="00232AA3">
              <w:rPr>
                <w:noProof/>
                <w:webHidden/>
              </w:rPr>
              <w:t>7</w:t>
            </w:r>
            <w:r w:rsidR="00232AA3">
              <w:rPr>
                <w:noProof/>
                <w:webHidden/>
              </w:rPr>
              <w:fldChar w:fldCharType="end"/>
            </w:r>
          </w:hyperlink>
        </w:p>
        <w:p w:rsidR="00232AA3" w:rsidRDefault="00832068">
          <w:pPr>
            <w:pStyle w:val="TOC1"/>
            <w:rPr>
              <w:rFonts w:asciiTheme="minorHAnsi" w:eastAsiaTheme="minorEastAsia" w:hAnsiTheme="minorHAnsi" w:cstheme="minorBidi"/>
              <w:b w:val="0"/>
              <w:noProof/>
              <w:sz w:val="22"/>
              <w:szCs w:val="22"/>
              <w:lang w:eastAsia="en-NZ"/>
            </w:rPr>
          </w:pPr>
          <w:hyperlink w:anchor="_Toc468692173" w:history="1">
            <w:r w:rsidR="00232AA3" w:rsidRPr="00BB17A0">
              <w:rPr>
                <w:rStyle w:val="Hyperlink"/>
                <w:noProof/>
              </w:rPr>
              <w:t>10.</w:t>
            </w:r>
            <w:r w:rsidR="00232AA3">
              <w:rPr>
                <w:rFonts w:asciiTheme="minorHAnsi" w:eastAsiaTheme="minorEastAsia" w:hAnsiTheme="minorHAnsi" w:cstheme="minorBidi"/>
                <w:b w:val="0"/>
                <w:noProof/>
                <w:sz w:val="22"/>
                <w:szCs w:val="22"/>
                <w:lang w:eastAsia="en-NZ"/>
              </w:rPr>
              <w:tab/>
            </w:r>
            <w:r w:rsidR="00232AA3" w:rsidRPr="00BB17A0">
              <w:rPr>
                <w:rStyle w:val="Hyperlink"/>
                <w:noProof/>
              </w:rPr>
              <w:t>Conclusion</w:t>
            </w:r>
            <w:r w:rsidR="00232AA3">
              <w:rPr>
                <w:noProof/>
                <w:webHidden/>
              </w:rPr>
              <w:tab/>
            </w:r>
            <w:r w:rsidR="00232AA3">
              <w:rPr>
                <w:noProof/>
                <w:webHidden/>
              </w:rPr>
              <w:fldChar w:fldCharType="begin"/>
            </w:r>
            <w:r w:rsidR="00232AA3">
              <w:rPr>
                <w:noProof/>
                <w:webHidden/>
              </w:rPr>
              <w:instrText xml:space="preserve"> PAGEREF _Toc468692173 \h </w:instrText>
            </w:r>
            <w:r w:rsidR="00232AA3">
              <w:rPr>
                <w:noProof/>
                <w:webHidden/>
              </w:rPr>
            </w:r>
            <w:r w:rsidR="00232AA3">
              <w:rPr>
                <w:noProof/>
                <w:webHidden/>
              </w:rPr>
              <w:fldChar w:fldCharType="separate"/>
            </w:r>
            <w:r w:rsidR="00232AA3">
              <w:rPr>
                <w:noProof/>
                <w:webHidden/>
              </w:rPr>
              <w:t>7</w:t>
            </w:r>
            <w:r w:rsidR="00232AA3">
              <w:rPr>
                <w:noProof/>
                <w:webHidden/>
              </w:rPr>
              <w:fldChar w:fldCharType="end"/>
            </w:r>
          </w:hyperlink>
        </w:p>
        <w:p w:rsidR="00D55F6B" w:rsidRDefault="00D55F6B">
          <w:r>
            <w:rPr>
              <w:b/>
            </w:rPr>
            <w:fldChar w:fldCharType="end"/>
          </w:r>
        </w:p>
      </w:sdtContent>
    </w:sdt>
    <w:p w:rsidR="00D55F6B" w:rsidRDefault="00D55F6B" w:rsidP="00D55F6B"/>
    <w:p w:rsidR="00D55F6B" w:rsidRDefault="00D55F6B" w:rsidP="00D55F6B">
      <w:pPr>
        <w:sectPr w:rsidR="00D55F6B" w:rsidSect="00E325BD">
          <w:pgSz w:w="11906" w:h="16838" w:code="9"/>
          <w:pgMar w:top="1134" w:right="1134" w:bottom="1134" w:left="1134" w:header="709" w:footer="284" w:gutter="0"/>
          <w:cols w:space="708"/>
          <w:titlePg/>
          <w:docGrid w:linePitch="360"/>
        </w:sectPr>
      </w:pPr>
    </w:p>
    <w:p w:rsidR="00E1551C" w:rsidRPr="003553C8" w:rsidRDefault="00E1551C" w:rsidP="003553C8">
      <w:pPr>
        <w:pStyle w:val="Heading1"/>
      </w:pPr>
      <w:bookmarkStart w:id="2" w:name="_Toc222299916"/>
      <w:bookmarkStart w:id="3" w:name="_Toc351967190"/>
      <w:bookmarkStart w:id="4" w:name="_Toc468692164"/>
      <w:r w:rsidRPr="003553C8">
        <w:lastRenderedPageBreak/>
        <w:t>Provider Details</w:t>
      </w:r>
      <w:bookmarkEnd w:id="2"/>
      <w:bookmarkEnd w:id="3"/>
      <w:bookmarkEnd w:id="4"/>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552"/>
        <w:gridCol w:w="6946"/>
      </w:tblGrid>
      <w:tr w:rsidR="00E1551C" w:rsidTr="00E325BD">
        <w:tc>
          <w:tcPr>
            <w:tcW w:w="2552" w:type="dxa"/>
          </w:tcPr>
          <w:p w:rsidR="00E1551C" w:rsidRPr="001B07CA" w:rsidRDefault="0066773E" w:rsidP="001B07CA">
            <w:pPr>
              <w:pStyle w:val="BodyText"/>
              <w:spacing w:before="60" w:after="60"/>
            </w:pPr>
            <w:r>
              <w:t>Certificate:</w:t>
            </w:r>
          </w:p>
        </w:tc>
        <w:tc>
          <w:tcPr>
            <w:tcW w:w="6946" w:type="dxa"/>
          </w:tcPr>
          <w:p w:rsidR="00E1551C" w:rsidRPr="001B07CA" w:rsidRDefault="0041624F" w:rsidP="00A165DC">
            <w:pPr>
              <w:pStyle w:val="BodyText"/>
              <w:spacing w:before="60" w:after="60"/>
            </w:pPr>
            <w:bookmarkStart w:id="5" w:name="PRMS_RIName1"/>
            <w:bookmarkEnd w:id="5"/>
            <w:r>
              <w:t>Three years: 1 July 2015 – 01 July 2018</w:t>
            </w:r>
          </w:p>
        </w:tc>
      </w:tr>
      <w:tr w:rsidR="001B7524" w:rsidTr="00E325BD">
        <w:tc>
          <w:tcPr>
            <w:tcW w:w="2552" w:type="dxa"/>
          </w:tcPr>
          <w:p w:rsidR="001B7524" w:rsidRPr="001B07CA" w:rsidRDefault="001B7524" w:rsidP="001B07CA">
            <w:pPr>
              <w:pStyle w:val="BodyText"/>
              <w:spacing w:before="60" w:after="60"/>
            </w:pPr>
            <w:r>
              <w:t>Premises:</w:t>
            </w:r>
          </w:p>
        </w:tc>
        <w:tc>
          <w:tcPr>
            <w:tcW w:w="6946" w:type="dxa"/>
          </w:tcPr>
          <w:p w:rsidR="001B7524" w:rsidRPr="001B07CA" w:rsidRDefault="0041624F" w:rsidP="00FB2999">
            <w:pPr>
              <w:pStyle w:val="BodyText"/>
              <w:spacing w:before="60" w:after="60"/>
            </w:pPr>
            <w:bookmarkStart w:id="6" w:name="PRMS_PremisesAudited"/>
            <w:bookmarkEnd w:id="6"/>
            <w:r>
              <w:t>Radius Elloughton</w:t>
            </w:r>
            <w:r w:rsidR="00F455AB">
              <w:t xml:space="preserve"> Gardens</w:t>
            </w:r>
          </w:p>
        </w:tc>
      </w:tr>
      <w:tr w:rsidR="00E1551C" w:rsidTr="00E325BD">
        <w:tc>
          <w:tcPr>
            <w:tcW w:w="2552" w:type="dxa"/>
          </w:tcPr>
          <w:p w:rsidR="00E1551C" w:rsidRPr="001B07CA" w:rsidRDefault="00E1551C" w:rsidP="001B07CA">
            <w:pPr>
              <w:pStyle w:val="BodyText"/>
              <w:spacing w:before="60" w:after="60"/>
            </w:pPr>
            <w:r w:rsidRPr="001B07CA">
              <w:t>Premise</w:t>
            </w:r>
            <w:r w:rsidR="0066773E">
              <w:t>s</w:t>
            </w:r>
            <w:r w:rsidR="00A01B78">
              <w:t xml:space="preserve"> Address</w:t>
            </w:r>
            <w:r w:rsidRPr="001B07CA">
              <w:t>:</w:t>
            </w:r>
          </w:p>
        </w:tc>
        <w:tc>
          <w:tcPr>
            <w:tcW w:w="6946" w:type="dxa"/>
          </w:tcPr>
          <w:p w:rsidR="00E1551C" w:rsidRPr="001B07CA" w:rsidRDefault="0041624F" w:rsidP="001B07CA">
            <w:pPr>
              <w:pStyle w:val="BodyText"/>
              <w:spacing w:before="60" w:after="60"/>
            </w:pPr>
            <w:r w:rsidRPr="0041624F">
              <w:t>1 Pages Road</w:t>
            </w:r>
            <w:r>
              <w:t xml:space="preserve">, </w:t>
            </w:r>
            <w:r w:rsidRPr="0041624F">
              <w:t>Marchwiel</w:t>
            </w:r>
            <w:r>
              <w:t>, Timaru</w:t>
            </w:r>
          </w:p>
        </w:tc>
      </w:tr>
      <w:tr w:rsidR="00E1551C" w:rsidTr="00E325BD">
        <w:tc>
          <w:tcPr>
            <w:tcW w:w="2552" w:type="dxa"/>
          </w:tcPr>
          <w:p w:rsidR="00E1551C" w:rsidRPr="001B07CA" w:rsidRDefault="00E1551C" w:rsidP="001B07CA">
            <w:pPr>
              <w:pStyle w:val="BodyText"/>
              <w:spacing w:before="60" w:after="60"/>
            </w:pPr>
            <w:r w:rsidRPr="001B07CA">
              <w:t>Contact Person:</w:t>
            </w:r>
          </w:p>
        </w:tc>
        <w:tc>
          <w:tcPr>
            <w:tcW w:w="6946" w:type="dxa"/>
          </w:tcPr>
          <w:p w:rsidR="00E1551C" w:rsidRPr="001B07CA" w:rsidRDefault="00B73F8D" w:rsidP="00EC4A3A">
            <w:pPr>
              <w:pStyle w:val="BodyText"/>
              <w:spacing w:before="60" w:after="60"/>
            </w:pPr>
            <w:r w:rsidRPr="00757138">
              <w:rPr>
                <w:highlight w:val="black"/>
              </w:rPr>
              <w:t>XXXXXX</w:t>
            </w:r>
          </w:p>
        </w:tc>
      </w:tr>
      <w:tr w:rsidR="00E1551C" w:rsidTr="00E325BD">
        <w:tc>
          <w:tcPr>
            <w:tcW w:w="2552" w:type="dxa"/>
          </w:tcPr>
          <w:p w:rsidR="00E1551C" w:rsidRPr="001B07CA" w:rsidRDefault="00E1551C" w:rsidP="0066773E">
            <w:pPr>
              <w:pStyle w:val="BodyText"/>
              <w:spacing w:before="60" w:after="60"/>
            </w:pPr>
            <w:r w:rsidRPr="00335E04">
              <w:t>Internal Ref:</w:t>
            </w:r>
          </w:p>
        </w:tc>
        <w:tc>
          <w:tcPr>
            <w:tcW w:w="6946" w:type="dxa"/>
          </w:tcPr>
          <w:p w:rsidR="00E1551C" w:rsidRPr="001B07CA" w:rsidRDefault="00E1551C" w:rsidP="001B07CA">
            <w:pPr>
              <w:pStyle w:val="BodyText"/>
              <w:spacing w:before="60" w:after="60"/>
            </w:pPr>
            <w:bookmarkStart w:id="7" w:name="CmAcmCaseIdentifier"/>
            <w:bookmarkEnd w:id="7"/>
          </w:p>
        </w:tc>
      </w:tr>
      <w:tr w:rsidR="00E1551C" w:rsidTr="00E325BD">
        <w:tc>
          <w:tcPr>
            <w:tcW w:w="2552" w:type="dxa"/>
          </w:tcPr>
          <w:p w:rsidR="00E1551C" w:rsidRPr="001B07CA" w:rsidRDefault="00E1551C" w:rsidP="001B07CA">
            <w:pPr>
              <w:pStyle w:val="BodyText"/>
              <w:spacing w:before="60" w:after="60"/>
            </w:pPr>
            <w:r w:rsidRPr="001B07CA">
              <w:t>Inspection Date:</w:t>
            </w:r>
          </w:p>
        </w:tc>
        <w:tc>
          <w:tcPr>
            <w:tcW w:w="6946" w:type="dxa"/>
          </w:tcPr>
          <w:p w:rsidR="00E1551C" w:rsidRPr="001B07CA" w:rsidRDefault="0041624F" w:rsidP="001B07CA">
            <w:pPr>
              <w:pStyle w:val="BodyText"/>
              <w:spacing w:before="60" w:after="60"/>
            </w:pPr>
            <w:bookmarkStart w:id="8" w:name="AuditStartDate1"/>
            <w:bookmarkEnd w:id="8"/>
            <w:r>
              <w:t>30 November 2016</w:t>
            </w:r>
          </w:p>
        </w:tc>
      </w:tr>
    </w:tbl>
    <w:p w:rsidR="00E1551C" w:rsidRPr="003553C8" w:rsidRDefault="00E1551C" w:rsidP="003553C8">
      <w:pPr>
        <w:pStyle w:val="Heading1"/>
      </w:pPr>
      <w:bookmarkStart w:id="9" w:name="_Toc351967191"/>
      <w:bookmarkStart w:id="10" w:name="_Toc468692165"/>
      <w:r w:rsidRPr="003553C8">
        <w:t>Executive Summary</w:t>
      </w:r>
      <w:bookmarkEnd w:id="9"/>
      <w:bookmarkEnd w:id="10"/>
    </w:p>
    <w:p w:rsidR="0041624F" w:rsidRDefault="0041624F" w:rsidP="0041624F">
      <w:r>
        <w:t xml:space="preserve">The Ministry of Health received information which alleged </w:t>
      </w:r>
      <w:r w:rsidRPr="0041624F">
        <w:rPr>
          <w:rFonts w:cs="Arial"/>
          <w:bCs/>
        </w:rPr>
        <w:t xml:space="preserve">Radius Residential Care Limited </w:t>
      </w:r>
      <w:r>
        <w:t xml:space="preserve">could be in breach of its obligations as a certified provider under the Health and Disability Services Act (2001) to provide services at </w:t>
      </w:r>
      <w:r w:rsidRPr="0041624F">
        <w:rPr>
          <w:rFonts w:cs="Arial"/>
        </w:rPr>
        <w:t>Radius Elloughton Gardens</w:t>
      </w:r>
      <w:r>
        <w:t xml:space="preserve">.  </w:t>
      </w:r>
    </w:p>
    <w:p w:rsidR="0041624F" w:rsidRDefault="0041624F" w:rsidP="0041624F">
      <w:pPr>
        <w:pStyle w:val="TextBody"/>
        <w:spacing w:line="240" w:lineRule="auto"/>
      </w:pPr>
      <w:r>
        <w:t xml:space="preserve">On receipt of the information, the DHB contacted the Ministry to discuss the concerns raised. The concerns related to </w:t>
      </w:r>
      <w:r w:rsidRPr="009D3592">
        <w:t>clinical care of residents.</w:t>
      </w:r>
      <w:r>
        <w:t xml:space="preserve">  A decision was made by the Ministry and DHB to undertake an unannounced inspection to assess aspects of the relevant Health and Disability Services Standards (2008).  </w:t>
      </w:r>
    </w:p>
    <w:p w:rsidR="0041624F" w:rsidRDefault="0041624F" w:rsidP="0041624F">
      <w:pPr>
        <w:pStyle w:val="TextBody"/>
        <w:spacing w:line="240" w:lineRule="auto"/>
      </w:pPr>
      <w:r>
        <w:t xml:space="preserve">The inspection was completed </w:t>
      </w:r>
      <w:r w:rsidR="00F03A22">
        <w:t xml:space="preserve">at </w:t>
      </w:r>
      <w:r w:rsidR="00F03A22" w:rsidRPr="0041624F">
        <w:t>Radius Elloughton Gardens</w:t>
      </w:r>
      <w:r w:rsidR="00F03A22">
        <w:t xml:space="preserve"> </w:t>
      </w:r>
      <w:r>
        <w:t xml:space="preserve">on 30 November 2016. The inspection was completed by the Ministry in accordance with sections 40, 41, and 43 of the Act. </w:t>
      </w:r>
      <w:r w:rsidR="00232AA3">
        <w:t xml:space="preserve">There were two clinical staff from </w:t>
      </w:r>
      <w:r w:rsidR="00455B8A">
        <w:t>South Canterbury</w:t>
      </w:r>
      <w:r>
        <w:t xml:space="preserve"> DHB</w:t>
      </w:r>
      <w:r w:rsidR="00455B8A">
        <w:t xml:space="preserve"> </w:t>
      </w:r>
      <w:r w:rsidR="00335E04">
        <w:t>(two)</w:t>
      </w:r>
      <w:r>
        <w:t xml:space="preserve"> also on the inspection.</w:t>
      </w:r>
    </w:p>
    <w:p w:rsidR="0041624F" w:rsidRDefault="0041624F" w:rsidP="0041624F">
      <w:pPr>
        <w:pStyle w:val="TextBody"/>
        <w:spacing w:line="240" w:lineRule="auto"/>
      </w:pPr>
      <w:r>
        <w:t>The focus of the inspection was to assess</w:t>
      </w:r>
      <w:r w:rsidR="00335E04">
        <w:t xml:space="preserve"> </w:t>
      </w:r>
      <w:r w:rsidR="00232AA3">
        <w:t xml:space="preserve">that </w:t>
      </w:r>
      <w:r w:rsidR="00335E04">
        <w:t xml:space="preserve">the required standard was being met in respect of </w:t>
      </w:r>
      <w:r w:rsidR="009D3592">
        <w:t xml:space="preserve">complaint </w:t>
      </w:r>
      <w:r w:rsidR="00F03A22">
        <w:t xml:space="preserve">and incident </w:t>
      </w:r>
      <w:r w:rsidR="009D3592">
        <w:t>management,</w:t>
      </w:r>
      <w:r w:rsidR="00F03A22">
        <w:t xml:space="preserve"> staffing,</w:t>
      </w:r>
      <w:r w:rsidR="009D3592">
        <w:t xml:space="preserve"> and </w:t>
      </w:r>
      <w:r w:rsidRPr="009D3592">
        <w:t xml:space="preserve">clinical care. </w:t>
      </w:r>
      <w:r>
        <w:t xml:space="preserve">The inspection team reviewed </w:t>
      </w:r>
      <w:r w:rsidR="00455B8A">
        <w:t>six</w:t>
      </w:r>
      <w:r>
        <w:t xml:space="preserve"> resident files</w:t>
      </w:r>
      <w:r w:rsidR="004F0505">
        <w:t xml:space="preserve"> and six staff </w:t>
      </w:r>
      <w:r w:rsidR="004F0505">
        <w:lastRenderedPageBreak/>
        <w:t>files,</w:t>
      </w:r>
      <w:r>
        <w:t xml:space="preserve"> interviewed 1</w:t>
      </w:r>
      <w:r w:rsidR="00455B8A">
        <w:t>2</w:t>
      </w:r>
      <w:r>
        <w:t xml:space="preserve"> staff and undertook conversations with residents and families. </w:t>
      </w:r>
    </w:p>
    <w:p w:rsidR="0041624F" w:rsidRDefault="0041624F" w:rsidP="0041624F">
      <w:pPr>
        <w:pStyle w:val="TextBody"/>
        <w:spacing w:line="240" w:lineRule="auto"/>
      </w:pPr>
      <w:r>
        <w:t xml:space="preserve">On the basis of the evidence reviewed during the inspection, </w:t>
      </w:r>
      <w:r w:rsidR="00546E13">
        <w:t xml:space="preserve">Radius Elloughton Gardens </w:t>
      </w:r>
      <w:r>
        <w:t xml:space="preserve">did not fully comply with </w:t>
      </w:r>
      <w:r w:rsidR="00455B8A">
        <w:t>two</w:t>
      </w:r>
      <w:r>
        <w:t xml:space="preserve"> of the Health and Disability Services Standards (NZS 8134:2008). The partially attained standards related to: complaints management</w:t>
      </w:r>
      <w:r w:rsidR="00455B8A">
        <w:t xml:space="preserve"> and </w:t>
      </w:r>
      <w:r>
        <w:t>medication management.</w:t>
      </w:r>
    </w:p>
    <w:p w:rsidR="0041624F" w:rsidRDefault="0041624F" w:rsidP="0041624F">
      <w:pPr>
        <w:pStyle w:val="TextBody"/>
        <w:spacing w:line="240" w:lineRule="auto"/>
      </w:pPr>
      <w:r>
        <w:t xml:space="preserve">Ongoing monitoring will be undertaken by </w:t>
      </w:r>
      <w:r w:rsidR="00455B8A">
        <w:t xml:space="preserve">South </w:t>
      </w:r>
      <w:r>
        <w:t>Canterbury DHB.</w:t>
      </w:r>
    </w:p>
    <w:p w:rsidR="00E1551C" w:rsidRPr="001F131D" w:rsidRDefault="00E1551C" w:rsidP="001B07CA">
      <w:pPr>
        <w:pStyle w:val="Heading1"/>
      </w:pPr>
      <w:bookmarkStart w:id="11" w:name="_Toc222299918"/>
      <w:bookmarkStart w:id="12" w:name="_Toc348361833"/>
      <w:bookmarkStart w:id="13" w:name="_Toc351967197"/>
      <w:bookmarkStart w:id="14" w:name="_Toc468692166"/>
      <w:r w:rsidRPr="001F131D">
        <w:t>Background</w:t>
      </w:r>
      <w:bookmarkEnd w:id="11"/>
      <w:bookmarkEnd w:id="12"/>
      <w:bookmarkEnd w:id="13"/>
      <w:bookmarkEnd w:id="14"/>
    </w:p>
    <w:p w:rsidR="001413D1" w:rsidRDefault="001413D1" w:rsidP="001413D1">
      <w:pPr>
        <w:spacing w:before="240"/>
        <w:rPr>
          <w:rFonts w:cs="Arial"/>
          <w:b/>
          <w:bCs/>
        </w:rPr>
      </w:pPr>
      <w:r>
        <w:rPr>
          <w:rFonts w:cs="Arial"/>
          <w:b/>
          <w:bCs/>
        </w:rPr>
        <w:t>Law:</w:t>
      </w:r>
    </w:p>
    <w:p w:rsidR="001413D1" w:rsidRDefault="001413D1" w:rsidP="001413D1">
      <w:pPr>
        <w:spacing w:before="240"/>
        <w:rPr>
          <w:rFonts w:cs="Arial"/>
          <w:bCs/>
          <w:color w:val="000000"/>
        </w:rPr>
      </w:pPr>
      <w:r>
        <w:rPr>
          <w:rFonts w:cs="Arial"/>
          <w:bCs/>
          <w:color w:val="000000"/>
        </w:rPr>
        <w:t>Providers of health care services must be certified by the Director-General of Health (Sections 9(a) and 26 of the Act) and must comply with all relevant health and disability service standards (Section 9(b)).</w:t>
      </w:r>
    </w:p>
    <w:p w:rsidR="001413D1" w:rsidRDefault="001413D1" w:rsidP="001413D1">
      <w:pPr>
        <w:spacing w:before="240"/>
        <w:rPr>
          <w:rFonts w:cs="Arial"/>
          <w:bCs/>
          <w:color w:val="000000"/>
        </w:rPr>
      </w:pPr>
      <w:r>
        <w:rPr>
          <w:rFonts w:cs="Arial"/>
          <w:bCs/>
          <w:color w:val="000000"/>
        </w:rPr>
        <w:t>The relevant service standards are approved under the Health and Disability Services (Safety) Notice 2008.  The standard approved is the Health and Disability Services Standards NZS 8134:2008.</w:t>
      </w:r>
    </w:p>
    <w:p w:rsidR="001413D1" w:rsidRDefault="001413D1" w:rsidP="001413D1">
      <w:pPr>
        <w:pStyle w:val="TextBody"/>
        <w:rPr>
          <w:b/>
        </w:rPr>
      </w:pPr>
      <w:r w:rsidRPr="00AB4C7B">
        <w:rPr>
          <w:b/>
        </w:rPr>
        <w:t>Facts:</w:t>
      </w:r>
    </w:p>
    <w:p w:rsidR="00B53B74" w:rsidRDefault="00B53B74" w:rsidP="00B53B74">
      <w:pPr>
        <w:pStyle w:val="TextBody"/>
        <w:numPr>
          <w:ilvl w:val="0"/>
          <w:numId w:val="31"/>
        </w:numPr>
        <w:rPr>
          <w:b/>
        </w:rPr>
      </w:pPr>
      <w:r>
        <w:rPr>
          <w:b/>
        </w:rPr>
        <w:t xml:space="preserve">Governance </w:t>
      </w:r>
    </w:p>
    <w:p w:rsidR="00AB4C7B" w:rsidRDefault="00B53B74" w:rsidP="00B53B74">
      <w:pPr>
        <w:pStyle w:val="TextBody"/>
        <w:spacing w:line="240" w:lineRule="auto"/>
        <w:ind w:left="360"/>
        <w:rPr>
          <w:rStyle w:val="BodyTextChar"/>
        </w:rPr>
      </w:pPr>
      <w:r w:rsidRPr="0041624F">
        <w:t>Radius Elloughton Gardens</w:t>
      </w:r>
      <w:r>
        <w:t xml:space="preserve"> is part of the Radius Residential Care Limited group</w:t>
      </w:r>
      <w:r>
        <w:rPr>
          <w:rStyle w:val="BodyTextChar"/>
        </w:rPr>
        <w:t xml:space="preserve">.  The Facility Manager </w:t>
      </w:r>
      <w:r w:rsidR="00F44BAD">
        <w:rPr>
          <w:rStyle w:val="BodyTextChar"/>
        </w:rPr>
        <w:t>(FM)</w:t>
      </w:r>
      <w:r w:rsidR="00F03A22">
        <w:rPr>
          <w:rStyle w:val="BodyTextChar"/>
        </w:rPr>
        <w:t xml:space="preserve">, who is non-clinical, </w:t>
      </w:r>
      <w:r>
        <w:rPr>
          <w:rStyle w:val="BodyTextChar"/>
        </w:rPr>
        <w:t>has been in post since June 2015</w:t>
      </w:r>
      <w:r w:rsidR="00F44BAD">
        <w:rPr>
          <w:rStyle w:val="BodyTextChar"/>
        </w:rPr>
        <w:t xml:space="preserve"> and is </w:t>
      </w:r>
      <w:r>
        <w:rPr>
          <w:rStyle w:val="BodyTextChar"/>
        </w:rPr>
        <w:t>supported by a Clinical Nurse Manager</w:t>
      </w:r>
      <w:r w:rsidR="00F44BAD">
        <w:rPr>
          <w:rStyle w:val="BodyTextChar"/>
        </w:rPr>
        <w:t xml:space="preserve"> (CNM)</w:t>
      </w:r>
      <w:r>
        <w:rPr>
          <w:rStyle w:val="BodyTextChar"/>
        </w:rPr>
        <w:t xml:space="preserve"> who was appointed in March 2016</w:t>
      </w:r>
      <w:r w:rsidR="0054647B">
        <w:rPr>
          <w:rStyle w:val="BodyTextChar"/>
        </w:rPr>
        <w:t>. This is</w:t>
      </w:r>
      <w:r w:rsidR="00F44BAD">
        <w:rPr>
          <w:rStyle w:val="BodyTextChar"/>
        </w:rPr>
        <w:t xml:space="preserve"> her first CNM role</w:t>
      </w:r>
      <w:r>
        <w:rPr>
          <w:rStyle w:val="BodyTextChar"/>
        </w:rPr>
        <w:t xml:space="preserve">. </w:t>
      </w:r>
      <w:r w:rsidR="00F44BAD" w:rsidRPr="0041624F">
        <w:t>Radius Elloughton Gardens</w:t>
      </w:r>
      <w:r>
        <w:rPr>
          <w:rStyle w:val="BodyTextChar"/>
        </w:rPr>
        <w:t xml:space="preserve"> provides rest home and hospital level care </w:t>
      </w:r>
      <w:r>
        <w:rPr>
          <w:rStyle w:val="BodyTextChar"/>
        </w:rPr>
        <w:lastRenderedPageBreak/>
        <w:t xml:space="preserve">for up to </w:t>
      </w:r>
      <w:r w:rsidR="00F44BAD">
        <w:rPr>
          <w:rStyle w:val="BodyTextChar"/>
        </w:rPr>
        <w:t>5</w:t>
      </w:r>
      <w:r>
        <w:rPr>
          <w:rStyle w:val="BodyTextChar"/>
        </w:rPr>
        <w:t xml:space="preserve">9 residents. On the day of the inspection there were </w:t>
      </w:r>
      <w:r w:rsidR="00EC4A3A">
        <w:rPr>
          <w:rStyle w:val="BodyTextChar"/>
        </w:rPr>
        <w:t>17</w:t>
      </w:r>
      <w:r>
        <w:rPr>
          <w:rStyle w:val="BodyTextChar"/>
        </w:rPr>
        <w:t xml:space="preserve"> rest home</w:t>
      </w:r>
      <w:r w:rsidR="00F44BAD">
        <w:rPr>
          <w:rStyle w:val="BodyTextChar"/>
        </w:rPr>
        <w:t xml:space="preserve"> and 3</w:t>
      </w:r>
      <w:r w:rsidR="00EC4A3A">
        <w:rPr>
          <w:rStyle w:val="BodyTextChar"/>
        </w:rPr>
        <w:t>8</w:t>
      </w:r>
      <w:r w:rsidR="00F44BAD">
        <w:rPr>
          <w:rStyle w:val="BodyTextChar"/>
        </w:rPr>
        <w:t xml:space="preserve"> hospital level residents. </w:t>
      </w:r>
      <w:r w:rsidR="00AB4C7B">
        <w:rPr>
          <w:rStyle w:val="BodyTextChar"/>
        </w:rPr>
        <w:t>Interviews with staff, residents</w:t>
      </w:r>
      <w:r w:rsidR="00286F96">
        <w:rPr>
          <w:rStyle w:val="BodyTextChar"/>
        </w:rPr>
        <w:t>,</w:t>
      </w:r>
      <w:r w:rsidR="00AB4C7B">
        <w:rPr>
          <w:rStyle w:val="BodyTextChar"/>
        </w:rPr>
        <w:t xml:space="preserve"> and family reported this relatively new management team have made noticeable improvement to the overall </w:t>
      </w:r>
      <w:r w:rsidR="0054647B">
        <w:rPr>
          <w:rStyle w:val="BodyTextChar"/>
        </w:rPr>
        <w:t>service</w:t>
      </w:r>
      <w:r w:rsidR="00AB4C7B">
        <w:rPr>
          <w:rStyle w:val="BodyTextChar"/>
        </w:rPr>
        <w:t xml:space="preserve"> being provided at </w:t>
      </w:r>
      <w:r w:rsidR="00AB4C7B" w:rsidRPr="0041624F">
        <w:t>Radius Elloughton Gardens</w:t>
      </w:r>
      <w:r w:rsidR="00AB4C7B">
        <w:t>.</w:t>
      </w:r>
    </w:p>
    <w:p w:rsidR="00AB4C7B" w:rsidRPr="009D434D" w:rsidRDefault="00AB4C7B" w:rsidP="00AB4C7B">
      <w:pPr>
        <w:pStyle w:val="TextBody"/>
        <w:numPr>
          <w:ilvl w:val="0"/>
          <w:numId w:val="31"/>
        </w:numPr>
        <w:rPr>
          <w:b/>
        </w:rPr>
      </w:pPr>
      <w:r w:rsidRPr="009D434D">
        <w:rPr>
          <w:b/>
        </w:rPr>
        <w:t xml:space="preserve">Quality and Risk Management Systems </w:t>
      </w:r>
    </w:p>
    <w:p w:rsidR="00754FD0" w:rsidRDefault="009635A1" w:rsidP="00AB4C7B">
      <w:pPr>
        <w:pStyle w:val="TextBody"/>
        <w:spacing w:line="240" w:lineRule="auto"/>
        <w:ind w:left="360"/>
      </w:pPr>
      <w:r w:rsidRPr="009635A1">
        <w:t xml:space="preserve">Aspects </w:t>
      </w:r>
      <w:r>
        <w:t xml:space="preserve">of </w:t>
      </w:r>
      <w:r w:rsidRPr="009635A1">
        <w:t xml:space="preserve">the provider’s quality and risk framework reviewed during this inspection included: complaints management and incident reporting. </w:t>
      </w:r>
    </w:p>
    <w:p w:rsidR="00AB4C7B" w:rsidRDefault="009D434D" w:rsidP="00AB4C7B">
      <w:pPr>
        <w:pStyle w:val="TextBody"/>
        <w:spacing w:line="240" w:lineRule="auto"/>
        <w:ind w:left="360"/>
        <w:rPr>
          <w:rStyle w:val="BodyTextChar"/>
        </w:rPr>
      </w:pPr>
      <w:r>
        <w:rPr>
          <w:rStyle w:val="BodyTextChar"/>
        </w:rPr>
        <w:t>The complaint register was reviewed and recorded 18 complaints for the 2</w:t>
      </w:r>
      <w:r w:rsidR="009E4808">
        <w:rPr>
          <w:rStyle w:val="BodyTextChar"/>
        </w:rPr>
        <w:t xml:space="preserve">016 year. Of the 18 complaints </w:t>
      </w:r>
      <w:r>
        <w:rPr>
          <w:rStyle w:val="BodyTextChar"/>
        </w:rPr>
        <w:t xml:space="preserve">11 had been substantiated, two were recorded as </w:t>
      </w:r>
      <w:r w:rsidR="009E4808">
        <w:rPr>
          <w:rStyle w:val="BodyTextChar"/>
        </w:rPr>
        <w:t>‘</w:t>
      </w:r>
      <w:r>
        <w:rPr>
          <w:rStyle w:val="BodyTextChar"/>
        </w:rPr>
        <w:t>not substantiated</w:t>
      </w:r>
      <w:r w:rsidR="009E4808">
        <w:rPr>
          <w:rStyle w:val="BodyTextChar"/>
        </w:rPr>
        <w:t>’</w:t>
      </w:r>
      <w:r>
        <w:rPr>
          <w:rStyle w:val="BodyTextChar"/>
        </w:rPr>
        <w:t xml:space="preserve">, one had been ‘withdrawn’ and four did not record an outcome. The </w:t>
      </w:r>
      <w:r w:rsidR="009F6B9E">
        <w:rPr>
          <w:rStyle w:val="BodyTextChar"/>
        </w:rPr>
        <w:t xml:space="preserve">complaints </w:t>
      </w:r>
      <w:r>
        <w:rPr>
          <w:rStyle w:val="BodyTextChar"/>
        </w:rPr>
        <w:t xml:space="preserve">register </w:t>
      </w:r>
      <w:r w:rsidR="009E4808">
        <w:rPr>
          <w:rStyle w:val="BodyTextChar"/>
        </w:rPr>
        <w:t>included</w:t>
      </w:r>
      <w:r>
        <w:rPr>
          <w:rStyle w:val="BodyTextChar"/>
        </w:rPr>
        <w:t xml:space="preserve"> a number of columns</w:t>
      </w:r>
      <w:r w:rsidR="004B0F01">
        <w:rPr>
          <w:rStyle w:val="BodyTextChar"/>
        </w:rPr>
        <w:t xml:space="preserve"> </w:t>
      </w:r>
      <w:r>
        <w:rPr>
          <w:rStyle w:val="BodyTextChar"/>
        </w:rPr>
        <w:t>– including if corrective actions had been identified and evaluated,</w:t>
      </w:r>
      <w:r w:rsidR="009635A1">
        <w:rPr>
          <w:rStyle w:val="BodyTextChar"/>
        </w:rPr>
        <w:t xml:space="preserve"> and,</w:t>
      </w:r>
      <w:r>
        <w:rPr>
          <w:rStyle w:val="BodyTextChar"/>
        </w:rPr>
        <w:t xml:space="preserve"> if the complaint had been signed out. There were gaps noted on the register and this is an area for improvement</w:t>
      </w:r>
      <w:r w:rsidR="00323716">
        <w:rPr>
          <w:rStyle w:val="BodyTextChar"/>
        </w:rPr>
        <w:t xml:space="preserve"> </w:t>
      </w:r>
      <w:r w:rsidR="00323716" w:rsidRPr="004B0F01">
        <w:t>(link finding 1.1.13)</w:t>
      </w:r>
      <w:r w:rsidRPr="004B0F01">
        <w:rPr>
          <w:rStyle w:val="BodyTextChar"/>
        </w:rPr>
        <w:t>.</w:t>
      </w:r>
      <w:r>
        <w:rPr>
          <w:rStyle w:val="BodyTextChar"/>
        </w:rPr>
        <w:t xml:space="preserve"> </w:t>
      </w:r>
      <w:r w:rsidR="0072175B">
        <w:rPr>
          <w:rStyle w:val="BodyTextChar"/>
        </w:rPr>
        <w:t>The complaints reviewed</w:t>
      </w:r>
      <w:r>
        <w:rPr>
          <w:rStyle w:val="BodyTextChar"/>
        </w:rPr>
        <w:t xml:space="preserve"> demonstrated follow-up by the service includ</w:t>
      </w:r>
      <w:r w:rsidR="0072175B">
        <w:rPr>
          <w:rStyle w:val="BodyTextChar"/>
        </w:rPr>
        <w:t>ing</w:t>
      </w:r>
      <w:r>
        <w:rPr>
          <w:rStyle w:val="BodyTextChar"/>
        </w:rPr>
        <w:t xml:space="preserve"> actions taken. There was evidence the improvements reported to the complainant were implemented – </w:t>
      </w:r>
      <w:r w:rsidR="0072175B">
        <w:rPr>
          <w:rStyle w:val="BodyTextChar"/>
        </w:rPr>
        <w:t xml:space="preserve">eg. </w:t>
      </w:r>
      <w:r>
        <w:rPr>
          <w:rStyle w:val="BodyTextChar"/>
        </w:rPr>
        <w:t xml:space="preserve"> </w:t>
      </w:r>
      <w:r w:rsidR="0072175B">
        <w:rPr>
          <w:rStyle w:val="BodyTextChar"/>
        </w:rPr>
        <w:t>Family</w:t>
      </w:r>
      <w:r>
        <w:rPr>
          <w:rStyle w:val="BodyTextChar"/>
        </w:rPr>
        <w:t xml:space="preserve"> notification following an incident, and staff training relating to resident care. </w:t>
      </w:r>
      <w:r w:rsidR="004B0F01">
        <w:rPr>
          <w:rStyle w:val="BodyTextChar"/>
        </w:rPr>
        <w:t xml:space="preserve">A complainant was interviewed who reported satisfaction with the way concerns were followed up. </w:t>
      </w:r>
      <w:r>
        <w:rPr>
          <w:rStyle w:val="BodyTextChar"/>
        </w:rPr>
        <w:t xml:space="preserve">There was one </w:t>
      </w:r>
      <w:r w:rsidR="0072175B">
        <w:rPr>
          <w:rStyle w:val="BodyTextChar"/>
        </w:rPr>
        <w:t>complaint</w:t>
      </w:r>
      <w:r>
        <w:rPr>
          <w:rStyle w:val="BodyTextChar"/>
        </w:rPr>
        <w:t xml:space="preserve"> where the Health and Disability Advocacy Service had supported a complainant </w:t>
      </w:r>
      <w:r w:rsidR="009635A1">
        <w:rPr>
          <w:rStyle w:val="BodyTextChar"/>
        </w:rPr>
        <w:t>through</w:t>
      </w:r>
      <w:r>
        <w:rPr>
          <w:rStyle w:val="BodyTextChar"/>
        </w:rPr>
        <w:t xml:space="preserve"> the process, a close out letter from the advocacy service </w:t>
      </w:r>
      <w:r w:rsidR="00BD7C66">
        <w:rPr>
          <w:rStyle w:val="BodyTextChar"/>
        </w:rPr>
        <w:t>was on file</w:t>
      </w:r>
      <w:r w:rsidR="00AB4C7B">
        <w:t xml:space="preserve">. </w:t>
      </w:r>
    </w:p>
    <w:p w:rsidR="003245B3" w:rsidRDefault="000D497B" w:rsidP="000D497B">
      <w:pPr>
        <w:pStyle w:val="TextBody"/>
        <w:spacing w:line="240" w:lineRule="auto"/>
        <w:ind w:left="360"/>
      </w:pPr>
      <w:r w:rsidRPr="000D497B">
        <w:t>Incident forms were completed for resident</w:t>
      </w:r>
      <w:r w:rsidR="00E838AF">
        <w:t>,</w:t>
      </w:r>
      <w:r w:rsidRPr="000D497B">
        <w:t xml:space="preserve"> and staff events. This inspection reviewed resident incidents only. A subset of the November incidents were reviewed, and </w:t>
      </w:r>
      <w:r w:rsidR="004B0F01">
        <w:t xml:space="preserve">were </w:t>
      </w:r>
      <w:r w:rsidRPr="000D497B">
        <w:t>noted to have been completed as prescribed</w:t>
      </w:r>
      <w:r w:rsidR="004B0F01">
        <w:t>. Incident reports</w:t>
      </w:r>
      <w:r w:rsidRPr="000D497B">
        <w:t xml:space="preserve"> </w:t>
      </w:r>
      <w:r w:rsidR="004B0F01">
        <w:t xml:space="preserve">had been </w:t>
      </w:r>
      <w:r w:rsidRPr="000D497B">
        <w:t xml:space="preserve">reviewed by the CNM with </w:t>
      </w:r>
      <w:r w:rsidRPr="000D497B">
        <w:lastRenderedPageBreak/>
        <w:t>corrective actions recorded. Family notification had been re</w:t>
      </w:r>
      <w:r w:rsidR="004B0F01">
        <w:t>c</w:t>
      </w:r>
      <w:r w:rsidRPr="000D497B">
        <w:t>or</w:t>
      </w:r>
      <w:r w:rsidR="004B0F01">
        <w:t>d</w:t>
      </w:r>
      <w:r w:rsidRPr="000D497B">
        <w:t>ed on all forms reviewed</w:t>
      </w:r>
      <w:r w:rsidR="00650263">
        <w:t xml:space="preserve">. Notification was </w:t>
      </w:r>
      <w:r w:rsidR="00177A56">
        <w:t>verified during interview</w:t>
      </w:r>
      <w:r w:rsidR="00E838AF">
        <w:t xml:space="preserve"> with residents and family</w:t>
      </w:r>
      <w:r w:rsidRPr="000D497B">
        <w:t xml:space="preserve">. Incidents were tracked to resident files confirming appropriate </w:t>
      </w:r>
      <w:r w:rsidR="00177A56">
        <w:t>clinical action taken</w:t>
      </w:r>
      <w:r w:rsidRPr="000D497B">
        <w:t xml:space="preserve">. </w:t>
      </w:r>
      <w:r w:rsidR="003245B3">
        <w:t>An example of a root cause analysis undertaken following an incident was reviewed with the CNM.</w:t>
      </w:r>
      <w:r w:rsidR="000703FC">
        <w:t xml:space="preserve"> Documentation indicated appropriate action taken.</w:t>
      </w:r>
    </w:p>
    <w:p w:rsidR="00BD59CF" w:rsidRPr="00532FDB" w:rsidRDefault="00BD59CF" w:rsidP="00BD59CF">
      <w:pPr>
        <w:pStyle w:val="TextBody"/>
        <w:numPr>
          <w:ilvl w:val="0"/>
          <w:numId w:val="31"/>
        </w:numPr>
        <w:rPr>
          <w:b/>
        </w:rPr>
      </w:pPr>
      <w:r w:rsidRPr="00532FDB">
        <w:rPr>
          <w:b/>
        </w:rPr>
        <w:t xml:space="preserve">Human Resource Management </w:t>
      </w:r>
    </w:p>
    <w:p w:rsidR="000912E7" w:rsidRDefault="00BD59CF" w:rsidP="00BD59CF">
      <w:pPr>
        <w:pStyle w:val="TextBody"/>
        <w:spacing w:after="120" w:line="240" w:lineRule="auto"/>
        <w:ind w:left="360"/>
        <w:rPr>
          <w:rStyle w:val="BodyTextChar"/>
        </w:rPr>
      </w:pPr>
      <w:r w:rsidRPr="009939BA">
        <w:rPr>
          <w:rStyle w:val="BodyTextChar"/>
        </w:rPr>
        <w:t>Six staff files were reviewed</w:t>
      </w:r>
      <w:r w:rsidR="0070430E">
        <w:rPr>
          <w:rStyle w:val="BodyTextChar"/>
        </w:rPr>
        <w:t xml:space="preserve"> noting r</w:t>
      </w:r>
      <w:r w:rsidRPr="009939BA">
        <w:rPr>
          <w:rStyle w:val="BodyTextChar"/>
        </w:rPr>
        <w:t xml:space="preserve">elevant documentation was </w:t>
      </w:r>
      <w:r w:rsidR="0070430E">
        <w:rPr>
          <w:rStyle w:val="BodyTextChar"/>
        </w:rPr>
        <w:t>evident</w:t>
      </w:r>
      <w:r w:rsidRPr="009939BA">
        <w:rPr>
          <w:rStyle w:val="BodyTextChar"/>
        </w:rPr>
        <w:t xml:space="preserve">. There was regular training being </w:t>
      </w:r>
      <w:r w:rsidR="0070430E">
        <w:rPr>
          <w:rStyle w:val="BodyTextChar"/>
        </w:rPr>
        <w:t>provided</w:t>
      </w:r>
      <w:r w:rsidRPr="009939BA">
        <w:rPr>
          <w:rStyle w:val="BodyTextChar"/>
        </w:rPr>
        <w:t xml:space="preserve"> </w:t>
      </w:r>
      <w:r w:rsidR="00F43743">
        <w:rPr>
          <w:rStyle w:val="BodyTextChar"/>
        </w:rPr>
        <w:t>as prescribed by Radius and records of attendance were maintained. Training sessions included topics such as reducing harm from falls, pain management, nutritional challenges and basic care.</w:t>
      </w:r>
      <w:r w:rsidR="00ED105C">
        <w:rPr>
          <w:rStyle w:val="BodyTextChar"/>
        </w:rPr>
        <w:t xml:space="preserve"> </w:t>
      </w:r>
      <w:r w:rsidR="0070430E">
        <w:rPr>
          <w:rStyle w:val="BodyTextChar"/>
        </w:rPr>
        <w:t>Manual handling training (one hour sessions) ha</w:t>
      </w:r>
      <w:r w:rsidR="008A262E">
        <w:rPr>
          <w:rStyle w:val="BodyTextChar"/>
        </w:rPr>
        <w:t>d</w:t>
      </w:r>
      <w:r w:rsidR="0070430E">
        <w:rPr>
          <w:rStyle w:val="BodyTextChar"/>
        </w:rPr>
        <w:t xml:space="preserve"> been delivered by the contracted physiotherapist, most recently 9 November (2016). </w:t>
      </w:r>
      <w:r w:rsidR="00F43743">
        <w:rPr>
          <w:rStyle w:val="BodyTextChar"/>
        </w:rPr>
        <w:t xml:space="preserve">A significant number of training sessions had been delivered by the CNM </w:t>
      </w:r>
      <w:r w:rsidR="00F43743" w:rsidRPr="00436420">
        <w:rPr>
          <w:rStyle w:val="BodyTextChar"/>
        </w:rPr>
        <w:t xml:space="preserve">(refer section: </w:t>
      </w:r>
      <w:r w:rsidR="00F43743" w:rsidRPr="00436420">
        <w:rPr>
          <w:rStyle w:val="BodyTextChar"/>
          <w:i/>
        </w:rPr>
        <w:t>Observations</w:t>
      </w:r>
      <w:r w:rsidR="00F43743" w:rsidRPr="00436420">
        <w:rPr>
          <w:rStyle w:val="BodyTextChar"/>
        </w:rPr>
        <w:t>).</w:t>
      </w:r>
      <w:r w:rsidR="00F43743">
        <w:rPr>
          <w:rStyle w:val="BodyTextChar"/>
        </w:rPr>
        <w:t xml:space="preserve"> </w:t>
      </w:r>
      <w:r w:rsidR="005D15D1">
        <w:rPr>
          <w:rStyle w:val="BodyTextChar"/>
        </w:rPr>
        <w:t>M</w:t>
      </w:r>
      <w:r w:rsidR="00ED105C">
        <w:rPr>
          <w:rStyle w:val="BodyTextChar"/>
        </w:rPr>
        <w:t>edication competencies for staff administering medication were seen to be current</w:t>
      </w:r>
      <w:r w:rsidR="00642FDF">
        <w:rPr>
          <w:rStyle w:val="BodyTextChar"/>
        </w:rPr>
        <w:t xml:space="preserve"> and r</w:t>
      </w:r>
      <w:r w:rsidR="000912E7">
        <w:rPr>
          <w:rStyle w:val="BodyTextChar"/>
        </w:rPr>
        <w:t xml:space="preserve">egistered nurses </w:t>
      </w:r>
      <w:r w:rsidR="008A262E">
        <w:rPr>
          <w:rStyle w:val="BodyTextChar"/>
        </w:rPr>
        <w:t>we</w:t>
      </w:r>
      <w:r w:rsidR="000912E7">
        <w:rPr>
          <w:rStyle w:val="BodyTextChar"/>
        </w:rPr>
        <w:t>re first aid train</w:t>
      </w:r>
      <w:r w:rsidR="006456A8">
        <w:rPr>
          <w:rStyle w:val="BodyTextChar"/>
        </w:rPr>
        <w:t>ed</w:t>
      </w:r>
      <w:r w:rsidR="000912E7">
        <w:rPr>
          <w:rStyle w:val="BodyTextChar"/>
        </w:rPr>
        <w:t xml:space="preserve"> (current certification sighted in staff files), meeting the requirement to have a first aid qualified staff member on each shift.</w:t>
      </w:r>
    </w:p>
    <w:p w:rsidR="00C604F7" w:rsidRDefault="00BD59CF" w:rsidP="00BD59CF">
      <w:pPr>
        <w:pStyle w:val="TextBody"/>
        <w:spacing w:line="240" w:lineRule="auto"/>
        <w:ind w:left="360"/>
        <w:rPr>
          <w:highlight w:val="yellow"/>
        </w:rPr>
      </w:pPr>
      <w:r w:rsidRPr="002160D2">
        <w:t xml:space="preserve">Rosters were </w:t>
      </w:r>
      <w:r w:rsidR="00C604F7" w:rsidRPr="002160D2">
        <w:t>reviewed</w:t>
      </w:r>
      <w:r w:rsidR="002160D2" w:rsidRPr="002160D2">
        <w:t>, noting a planned roster to meet the requirements for the new wing was also available</w:t>
      </w:r>
      <w:r w:rsidR="00806D78">
        <w:t xml:space="preserve"> (not considered </w:t>
      </w:r>
      <w:r w:rsidR="009F01D1">
        <w:t>during</w:t>
      </w:r>
      <w:r w:rsidR="00806D78">
        <w:t xml:space="preserve"> this inspection)</w:t>
      </w:r>
      <w:r w:rsidRPr="002160D2">
        <w:t xml:space="preserve">. </w:t>
      </w:r>
      <w:r w:rsidR="00411FE4">
        <w:t>Attempts to r</w:t>
      </w:r>
      <w:r w:rsidR="002160D2" w:rsidRPr="002160D2">
        <w:t>eplace unexplained absences w</w:t>
      </w:r>
      <w:r w:rsidR="00806D78">
        <w:t>as</w:t>
      </w:r>
      <w:r w:rsidR="002160D2" w:rsidRPr="002160D2">
        <w:t xml:space="preserve"> evident on the roster reviewed. Interview with the administrator described the process </w:t>
      </w:r>
      <w:r w:rsidR="009F01D1">
        <w:t xml:space="preserve">adopted </w:t>
      </w:r>
      <w:r w:rsidR="002160D2" w:rsidRPr="002160D2">
        <w:t>for replacing planned absence. The current roster indicated two registered nurses (RN) and eight health care assistants (HC</w:t>
      </w:r>
      <w:r w:rsidR="00AE5951">
        <w:t>A</w:t>
      </w:r>
      <w:r w:rsidR="002160D2" w:rsidRPr="002160D2">
        <w:t xml:space="preserve">) on the morning shift; one/two RN (based on resident numbers) </w:t>
      </w:r>
      <w:r w:rsidR="002160D2" w:rsidRPr="002160D2">
        <w:lastRenderedPageBreak/>
        <w:t xml:space="preserve">and six HCA on the afternoon shift; and, one RN and two HCA on night duty. </w:t>
      </w:r>
    </w:p>
    <w:p w:rsidR="003F04B0" w:rsidRPr="00452D7D" w:rsidRDefault="00452D7D" w:rsidP="003F04B0">
      <w:pPr>
        <w:pStyle w:val="TextBody"/>
        <w:numPr>
          <w:ilvl w:val="0"/>
          <w:numId w:val="31"/>
        </w:numPr>
        <w:rPr>
          <w:b/>
        </w:rPr>
      </w:pPr>
      <w:r>
        <w:rPr>
          <w:b/>
        </w:rPr>
        <w:t>Service Delivery</w:t>
      </w:r>
    </w:p>
    <w:p w:rsidR="00466585" w:rsidRPr="00D34667" w:rsidRDefault="00466585" w:rsidP="003F04B0">
      <w:pPr>
        <w:pStyle w:val="TextBody"/>
        <w:spacing w:line="240" w:lineRule="auto"/>
        <w:ind w:left="360"/>
      </w:pPr>
      <w:r w:rsidRPr="00D34667">
        <w:t>Six</w:t>
      </w:r>
      <w:r w:rsidR="003F04B0" w:rsidRPr="00D34667">
        <w:t xml:space="preserve"> </w:t>
      </w:r>
      <w:r w:rsidR="00411FE4">
        <w:t xml:space="preserve">resident </w:t>
      </w:r>
      <w:r w:rsidR="003F04B0" w:rsidRPr="00D34667">
        <w:t>files were reviewed</w:t>
      </w:r>
      <w:r w:rsidRPr="00D34667">
        <w:t xml:space="preserve"> noting clinical documentation was of an acceptable standard. There was evidence of involvement of allied health professionals when clinically indicated – eg. Dietician, physiotherapist</w:t>
      </w:r>
      <w:r w:rsidR="00D34667">
        <w:t xml:space="preserve"> -</w:t>
      </w:r>
      <w:r w:rsidRPr="00D34667">
        <w:t xml:space="preserve"> and appropriate escalation of clinical care</w:t>
      </w:r>
      <w:r w:rsidR="00D34667">
        <w:t xml:space="preserve"> </w:t>
      </w:r>
      <w:r w:rsidR="00703F50">
        <w:t>(verified GP interview)</w:t>
      </w:r>
      <w:r w:rsidRPr="00D34667">
        <w:t xml:space="preserve">. </w:t>
      </w:r>
      <w:r w:rsidR="00D34667" w:rsidRPr="00D34667">
        <w:t>Long term care plans</w:t>
      </w:r>
      <w:r w:rsidR="00D34667">
        <w:t xml:space="preserve"> (LTCP)</w:t>
      </w:r>
      <w:r w:rsidR="00D34667" w:rsidRPr="00D34667">
        <w:t xml:space="preserve"> were updated to reflect changes in care needs, and short term care plans </w:t>
      </w:r>
      <w:r w:rsidR="00D34667">
        <w:t xml:space="preserve">(STCP) </w:t>
      </w:r>
      <w:r w:rsidR="00D34667" w:rsidRPr="00D34667">
        <w:t xml:space="preserve">were used (and evaluated) appropriately. </w:t>
      </w:r>
      <w:r w:rsidR="00D34667">
        <w:t xml:space="preserve">Six monthly evaluation of LTCPs had been undertaken. </w:t>
      </w:r>
      <w:r w:rsidR="00D34667" w:rsidRPr="00D34667">
        <w:t xml:space="preserve">It was noted </w:t>
      </w:r>
      <w:r w:rsidR="00D34667">
        <w:t>the CNM has</w:t>
      </w:r>
      <w:r w:rsidR="00605B55">
        <w:t xml:space="preserve"> had</w:t>
      </w:r>
      <w:r w:rsidR="00D34667">
        <w:t xml:space="preserve"> an active role in oversight of clinical management and ensuring LTCP’s </w:t>
      </w:r>
      <w:r w:rsidR="00411FE4">
        <w:t>were</w:t>
      </w:r>
      <w:r w:rsidR="00D34667">
        <w:t xml:space="preserve"> updated </w:t>
      </w:r>
      <w:r w:rsidR="00D34667" w:rsidRPr="00411FE4">
        <w:t xml:space="preserve">(refer </w:t>
      </w:r>
      <w:r w:rsidR="00D34667" w:rsidRPr="00411FE4">
        <w:rPr>
          <w:rStyle w:val="BodyTextChar"/>
        </w:rPr>
        <w:t xml:space="preserve">section: </w:t>
      </w:r>
      <w:r w:rsidR="00D34667" w:rsidRPr="00411FE4">
        <w:rPr>
          <w:rStyle w:val="BodyTextChar"/>
          <w:i/>
        </w:rPr>
        <w:t>Observations</w:t>
      </w:r>
      <w:r w:rsidR="00D34667" w:rsidRPr="00411FE4">
        <w:rPr>
          <w:rStyle w:val="BodyTextChar"/>
        </w:rPr>
        <w:t>)</w:t>
      </w:r>
      <w:r w:rsidR="00D34667">
        <w:t xml:space="preserve">. </w:t>
      </w:r>
      <w:r w:rsidR="00703F50">
        <w:t xml:space="preserve">The inspection team also considered interdisciplinary communication, and while the overall impression is that communication within the team has improved over the past </w:t>
      </w:r>
      <w:r w:rsidR="00062F6A">
        <w:t xml:space="preserve">six months, it was acknowledged staff comprehension has resulted </w:t>
      </w:r>
      <w:r w:rsidR="00794B26">
        <w:t xml:space="preserve">in </w:t>
      </w:r>
      <w:r w:rsidR="00062F6A">
        <w:t>some challenge for the service</w:t>
      </w:r>
      <w:r w:rsidR="00794B26">
        <w:t xml:space="preserve"> in the </w:t>
      </w:r>
      <w:r w:rsidR="00F455AB">
        <w:t xml:space="preserve">recent </w:t>
      </w:r>
      <w:r w:rsidR="00794B26">
        <w:t>past</w:t>
      </w:r>
      <w:r w:rsidR="00062F6A">
        <w:t xml:space="preserve">. The Radius management team reported the introduction of a </w:t>
      </w:r>
      <w:r w:rsidR="00794B26">
        <w:t xml:space="preserve">six month programme (Reaching up with Radius) that focuses on communication practices and working effectively in teams. This programme is </w:t>
      </w:r>
      <w:r w:rsidR="00411FE4">
        <w:t xml:space="preserve">reportedly </w:t>
      </w:r>
      <w:r w:rsidR="00794B26">
        <w:t>due to commence</w:t>
      </w:r>
      <w:r w:rsidR="00062F6A">
        <w:t xml:space="preserve"> </w:t>
      </w:r>
      <w:r w:rsidR="00F455AB">
        <w:t xml:space="preserve">at Radius Elloughton Gardens </w:t>
      </w:r>
      <w:r w:rsidR="00794B26">
        <w:t xml:space="preserve">in January (2017). </w:t>
      </w:r>
    </w:p>
    <w:p w:rsidR="003F04B0" w:rsidRPr="005E06D7" w:rsidRDefault="003F04B0" w:rsidP="003F04B0">
      <w:pPr>
        <w:pStyle w:val="BodyText2"/>
        <w:widowControl w:val="0"/>
        <w:numPr>
          <w:ilvl w:val="0"/>
          <w:numId w:val="31"/>
        </w:numPr>
        <w:suppressAutoHyphens/>
        <w:spacing w:after="0" w:line="240" w:lineRule="auto"/>
        <w:contextualSpacing w:val="0"/>
        <w:rPr>
          <w:rStyle w:val="BodyTextChar"/>
          <w:b/>
        </w:rPr>
      </w:pPr>
      <w:r w:rsidRPr="005E06D7">
        <w:rPr>
          <w:rStyle w:val="BodyTextChar"/>
          <w:b/>
        </w:rPr>
        <w:t xml:space="preserve">Medication Management </w:t>
      </w:r>
    </w:p>
    <w:p w:rsidR="001E4AC6" w:rsidRPr="005E06D7" w:rsidRDefault="005E06D7" w:rsidP="003F04B0">
      <w:pPr>
        <w:spacing w:before="240" w:after="60"/>
        <w:ind w:left="360"/>
        <w:rPr>
          <w:rFonts w:cs="Arial"/>
          <w:bCs/>
        </w:rPr>
      </w:pPr>
      <w:r w:rsidRPr="005E06D7">
        <w:rPr>
          <w:rFonts w:cs="Arial"/>
          <w:bCs/>
        </w:rPr>
        <w:t>M</w:t>
      </w:r>
      <w:r w:rsidR="003F04B0" w:rsidRPr="005E06D7">
        <w:rPr>
          <w:rFonts w:cs="Arial"/>
          <w:bCs/>
        </w:rPr>
        <w:t xml:space="preserve">edication </w:t>
      </w:r>
      <w:r w:rsidRPr="005E06D7">
        <w:rPr>
          <w:rFonts w:cs="Arial"/>
          <w:bCs/>
        </w:rPr>
        <w:t xml:space="preserve">was appropriately secured </w:t>
      </w:r>
      <w:r w:rsidR="003F04B0" w:rsidRPr="005E06D7">
        <w:rPr>
          <w:rFonts w:cs="Arial"/>
          <w:bCs/>
        </w:rPr>
        <w:t xml:space="preserve">and </w:t>
      </w:r>
      <w:r w:rsidR="00BF26E2">
        <w:rPr>
          <w:rFonts w:cs="Arial"/>
          <w:bCs/>
        </w:rPr>
        <w:t xml:space="preserve">staff </w:t>
      </w:r>
      <w:r w:rsidR="003F04B0" w:rsidRPr="005E06D7">
        <w:rPr>
          <w:rFonts w:cs="Arial"/>
          <w:bCs/>
        </w:rPr>
        <w:t xml:space="preserve">competencies were current. </w:t>
      </w:r>
      <w:r w:rsidR="00BF26E2">
        <w:rPr>
          <w:rFonts w:cs="Arial"/>
          <w:bCs/>
        </w:rPr>
        <w:t xml:space="preserve">There had been </w:t>
      </w:r>
      <w:r w:rsidRPr="005E06D7">
        <w:rPr>
          <w:rFonts w:cs="Arial"/>
          <w:bCs/>
        </w:rPr>
        <w:t xml:space="preserve">no reported </w:t>
      </w:r>
      <w:r w:rsidR="00BF26E2">
        <w:rPr>
          <w:rFonts w:cs="Arial"/>
          <w:bCs/>
        </w:rPr>
        <w:t xml:space="preserve">medication </w:t>
      </w:r>
      <w:r w:rsidRPr="005E06D7">
        <w:rPr>
          <w:rFonts w:cs="Arial"/>
          <w:bCs/>
        </w:rPr>
        <w:t>incidents between July and November (2016)</w:t>
      </w:r>
      <w:r w:rsidR="00BF26E2">
        <w:rPr>
          <w:rFonts w:cs="Arial"/>
          <w:bCs/>
        </w:rPr>
        <w:t xml:space="preserve">, noting this </w:t>
      </w:r>
      <w:r w:rsidR="00411FE4">
        <w:rPr>
          <w:rFonts w:cs="Arial"/>
          <w:bCs/>
        </w:rPr>
        <w:t>wa</w:t>
      </w:r>
      <w:r w:rsidR="00BF26E2">
        <w:rPr>
          <w:rFonts w:cs="Arial"/>
          <w:bCs/>
        </w:rPr>
        <w:t>s the period reviewed.</w:t>
      </w:r>
      <w:r w:rsidR="003F04B0" w:rsidRPr="005E06D7">
        <w:rPr>
          <w:rFonts w:cs="Arial"/>
          <w:bCs/>
        </w:rPr>
        <w:t xml:space="preserve"> </w:t>
      </w:r>
      <w:r w:rsidR="002D06AB">
        <w:rPr>
          <w:rFonts w:cs="Arial"/>
          <w:bCs/>
        </w:rPr>
        <w:t xml:space="preserve">A sample of </w:t>
      </w:r>
      <w:r w:rsidR="003F04B0" w:rsidRPr="005E06D7">
        <w:rPr>
          <w:rFonts w:cs="Arial"/>
          <w:bCs/>
        </w:rPr>
        <w:t xml:space="preserve">medication charts </w:t>
      </w:r>
      <w:r w:rsidR="00411FE4">
        <w:rPr>
          <w:rFonts w:cs="Arial"/>
          <w:bCs/>
        </w:rPr>
        <w:t xml:space="preserve">were </w:t>
      </w:r>
      <w:r w:rsidR="003F04B0" w:rsidRPr="005E06D7">
        <w:rPr>
          <w:rFonts w:cs="Arial"/>
          <w:bCs/>
        </w:rPr>
        <w:t>reviewed</w:t>
      </w:r>
      <w:r w:rsidR="002D06AB">
        <w:rPr>
          <w:rFonts w:cs="Arial"/>
          <w:bCs/>
        </w:rPr>
        <w:t xml:space="preserve"> (13)</w:t>
      </w:r>
      <w:r w:rsidR="003F04B0" w:rsidRPr="005E06D7">
        <w:rPr>
          <w:rFonts w:cs="Arial"/>
          <w:bCs/>
        </w:rPr>
        <w:t xml:space="preserve"> and generally medication </w:t>
      </w:r>
      <w:r w:rsidR="00411FE4">
        <w:rPr>
          <w:rFonts w:cs="Arial"/>
          <w:bCs/>
        </w:rPr>
        <w:t>wa</w:t>
      </w:r>
      <w:r w:rsidR="003F04B0" w:rsidRPr="005E06D7">
        <w:rPr>
          <w:rFonts w:cs="Arial"/>
          <w:bCs/>
        </w:rPr>
        <w:t>s managed in an acceptable manner</w:t>
      </w:r>
      <w:r w:rsidR="00D7415E">
        <w:rPr>
          <w:rFonts w:cs="Arial"/>
          <w:bCs/>
        </w:rPr>
        <w:t xml:space="preserve">, however, the </w:t>
      </w:r>
      <w:r w:rsidR="003F04B0" w:rsidRPr="005E06D7">
        <w:rPr>
          <w:rFonts w:cs="Arial"/>
          <w:bCs/>
        </w:rPr>
        <w:t xml:space="preserve">following are </w:t>
      </w:r>
      <w:r w:rsidR="00D7415E">
        <w:rPr>
          <w:rFonts w:cs="Arial"/>
          <w:bCs/>
        </w:rPr>
        <w:t xml:space="preserve">required </w:t>
      </w:r>
      <w:r w:rsidR="003F04B0" w:rsidRPr="005E06D7">
        <w:rPr>
          <w:rFonts w:cs="Arial"/>
          <w:bCs/>
        </w:rPr>
        <w:lastRenderedPageBreak/>
        <w:t xml:space="preserve">improvements: </w:t>
      </w:r>
      <w:r w:rsidR="003F04B0" w:rsidRPr="001E4AC6">
        <w:rPr>
          <w:rFonts w:cs="Arial"/>
          <w:bCs/>
        </w:rPr>
        <w:t>recording of allergies (or no allergies) on the medication chart, prn medication is being used regularly (and could be prescribed as a regular medication)</w:t>
      </w:r>
      <w:r w:rsidR="001E4AC6">
        <w:rPr>
          <w:rFonts w:cs="Arial"/>
          <w:bCs/>
        </w:rPr>
        <w:t xml:space="preserve">, current resident photos </w:t>
      </w:r>
      <w:r w:rsidR="00D7415E">
        <w:rPr>
          <w:rFonts w:cs="Arial"/>
          <w:bCs/>
        </w:rPr>
        <w:t xml:space="preserve">are to be </w:t>
      </w:r>
      <w:r w:rsidR="001E4AC6">
        <w:rPr>
          <w:rFonts w:cs="Arial"/>
          <w:bCs/>
        </w:rPr>
        <w:t>attached to medication charts</w:t>
      </w:r>
      <w:r w:rsidR="001E4AC6" w:rsidRPr="001E4AC6">
        <w:rPr>
          <w:rFonts w:cs="Arial"/>
          <w:bCs/>
        </w:rPr>
        <w:t xml:space="preserve"> </w:t>
      </w:r>
      <w:r w:rsidR="001E4AC6" w:rsidRPr="00411FE4">
        <w:t>(</w:t>
      </w:r>
      <w:r w:rsidR="00411FE4" w:rsidRPr="00411FE4">
        <w:t xml:space="preserve">link finding 1.3.12 and </w:t>
      </w:r>
      <w:r w:rsidR="001E4AC6" w:rsidRPr="00411FE4">
        <w:t xml:space="preserve">refer </w:t>
      </w:r>
      <w:r w:rsidR="001E4AC6" w:rsidRPr="00411FE4">
        <w:rPr>
          <w:rStyle w:val="BodyTextChar"/>
        </w:rPr>
        <w:t xml:space="preserve">section: </w:t>
      </w:r>
      <w:r w:rsidR="001E4AC6" w:rsidRPr="00411FE4">
        <w:rPr>
          <w:rStyle w:val="BodyTextChar"/>
          <w:i/>
        </w:rPr>
        <w:t>Observations</w:t>
      </w:r>
      <w:r w:rsidR="001E4AC6" w:rsidRPr="00411FE4">
        <w:rPr>
          <w:rStyle w:val="BodyTextChar"/>
        </w:rPr>
        <w:t>)</w:t>
      </w:r>
      <w:r w:rsidR="003F04B0" w:rsidRPr="00411FE4">
        <w:rPr>
          <w:rFonts w:cs="Arial"/>
          <w:bCs/>
        </w:rPr>
        <w:t>.</w:t>
      </w:r>
      <w:r w:rsidR="001E4AC6">
        <w:rPr>
          <w:rFonts w:cs="Arial"/>
          <w:bCs/>
        </w:rPr>
        <w:t xml:space="preserve"> In </w:t>
      </w:r>
      <w:r w:rsidR="00D7415E">
        <w:rPr>
          <w:rFonts w:cs="Arial"/>
          <w:bCs/>
        </w:rPr>
        <w:t xml:space="preserve">respect of controlled drugs, </w:t>
      </w:r>
      <w:r w:rsidR="001E4AC6">
        <w:rPr>
          <w:rFonts w:cs="Arial"/>
          <w:bCs/>
        </w:rPr>
        <w:t>documentation suggested at times there was a 15-20 minute delay between retrieval from the locked cabinet and administration.</w:t>
      </w:r>
    </w:p>
    <w:p w:rsidR="003F04B0" w:rsidRPr="00F57635" w:rsidRDefault="003F04B0" w:rsidP="003F04B0">
      <w:pPr>
        <w:pStyle w:val="ListParagraph"/>
        <w:numPr>
          <w:ilvl w:val="0"/>
          <w:numId w:val="31"/>
        </w:numPr>
        <w:suppressAutoHyphens/>
        <w:spacing w:before="240" w:after="0" w:line="240" w:lineRule="auto"/>
        <w:rPr>
          <w:rFonts w:cs="Arial"/>
          <w:b/>
          <w:bCs/>
        </w:rPr>
      </w:pPr>
      <w:r w:rsidRPr="00F57635">
        <w:rPr>
          <w:rFonts w:cs="Arial"/>
          <w:b/>
          <w:bCs/>
        </w:rPr>
        <w:t>Observations</w:t>
      </w:r>
    </w:p>
    <w:p w:rsidR="003F04B0" w:rsidRPr="00411FE4" w:rsidRDefault="003F04B0" w:rsidP="003F04B0">
      <w:pPr>
        <w:spacing w:before="240"/>
        <w:ind w:left="360"/>
        <w:rPr>
          <w:rFonts w:cs="Arial"/>
          <w:bCs/>
        </w:rPr>
      </w:pPr>
      <w:r w:rsidRPr="00411FE4">
        <w:rPr>
          <w:rFonts w:cs="Arial"/>
          <w:bCs/>
        </w:rPr>
        <w:t>The following are observations</w:t>
      </w:r>
      <w:r w:rsidR="00411FE4">
        <w:rPr>
          <w:rFonts w:cs="Arial"/>
          <w:bCs/>
        </w:rPr>
        <w:t xml:space="preserve"> from the inspection that provide the opportunity to enhance</w:t>
      </w:r>
      <w:r w:rsidR="00B20FF8">
        <w:rPr>
          <w:rFonts w:cs="Arial"/>
          <w:bCs/>
        </w:rPr>
        <w:t>/maintain</w:t>
      </w:r>
      <w:r w:rsidR="00411FE4">
        <w:rPr>
          <w:rFonts w:cs="Arial"/>
          <w:bCs/>
        </w:rPr>
        <w:t xml:space="preserve"> service delivery</w:t>
      </w:r>
      <w:r w:rsidRPr="00411FE4">
        <w:rPr>
          <w:rFonts w:cs="Arial"/>
          <w:bCs/>
        </w:rPr>
        <w:t xml:space="preserve">. </w:t>
      </w:r>
    </w:p>
    <w:p w:rsidR="00411FE4" w:rsidRDefault="00B57BD3" w:rsidP="003F04B0">
      <w:pPr>
        <w:spacing w:before="240"/>
        <w:ind w:left="360"/>
        <w:rPr>
          <w:rFonts w:cs="Arial"/>
          <w:bCs/>
        </w:rPr>
      </w:pPr>
      <w:r w:rsidRPr="00B57BD3">
        <w:rPr>
          <w:rFonts w:cs="Arial"/>
          <w:bCs/>
          <w:u w:val="single"/>
        </w:rPr>
        <w:t>Education</w:t>
      </w:r>
      <w:r w:rsidRPr="00B57BD3">
        <w:rPr>
          <w:rFonts w:cs="Arial"/>
          <w:bCs/>
        </w:rPr>
        <w:t xml:space="preserve">: </w:t>
      </w:r>
      <w:r w:rsidR="00411FE4">
        <w:rPr>
          <w:rFonts w:cs="Arial"/>
          <w:bCs/>
        </w:rPr>
        <w:t xml:space="preserve">a significant number of training sessions reviewed had been delivered by the CNM. </w:t>
      </w:r>
      <w:r w:rsidR="00411FE4">
        <w:rPr>
          <w:rStyle w:val="BodyTextChar"/>
        </w:rPr>
        <w:t>The education programme could be strengthened, particularly for the registered nurse workforce, by considering opportunities at the local district health board (DHB). It is noted there had been recent contact with DHB staff to provide education.</w:t>
      </w:r>
    </w:p>
    <w:p w:rsidR="00B57BD3" w:rsidRDefault="00B57BD3" w:rsidP="003F04B0">
      <w:pPr>
        <w:spacing w:before="240"/>
        <w:ind w:left="360"/>
        <w:rPr>
          <w:rFonts w:cs="Arial"/>
          <w:bCs/>
        </w:rPr>
      </w:pPr>
      <w:r>
        <w:rPr>
          <w:rFonts w:cs="Arial"/>
          <w:bCs/>
          <w:u w:val="single"/>
        </w:rPr>
        <w:t>Succession planning:</w:t>
      </w:r>
      <w:r>
        <w:rPr>
          <w:rFonts w:cs="Arial"/>
          <w:bCs/>
        </w:rPr>
        <w:t xml:space="preserve"> </w:t>
      </w:r>
      <w:r w:rsidR="00473CF8">
        <w:rPr>
          <w:rFonts w:cs="Arial"/>
          <w:bCs/>
        </w:rPr>
        <w:t xml:space="preserve">the </w:t>
      </w:r>
      <w:r>
        <w:rPr>
          <w:rFonts w:cs="Arial"/>
          <w:bCs/>
        </w:rPr>
        <w:t xml:space="preserve">CNM </w:t>
      </w:r>
      <w:r w:rsidR="00473CF8">
        <w:rPr>
          <w:rFonts w:cs="Arial"/>
          <w:bCs/>
        </w:rPr>
        <w:t xml:space="preserve">reported </w:t>
      </w:r>
      <w:r w:rsidR="00E11414">
        <w:rPr>
          <w:rFonts w:cs="Arial"/>
          <w:bCs/>
        </w:rPr>
        <w:t xml:space="preserve">she will be taking annual </w:t>
      </w:r>
      <w:r>
        <w:rPr>
          <w:rFonts w:cs="Arial"/>
          <w:bCs/>
        </w:rPr>
        <w:t>leave (5 weeks)</w:t>
      </w:r>
      <w:r w:rsidR="00E11414">
        <w:rPr>
          <w:rFonts w:cs="Arial"/>
          <w:bCs/>
        </w:rPr>
        <w:t xml:space="preserve"> in the New Year. The inspection team noted the majority of clinical documentation – including review of incident reports and required root cause analysis, and, evaluation and review of care plans – was undertaken by this position. There may be benefit in formalising a programme of strengthening the workforce to ensure the standard of care is maintained. It is noted there was discussion the position would be replaced for the leave period.</w:t>
      </w:r>
    </w:p>
    <w:p w:rsidR="001E4AC6" w:rsidRPr="00B57BD3" w:rsidRDefault="001E4AC6" w:rsidP="003F04B0">
      <w:pPr>
        <w:spacing w:before="240"/>
        <w:ind w:left="360"/>
        <w:rPr>
          <w:rFonts w:cs="Arial"/>
          <w:bCs/>
        </w:rPr>
      </w:pPr>
      <w:r>
        <w:rPr>
          <w:rFonts w:cs="Arial"/>
          <w:bCs/>
          <w:u w:val="single"/>
        </w:rPr>
        <w:t>Medication:</w:t>
      </w:r>
      <w:r>
        <w:rPr>
          <w:rFonts w:cs="Arial"/>
          <w:bCs/>
        </w:rPr>
        <w:t xml:space="preserve"> </w:t>
      </w:r>
      <w:r w:rsidR="00A35AD0">
        <w:rPr>
          <w:rFonts w:cs="Arial"/>
          <w:bCs/>
        </w:rPr>
        <w:t xml:space="preserve">in addition to the aspects outlined in the corrective action, the team would prefer </w:t>
      </w:r>
      <w:r>
        <w:rPr>
          <w:rFonts w:cs="Arial"/>
          <w:bCs/>
        </w:rPr>
        <w:t xml:space="preserve">administration of </w:t>
      </w:r>
      <w:r w:rsidR="00A35AD0">
        <w:rPr>
          <w:rFonts w:cs="Arial"/>
          <w:bCs/>
        </w:rPr>
        <w:t xml:space="preserve">antibiotic </w:t>
      </w:r>
      <w:r>
        <w:rPr>
          <w:rFonts w:cs="Arial"/>
          <w:bCs/>
        </w:rPr>
        <w:t xml:space="preserve">eye cream </w:t>
      </w:r>
      <w:r w:rsidR="00A35AD0">
        <w:rPr>
          <w:rFonts w:cs="Arial"/>
          <w:bCs/>
        </w:rPr>
        <w:t xml:space="preserve">in a private </w:t>
      </w:r>
      <w:r w:rsidR="00A35AD0">
        <w:rPr>
          <w:rFonts w:cs="Arial"/>
          <w:bCs/>
        </w:rPr>
        <w:lastRenderedPageBreak/>
        <w:t>space (observed to have been administered in the dining room) to allow clinical assessment prior to administration.</w:t>
      </w:r>
    </w:p>
    <w:p w:rsidR="00E1551C" w:rsidRDefault="00E1551C" w:rsidP="003553C8">
      <w:pPr>
        <w:pStyle w:val="Heading1"/>
      </w:pPr>
      <w:bookmarkStart w:id="15" w:name="_Toc351967198"/>
      <w:bookmarkStart w:id="16" w:name="_Toc468692167"/>
      <w:r>
        <w:t>Inspection Team</w:t>
      </w:r>
      <w:bookmarkEnd w:id="15"/>
      <w:bookmarkEnd w:id="16"/>
    </w:p>
    <w:p w:rsidR="00D60AC7" w:rsidRDefault="00D60AC7" w:rsidP="00D60AC7">
      <w:pPr>
        <w:pStyle w:val="TextBody"/>
        <w:spacing w:line="240" w:lineRule="auto"/>
      </w:pPr>
      <w:bookmarkStart w:id="17" w:name="_Toc351967199"/>
      <w:r>
        <w:t xml:space="preserve">The inspection was undertaken by </w:t>
      </w:r>
      <w:r w:rsidR="00757138" w:rsidRPr="00757138">
        <w:rPr>
          <w:highlight w:val="black"/>
        </w:rPr>
        <w:t>XXXXXX</w:t>
      </w:r>
      <w:r>
        <w:t xml:space="preserve">, Senior Advisor, HealthCERT, Ministry of Health, under delegated authority of the Director-General of Health.  </w:t>
      </w:r>
      <w:r w:rsidR="00757138" w:rsidRPr="00757138">
        <w:rPr>
          <w:highlight w:val="black"/>
        </w:rPr>
        <w:t>XXXXXX</w:t>
      </w:r>
      <w:r>
        <w:t xml:space="preserve">, Clinical Nurse Manager, District Nursing and </w:t>
      </w:r>
      <w:r w:rsidR="00757138" w:rsidRPr="00757138">
        <w:rPr>
          <w:highlight w:val="black"/>
        </w:rPr>
        <w:t>XXXXXX</w:t>
      </w:r>
      <w:r>
        <w:t xml:space="preserve">, Associate Director Patient, Nursing, Midwifery from the South Canterbury DHB also attended. </w:t>
      </w:r>
    </w:p>
    <w:p w:rsidR="00E1551C" w:rsidRDefault="00E1551C" w:rsidP="003553C8">
      <w:pPr>
        <w:pStyle w:val="Heading1"/>
      </w:pPr>
      <w:bookmarkStart w:id="18" w:name="_Toc468692168"/>
      <w:r>
        <w:t>Inspection Methodology</w:t>
      </w:r>
      <w:bookmarkEnd w:id="17"/>
      <w:bookmarkEnd w:id="18"/>
    </w:p>
    <w:p w:rsidR="00D60AC7" w:rsidRDefault="00D60AC7" w:rsidP="00D60AC7">
      <w:pPr>
        <w:pStyle w:val="TextBody"/>
        <w:spacing w:line="240" w:lineRule="auto"/>
      </w:pPr>
      <w:r>
        <w:t>The following methodology was used during the inspection:</w:t>
      </w:r>
    </w:p>
    <w:p w:rsidR="00D60AC7" w:rsidRDefault="00D60AC7" w:rsidP="00D60AC7">
      <w:pPr>
        <w:pStyle w:val="BodyText2"/>
      </w:pPr>
      <w:r>
        <w:t xml:space="preserve">interview with residents, staff and families </w:t>
      </w:r>
    </w:p>
    <w:p w:rsidR="00D60AC7" w:rsidRDefault="00D60AC7" w:rsidP="00D60AC7">
      <w:pPr>
        <w:pStyle w:val="BodyText2"/>
      </w:pPr>
      <w:r>
        <w:t>observation of residents</w:t>
      </w:r>
    </w:p>
    <w:p w:rsidR="00D60AC7" w:rsidRDefault="00D60AC7" w:rsidP="00D60AC7">
      <w:pPr>
        <w:pStyle w:val="BodyText2"/>
      </w:pPr>
      <w:r>
        <w:t>physical tour of the premise</w:t>
      </w:r>
    </w:p>
    <w:p w:rsidR="00A50792" w:rsidRDefault="00D60AC7" w:rsidP="00D60AC7">
      <w:pPr>
        <w:pStyle w:val="BodyText2"/>
      </w:pPr>
      <w:r>
        <w:t>review of clinical records</w:t>
      </w:r>
    </w:p>
    <w:p w:rsidR="00E1551C" w:rsidRDefault="00E1551C" w:rsidP="003553C8">
      <w:pPr>
        <w:pStyle w:val="Heading1"/>
      </w:pPr>
      <w:bookmarkStart w:id="19" w:name="_Toc351967200"/>
      <w:bookmarkStart w:id="20" w:name="_Toc468692169"/>
      <w:r>
        <w:t>Inspection Limitations</w:t>
      </w:r>
      <w:bookmarkEnd w:id="19"/>
      <w:bookmarkEnd w:id="20"/>
    </w:p>
    <w:p w:rsidR="00E1551C" w:rsidRPr="00A50792" w:rsidRDefault="00A50792" w:rsidP="001B07CA">
      <w:pPr>
        <w:pStyle w:val="BodyText"/>
      </w:pPr>
      <w:r>
        <w:t>The scope of the inspection was limited to the issues raised in the complaint.</w:t>
      </w:r>
    </w:p>
    <w:p w:rsidR="00E1551C" w:rsidRDefault="00E1551C" w:rsidP="003553C8">
      <w:pPr>
        <w:pStyle w:val="Heading1"/>
      </w:pPr>
      <w:bookmarkStart w:id="21" w:name="_Toc351967201"/>
      <w:bookmarkStart w:id="22" w:name="_Toc468692170"/>
      <w:r>
        <w:lastRenderedPageBreak/>
        <w:t>Entry Meeting</w:t>
      </w:r>
      <w:bookmarkEnd w:id="21"/>
      <w:bookmarkEnd w:id="22"/>
    </w:p>
    <w:p w:rsidR="00A50792" w:rsidRDefault="00A50792" w:rsidP="001B07CA">
      <w:pPr>
        <w:pStyle w:val="BodyText"/>
      </w:pPr>
      <w:r w:rsidRPr="00A50792">
        <w:t>On arrival at the premises,</w:t>
      </w:r>
      <w:r w:rsidR="00A93B4D">
        <w:t xml:space="preserve"> the inspection team </w:t>
      </w:r>
      <w:r w:rsidRPr="00A50792">
        <w:t xml:space="preserve">met with </w:t>
      </w:r>
      <w:r w:rsidR="00757138" w:rsidRPr="00757138">
        <w:rPr>
          <w:highlight w:val="black"/>
        </w:rPr>
        <w:t>XXXXXX</w:t>
      </w:r>
      <w:r w:rsidR="00A43D7C">
        <w:t xml:space="preserve">, Facility Manager, </w:t>
      </w:r>
      <w:r w:rsidR="00757138" w:rsidRPr="00757138">
        <w:rPr>
          <w:highlight w:val="black"/>
        </w:rPr>
        <w:t>XXXXXX</w:t>
      </w:r>
      <w:r w:rsidR="00A43D7C">
        <w:t xml:space="preserve">, Clinical Nurse Manager and </w:t>
      </w:r>
      <w:r w:rsidR="00757138" w:rsidRPr="00757138">
        <w:rPr>
          <w:highlight w:val="black"/>
        </w:rPr>
        <w:t>XXXXXX</w:t>
      </w:r>
      <w:r w:rsidR="00A43D7C">
        <w:t>, Regional Manager</w:t>
      </w:r>
      <w:r>
        <w:t>.</w:t>
      </w:r>
    </w:p>
    <w:p w:rsidR="00E1551C" w:rsidRDefault="00A50792" w:rsidP="001B07CA">
      <w:pPr>
        <w:pStyle w:val="BodyText"/>
      </w:pPr>
      <w:r w:rsidRPr="00A50792">
        <w:t xml:space="preserve">The purpose of the visit was explained and a letter addressed to </w:t>
      </w:r>
      <w:r w:rsidR="00757138" w:rsidRPr="00757138">
        <w:rPr>
          <w:highlight w:val="black"/>
        </w:rPr>
        <w:t>XXXXXX</w:t>
      </w:r>
      <w:r w:rsidRPr="00A50792">
        <w:t xml:space="preserve"> (the provider’s nominated contact person) outlining the authorisation to undertake the unannounced visit was given to </w:t>
      </w:r>
      <w:r w:rsidR="00757138" w:rsidRPr="00757138">
        <w:rPr>
          <w:highlight w:val="black"/>
        </w:rPr>
        <w:t>XXXXXX</w:t>
      </w:r>
      <w:r w:rsidRPr="00A50792">
        <w:t xml:space="preserve"> and it was explained how the inspection would be undertaken.</w:t>
      </w:r>
    </w:p>
    <w:p w:rsidR="00E1551C" w:rsidRDefault="00E1551C" w:rsidP="003553C8">
      <w:pPr>
        <w:pStyle w:val="Heading1"/>
      </w:pPr>
      <w:bookmarkStart w:id="23" w:name="_Toc351967202"/>
      <w:bookmarkStart w:id="24" w:name="_Toc468692171"/>
      <w:r>
        <w:t>Inspection Findings</w:t>
      </w:r>
      <w:bookmarkEnd w:id="23"/>
      <w:bookmarkEnd w:id="24"/>
    </w:p>
    <w:p w:rsidR="00722202" w:rsidRDefault="00E1551C" w:rsidP="003572C8">
      <w:pPr>
        <w:pStyle w:val="BodyText"/>
      </w:pPr>
      <w:r>
        <w:t xml:space="preserve">Findings have been reported against the </w:t>
      </w:r>
      <w:r w:rsidR="00722202">
        <w:t xml:space="preserve">Health and Disability Services Standards </w:t>
      </w:r>
      <w:r w:rsidR="003572C8">
        <w:t>(</w:t>
      </w:r>
      <w:r w:rsidR="00722202">
        <w:t>NZS 8134.1:2008</w:t>
      </w:r>
      <w:r w:rsidR="003572C8">
        <w:t>).</w:t>
      </w:r>
    </w:p>
    <w:p w:rsidR="003572C8" w:rsidRDefault="003572C8" w:rsidP="003572C8">
      <w:pPr>
        <w:pStyle w:val="BodyText"/>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7"/>
        <w:gridCol w:w="3564"/>
        <w:gridCol w:w="2762"/>
        <w:gridCol w:w="1497"/>
      </w:tblGrid>
      <w:tr w:rsidR="003572C8" w:rsidTr="003572C8">
        <w:trPr>
          <w:tblHeader/>
        </w:trPr>
        <w:tc>
          <w:tcPr>
            <w:tcW w:w="16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572C8" w:rsidRDefault="003572C8" w:rsidP="003572C8">
            <w:pPr>
              <w:rPr>
                <w:rFonts w:cs="Arial"/>
                <w:b/>
                <w:bCs/>
                <w:sz w:val="20"/>
                <w:szCs w:val="20"/>
              </w:rPr>
            </w:pPr>
            <w:r>
              <w:rPr>
                <w:rFonts w:cs="Arial"/>
                <w:b/>
                <w:bCs/>
                <w:sz w:val="20"/>
                <w:szCs w:val="20"/>
              </w:rPr>
              <w:t>Relevant Standard</w:t>
            </w:r>
          </w:p>
        </w:tc>
        <w:tc>
          <w:tcPr>
            <w:tcW w:w="356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572C8" w:rsidRDefault="003572C8" w:rsidP="003572C8">
            <w:pPr>
              <w:rPr>
                <w:rFonts w:cs="Arial"/>
                <w:b/>
                <w:bCs/>
                <w:sz w:val="20"/>
                <w:szCs w:val="20"/>
              </w:rPr>
            </w:pPr>
            <w:r>
              <w:rPr>
                <w:rFonts w:cs="Arial"/>
                <w:b/>
                <w:bCs/>
                <w:sz w:val="20"/>
                <w:szCs w:val="20"/>
              </w:rPr>
              <w:t>Findings</w:t>
            </w:r>
          </w:p>
        </w:tc>
        <w:tc>
          <w:tcPr>
            <w:tcW w:w="27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572C8" w:rsidRDefault="003572C8" w:rsidP="003572C8">
            <w:pPr>
              <w:rPr>
                <w:rFonts w:cs="Arial"/>
                <w:b/>
                <w:bCs/>
                <w:color w:val="000000"/>
                <w:sz w:val="20"/>
                <w:szCs w:val="20"/>
              </w:rPr>
            </w:pPr>
            <w:r>
              <w:rPr>
                <w:rFonts w:cs="Arial"/>
                <w:b/>
                <w:bCs/>
                <w:color w:val="000000"/>
                <w:sz w:val="20"/>
                <w:szCs w:val="20"/>
              </w:rPr>
              <w:t>Required Corrective Action</w:t>
            </w:r>
          </w:p>
        </w:tc>
        <w:tc>
          <w:tcPr>
            <w:tcW w:w="14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3572C8" w:rsidRDefault="003572C8" w:rsidP="003572C8">
            <w:pPr>
              <w:rPr>
                <w:rFonts w:cs="Arial"/>
                <w:b/>
                <w:bCs/>
                <w:color w:val="000000"/>
                <w:sz w:val="20"/>
                <w:szCs w:val="20"/>
              </w:rPr>
            </w:pPr>
            <w:r>
              <w:rPr>
                <w:rFonts w:cs="Arial"/>
                <w:b/>
                <w:bCs/>
                <w:color w:val="000000"/>
                <w:sz w:val="20"/>
                <w:szCs w:val="20"/>
              </w:rPr>
              <w:t>Rating and time frame.</w:t>
            </w:r>
          </w:p>
        </w:tc>
      </w:tr>
      <w:tr w:rsidR="003572C8" w:rsidTr="003572C8">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9D434D" w:rsidRDefault="003572C8" w:rsidP="003572C8">
            <w:pPr>
              <w:rPr>
                <w:rFonts w:cs="Arial"/>
                <w:b/>
                <w:sz w:val="20"/>
                <w:szCs w:val="20"/>
              </w:rPr>
            </w:pPr>
            <w:r w:rsidRPr="009D434D">
              <w:rPr>
                <w:rFonts w:cs="Arial"/>
                <w:b/>
                <w:sz w:val="20"/>
                <w:szCs w:val="20"/>
              </w:rPr>
              <w:t>Standard 1.1.13</w:t>
            </w:r>
          </w:p>
          <w:p w:rsidR="003572C8" w:rsidRPr="003572C8" w:rsidRDefault="003572C8" w:rsidP="003572C8">
            <w:pPr>
              <w:rPr>
                <w:rFonts w:cs="Arial"/>
                <w:sz w:val="20"/>
                <w:szCs w:val="20"/>
                <w:highlight w:val="yellow"/>
              </w:rPr>
            </w:pPr>
            <w:r w:rsidRPr="009D434D">
              <w:rPr>
                <w:rFonts w:cs="Arial"/>
                <w:sz w:val="20"/>
                <w:szCs w:val="20"/>
              </w:rPr>
              <w:t>The right of the consumer to make a complaint is understood, respected, and upheld</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9D434D" w:rsidRDefault="009D434D" w:rsidP="00452D7D">
            <w:pPr>
              <w:pStyle w:val="TextBody"/>
              <w:spacing w:before="0" w:line="240" w:lineRule="auto"/>
              <w:rPr>
                <w:bCs w:val="0"/>
                <w:sz w:val="20"/>
                <w:szCs w:val="20"/>
              </w:rPr>
            </w:pPr>
            <w:r w:rsidRPr="009D434D">
              <w:rPr>
                <w:sz w:val="20"/>
                <w:szCs w:val="20"/>
              </w:rPr>
              <w:t xml:space="preserve">The complaint register was reviewed and recorded 18 complaints for the 2016 year. The register had a number of columns used for tracking outcome. There were gaps noted on the register and this is an area for improvement. </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9D434D" w:rsidRDefault="009D434D" w:rsidP="003572C8">
            <w:pPr>
              <w:keepNext/>
              <w:rPr>
                <w:rFonts w:cs="Arial"/>
                <w:bCs/>
                <w:sz w:val="20"/>
                <w:szCs w:val="20"/>
              </w:rPr>
            </w:pPr>
            <w:r w:rsidRPr="009D434D">
              <w:rPr>
                <w:rFonts w:cs="Arial"/>
                <w:bCs/>
                <w:sz w:val="20"/>
                <w:szCs w:val="20"/>
              </w:rPr>
              <w:t>Ensure the complaints register is completed as prescribed</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9D434D" w:rsidRDefault="003572C8" w:rsidP="003572C8">
            <w:pPr>
              <w:keepNext/>
              <w:rPr>
                <w:rFonts w:cs="Arial"/>
                <w:sz w:val="20"/>
                <w:szCs w:val="20"/>
              </w:rPr>
            </w:pPr>
            <w:r w:rsidRPr="009D434D">
              <w:rPr>
                <w:rFonts w:cs="Arial"/>
                <w:sz w:val="20"/>
                <w:szCs w:val="20"/>
              </w:rPr>
              <w:t>PA Low</w:t>
            </w:r>
          </w:p>
          <w:p w:rsidR="003572C8" w:rsidRPr="009D434D" w:rsidRDefault="003572C8" w:rsidP="003572C8">
            <w:pPr>
              <w:keepNext/>
              <w:rPr>
                <w:rFonts w:cs="Arial"/>
                <w:sz w:val="20"/>
                <w:szCs w:val="20"/>
              </w:rPr>
            </w:pPr>
            <w:r w:rsidRPr="009D434D">
              <w:rPr>
                <w:rFonts w:cs="Arial"/>
                <w:sz w:val="20"/>
                <w:szCs w:val="20"/>
              </w:rPr>
              <w:t>180</w:t>
            </w:r>
          </w:p>
        </w:tc>
      </w:tr>
      <w:tr w:rsidR="003572C8" w:rsidTr="003572C8">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452D7D" w:rsidRDefault="003572C8" w:rsidP="003572C8">
            <w:pPr>
              <w:rPr>
                <w:rFonts w:cs="Arial"/>
                <w:b/>
                <w:sz w:val="20"/>
                <w:szCs w:val="20"/>
              </w:rPr>
            </w:pPr>
            <w:r w:rsidRPr="00452D7D">
              <w:rPr>
                <w:rFonts w:cs="Arial"/>
                <w:b/>
                <w:sz w:val="20"/>
                <w:szCs w:val="20"/>
              </w:rPr>
              <w:t>Standard 1.3.12</w:t>
            </w:r>
          </w:p>
          <w:p w:rsidR="003572C8" w:rsidRPr="00452D7D" w:rsidRDefault="003572C8" w:rsidP="003572C8">
            <w:pPr>
              <w:rPr>
                <w:rFonts w:cs="Arial"/>
                <w:sz w:val="20"/>
                <w:szCs w:val="20"/>
              </w:rPr>
            </w:pPr>
            <w:r w:rsidRPr="00452D7D">
              <w:rPr>
                <w:rFonts w:cs="Arial"/>
                <w:sz w:val="20"/>
                <w:szCs w:val="20"/>
              </w:rPr>
              <w:t>Consumers receive medicines in a safe and timely manner that complies with current legislative requirements and safe practice guidelines.</w:t>
            </w:r>
          </w:p>
          <w:p w:rsidR="003572C8" w:rsidRPr="00452D7D" w:rsidRDefault="003572C8" w:rsidP="003572C8">
            <w:pPr>
              <w:rPr>
                <w:rFonts w:cs="Arial"/>
                <w:sz w:val="20"/>
                <w:szCs w:val="20"/>
              </w:rPr>
            </w:pP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697289" w:rsidRDefault="00697289" w:rsidP="003572C8">
            <w:pPr>
              <w:rPr>
                <w:rFonts w:cs="Arial"/>
                <w:sz w:val="20"/>
                <w:szCs w:val="20"/>
              </w:rPr>
            </w:pPr>
            <w:r w:rsidRPr="00697289">
              <w:rPr>
                <w:rFonts w:cs="Arial"/>
                <w:sz w:val="20"/>
                <w:szCs w:val="20"/>
              </w:rPr>
              <w:t>A sample of medication charts were reviewed (13) and generally medication is managed in an acceptable manner, however, the following are improvements required: recording of allergies (or no allergies) on the medication chart, prn medication is being used regularly (and could be prescribed as a regular medication), current resident photos are to be attached to medication charts. In respect of controlled drugs, documentation suggested at times there was a 15-20 minute delay between retrieval from the locked cabinet and administration</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697289" w:rsidRDefault="00795A42" w:rsidP="003572C8">
            <w:pPr>
              <w:keepNext/>
              <w:rPr>
                <w:rFonts w:cs="Arial"/>
                <w:sz w:val="20"/>
                <w:szCs w:val="20"/>
              </w:rPr>
            </w:pPr>
            <w:r w:rsidRPr="00795A42">
              <w:rPr>
                <w:rFonts w:cs="Arial"/>
                <w:sz w:val="20"/>
                <w:szCs w:val="20"/>
              </w:rPr>
              <w:t>Medication administration complies with current legislative requirements and safe practice</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72C8" w:rsidRPr="00697289" w:rsidRDefault="003572C8" w:rsidP="003572C8">
            <w:pPr>
              <w:keepNext/>
              <w:rPr>
                <w:rFonts w:cs="Arial"/>
                <w:sz w:val="20"/>
                <w:szCs w:val="20"/>
              </w:rPr>
            </w:pPr>
            <w:r w:rsidRPr="00697289">
              <w:rPr>
                <w:rFonts w:cs="Arial"/>
                <w:sz w:val="20"/>
                <w:szCs w:val="20"/>
              </w:rPr>
              <w:t xml:space="preserve">PA </w:t>
            </w:r>
            <w:r w:rsidR="00697289" w:rsidRPr="00697289">
              <w:rPr>
                <w:rFonts w:cs="Arial"/>
                <w:sz w:val="20"/>
                <w:szCs w:val="20"/>
              </w:rPr>
              <w:t>Low</w:t>
            </w:r>
          </w:p>
          <w:p w:rsidR="003572C8" w:rsidRDefault="00697289" w:rsidP="003572C8">
            <w:pPr>
              <w:rPr>
                <w:rFonts w:cs="Arial"/>
                <w:sz w:val="20"/>
                <w:szCs w:val="20"/>
              </w:rPr>
            </w:pPr>
            <w:r w:rsidRPr="00697289">
              <w:rPr>
                <w:rFonts w:cs="Arial"/>
                <w:sz w:val="20"/>
                <w:szCs w:val="20"/>
              </w:rPr>
              <w:t>180</w:t>
            </w:r>
            <w:r w:rsidR="003572C8" w:rsidRPr="00697289">
              <w:rPr>
                <w:rFonts w:cs="Arial"/>
                <w:sz w:val="20"/>
                <w:szCs w:val="20"/>
              </w:rPr>
              <w:t xml:space="preserve"> days</w:t>
            </w:r>
          </w:p>
        </w:tc>
      </w:tr>
    </w:tbl>
    <w:p w:rsidR="00E1551C" w:rsidRDefault="00E1551C" w:rsidP="003553C8">
      <w:pPr>
        <w:pStyle w:val="Heading1"/>
      </w:pPr>
      <w:bookmarkStart w:id="25" w:name="CARTableInspectionSummary"/>
      <w:bookmarkStart w:id="26" w:name="_Toc351967203"/>
      <w:bookmarkStart w:id="27" w:name="_Toc468692172"/>
      <w:bookmarkEnd w:id="25"/>
      <w:r>
        <w:lastRenderedPageBreak/>
        <w:t>Summation Meeting</w:t>
      </w:r>
      <w:bookmarkEnd w:id="26"/>
      <w:bookmarkEnd w:id="27"/>
    </w:p>
    <w:p w:rsidR="003627FC" w:rsidRPr="003627FC" w:rsidRDefault="003627FC" w:rsidP="003627FC">
      <w:pPr>
        <w:pStyle w:val="BodyText"/>
      </w:pPr>
      <w:r w:rsidRPr="003627FC">
        <w:t xml:space="preserve">The closing meeting was attended by: </w:t>
      </w:r>
      <w:r w:rsidR="00757138" w:rsidRPr="00757138">
        <w:rPr>
          <w:highlight w:val="black"/>
        </w:rPr>
        <w:t>XXXXXX</w:t>
      </w:r>
      <w:r w:rsidRPr="003627FC">
        <w:t xml:space="preserve"> (HealthCERT), </w:t>
      </w:r>
      <w:r w:rsidR="00757138" w:rsidRPr="00757138">
        <w:rPr>
          <w:highlight w:val="black"/>
        </w:rPr>
        <w:t>XXXXXX</w:t>
      </w:r>
      <w:r w:rsidRPr="003627FC">
        <w:t>, Clinical</w:t>
      </w:r>
      <w:r>
        <w:t xml:space="preserve"> Nurse Manager, District Nursing, </w:t>
      </w:r>
      <w:r w:rsidR="00757138" w:rsidRPr="00757138">
        <w:rPr>
          <w:highlight w:val="black"/>
        </w:rPr>
        <w:t>XXXXXX</w:t>
      </w:r>
      <w:r>
        <w:t>, Associate Director Patient, Nursing, Midwifery (</w:t>
      </w:r>
      <w:r w:rsidR="00900898">
        <w:t xml:space="preserve">both </w:t>
      </w:r>
      <w:r>
        <w:t xml:space="preserve">SCDHB), </w:t>
      </w:r>
      <w:r w:rsidR="00757138" w:rsidRPr="00757138">
        <w:rPr>
          <w:highlight w:val="black"/>
        </w:rPr>
        <w:t>XXXXXX</w:t>
      </w:r>
      <w:r>
        <w:t xml:space="preserve">, Facility Manager, </w:t>
      </w:r>
      <w:r w:rsidR="00757138" w:rsidRPr="00757138">
        <w:rPr>
          <w:highlight w:val="black"/>
        </w:rPr>
        <w:t>XXXXXX</w:t>
      </w:r>
      <w:r>
        <w:t xml:space="preserve">, Clinical Nurse Manager and </w:t>
      </w:r>
      <w:r w:rsidR="00757138" w:rsidRPr="00757138">
        <w:rPr>
          <w:highlight w:val="black"/>
        </w:rPr>
        <w:t>XXXXXX</w:t>
      </w:r>
      <w:r>
        <w:t xml:space="preserve">, Regional Manager. In addition the following SCDHB staff attended: </w:t>
      </w:r>
      <w:r w:rsidR="00757138" w:rsidRPr="00757138">
        <w:rPr>
          <w:highlight w:val="black"/>
        </w:rPr>
        <w:t>XXXXXX</w:t>
      </w:r>
      <w:r w:rsidRPr="003627FC">
        <w:t xml:space="preserve">, Director of Nursing and Midwifery, </w:t>
      </w:r>
      <w:r w:rsidR="00757138" w:rsidRPr="00757138">
        <w:rPr>
          <w:highlight w:val="black"/>
        </w:rPr>
        <w:t>XXXXXX</w:t>
      </w:r>
      <w:r w:rsidRPr="003627FC">
        <w:t xml:space="preserve">, Director of Primary Care and Allied Health Partnerships, </w:t>
      </w:r>
      <w:r w:rsidR="00757138" w:rsidRPr="00757138">
        <w:rPr>
          <w:highlight w:val="black"/>
        </w:rPr>
        <w:t>XXXXXX</w:t>
      </w:r>
      <w:r w:rsidRPr="003627FC">
        <w:t>, Manager of Health of Older Persons and Long Term Conditions</w:t>
      </w:r>
      <w:r>
        <w:t>.</w:t>
      </w:r>
    </w:p>
    <w:p w:rsidR="000433EA" w:rsidRDefault="00757138" w:rsidP="00A50792">
      <w:pPr>
        <w:pStyle w:val="BodyText"/>
      </w:pPr>
      <w:bookmarkStart w:id="28" w:name="PRMS_LeadAuditor3"/>
      <w:bookmarkEnd w:id="28"/>
      <w:r w:rsidRPr="00832068">
        <w:rPr>
          <w:highlight w:val="black"/>
        </w:rPr>
        <w:t>XXXXXX</w:t>
      </w:r>
      <w:r>
        <w:t xml:space="preserve"> </w:t>
      </w:r>
      <w:r w:rsidR="00A50792">
        <w:t xml:space="preserve">thanked the facility for their participation and approach to the investigation recognising that this was an unannounced inspection. </w:t>
      </w:r>
      <w:r w:rsidR="00DE7A37">
        <w:t xml:space="preserve">It was </w:t>
      </w:r>
      <w:r w:rsidR="00DE7A37" w:rsidRPr="009C324D">
        <w:t>explained that a draft report would include a full description of findings. The draft report will</w:t>
      </w:r>
      <w:r w:rsidR="00B20FF8">
        <w:t xml:space="preserve"> be sent to the provider within ten</w:t>
      </w:r>
      <w:r w:rsidR="00DE7A37" w:rsidRPr="009C324D">
        <w:t xml:space="preserve"> working days for </w:t>
      </w:r>
      <w:r w:rsidR="00DE7A37">
        <w:t xml:space="preserve">any factual </w:t>
      </w:r>
      <w:r w:rsidR="00DE7A37" w:rsidRPr="009C324D">
        <w:t>correction</w:t>
      </w:r>
      <w:r w:rsidR="00DE7A37">
        <w:t>s</w:t>
      </w:r>
      <w:r w:rsidR="00DE7A37" w:rsidRPr="009C324D">
        <w:t xml:space="preserve">. </w:t>
      </w:r>
      <w:r w:rsidR="00A50792">
        <w:t>The provider was advised that this investigation report would be published on the Ministry of Health website.</w:t>
      </w:r>
    </w:p>
    <w:p w:rsidR="00256B04" w:rsidRPr="008D3266" w:rsidRDefault="00256B04" w:rsidP="00256B04">
      <w:pPr>
        <w:pStyle w:val="Heading1"/>
        <w:tabs>
          <w:tab w:val="left" w:pos="360"/>
        </w:tabs>
        <w:suppressAutoHyphens/>
        <w:spacing w:before="360"/>
        <w:ind w:left="360" w:hanging="360"/>
        <w:rPr>
          <w:sz w:val="28"/>
          <w:lang w:val="en-NZ"/>
        </w:rPr>
      </w:pPr>
      <w:bookmarkStart w:id="29" w:name="_Toc429055391"/>
      <w:bookmarkStart w:id="30" w:name="_Toc468692173"/>
      <w:r w:rsidRPr="008D3266">
        <w:rPr>
          <w:sz w:val="28"/>
          <w:lang w:val="en-NZ"/>
        </w:rPr>
        <w:t>Conclusion</w:t>
      </w:r>
      <w:bookmarkEnd w:id="29"/>
      <w:bookmarkEnd w:id="30"/>
    </w:p>
    <w:p w:rsidR="00256B04" w:rsidRDefault="00256B04" w:rsidP="00256B04">
      <w:pPr>
        <w:pStyle w:val="MoHHeading2"/>
        <w:spacing w:before="240"/>
        <w:rPr>
          <w:rFonts w:cs="Arial"/>
          <w:b w:val="0"/>
        </w:rPr>
      </w:pPr>
      <w:r>
        <w:rPr>
          <w:rFonts w:cs="Arial"/>
          <w:b w:val="0"/>
        </w:rPr>
        <w:t xml:space="preserve">Under Section 9 of the Act, certified providers </w:t>
      </w:r>
      <w:bookmarkStart w:id="31" w:name="_GoBack"/>
      <w:bookmarkEnd w:id="31"/>
      <w:r>
        <w:rPr>
          <w:rFonts w:cs="Arial"/>
          <w:b w:val="0"/>
        </w:rPr>
        <w:t>must meet all relevant standards and comply with any conditions subject to which the provider was certified by the Director-General of Health.  Radius Elloughton Gardens is required to undertake the following corrective actions within the specified timeframes. If the corrective actions are not achieved, the Ministry may take action in relation to non-compliance with the requirements of the Act.</w:t>
      </w:r>
    </w:p>
    <w:p w:rsidR="00256B04" w:rsidRDefault="00256B04" w:rsidP="00256B04">
      <w:pPr>
        <w:rPr>
          <w:rFonts w:cs="Arial"/>
          <w:b/>
          <w:bCs/>
          <w:color w:val="000000"/>
          <w:szCs w:val="16"/>
          <w:lang w:val="en-US"/>
        </w:rPr>
      </w:pPr>
      <w:bookmarkStart w:id="32" w:name="_Toc401243502"/>
    </w:p>
    <w:p w:rsidR="00256B04" w:rsidRDefault="00256B04" w:rsidP="00256B04">
      <w:pPr>
        <w:pStyle w:val="Heading2"/>
      </w:pPr>
      <w:bookmarkStart w:id="33" w:name="_Toc429055392"/>
      <w:r>
        <w:lastRenderedPageBreak/>
        <w:t>Required Corrective Action</w:t>
      </w:r>
      <w:bookmarkEnd w:id="32"/>
      <w:r>
        <w:t>s</w:t>
      </w:r>
      <w:bookmarkEnd w:id="33"/>
    </w:p>
    <w:p w:rsidR="00256B04" w:rsidRDefault="00256B04" w:rsidP="00256B04">
      <w:pPr>
        <w:pStyle w:val="NoSpacing"/>
        <w:spacing w:before="240"/>
        <w:rPr>
          <w:rFonts w:ascii="Arial" w:hAnsi="Arial" w:cs="Arial"/>
        </w:rPr>
      </w:pPr>
      <w:r>
        <w:rPr>
          <w:rFonts w:ascii="Arial" w:hAnsi="Arial" w:cs="Arial"/>
        </w:rPr>
        <w:t xml:space="preserve">A written progress report that outlines all actions undertaken by the provider in relation to the corrective measures required against Health and Disability Services Standard </w:t>
      </w:r>
      <w:r w:rsidR="002A410B">
        <w:rPr>
          <w:rFonts w:ascii="Arial" w:hAnsi="Arial" w:cs="Arial"/>
        </w:rPr>
        <w:t>1.3.12</w:t>
      </w:r>
      <w:r>
        <w:rPr>
          <w:rFonts w:ascii="Arial" w:hAnsi="Arial" w:cs="Arial"/>
        </w:rPr>
        <w:t xml:space="preserve">, (as approved under Section 13 of the Act) must be submitted to the </w:t>
      </w:r>
      <w:r w:rsidR="002A410B">
        <w:rPr>
          <w:rFonts w:ascii="Arial" w:hAnsi="Arial" w:cs="Arial"/>
        </w:rPr>
        <w:t xml:space="preserve">South </w:t>
      </w:r>
      <w:r>
        <w:rPr>
          <w:rFonts w:ascii="Arial" w:hAnsi="Arial" w:cs="Arial"/>
        </w:rPr>
        <w:t xml:space="preserve">Canterbury District Health Board by </w:t>
      </w:r>
      <w:r w:rsidR="00533C42">
        <w:rPr>
          <w:rFonts w:ascii="Arial" w:hAnsi="Arial" w:cs="Arial"/>
        </w:rPr>
        <w:t>13 June 2017</w:t>
      </w:r>
      <w:r>
        <w:rPr>
          <w:rFonts w:ascii="Arial" w:hAnsi="Arial" w:cs="Arial"/>
        </w:rPr>
        <w:t xml:space="preserve">. The </w:t>
      </w:r>
      <w:r w:rsidR="002A410B">
        <w:rPr>
          <w:rFonts w:ascii="Arial" w:hAnsi="Arial" w:cs="Arial"/>
        </w:rPr>
        <w:t xml:space="preserve">South </w:t>
      </w:r>
      <w:r>
        <w:rPr>
          <w:rFonts w:ascii="Arial" w:hAnsi="Arial" w:cs="Arial"/>
        </w:rPr>
        <w:t>Canterbury District Health Board will notify the Director-General of Health of progress, if any, and if required in accordance with the Ministry of Health's requirements for the processing of progress reports.</w:t>
      </w:r>
    </w:p>
    <w:p w:rsidR="00256B04" w:rsidRDefault="00256B04" w:rsidP="00256B04">
      <w:pPr>
        <w:pStyle w:val="NoSpacing"/>
        <w:spacing w:before="240"/>
        <w:rPr>
          <w:rFonts w:ascii="Arial" w:hAnsi="Arial" w:cs="Arial"/>
        </w:rPr>
      </w:pPr>
      <w:r>
        <w:rPr>
          <w:rFonts w:ascii="Arial" w:hAnsi="Arial" w:cs="Arial"/>
        </w:rPr>
        <w:t xml:space="preserve">A written progress report that outlines all actions undertaken by the provider in relation to the corrective measures required against Health and Disability Services Standard </w:t>
      </w:r>
      <w:r w:rsidR="002A410B">
        <w:rPr>
          <w:rFonts w:ascii="Arial" w:hAnsi="Arial" w:cs="Arial"/>
        </w:rPr>
        <w:t>1.1.13</w:t>
      </w:r>
      <w:r>
        <w:rPr>
          <w:rFonts w:ascii="Arial" w:hAnsi="Arial" w:cs="Arial"/>
        </w:rPr>
        <w:t xml:space="preserve"> (as approved under Section 13 of the Act) must be submitted to the </w:t>
      </w:r>
      <w:r w:rsidR="002A410B">
        <w:rPr>
          <w:rFonts w:ascii="Arial" w:hAnsi="Arial" w:cs="Arial"/>
        </w:rPr>
        <w:t xml:space="preserve">South </w:t>
      </w:r>
      <w:r>
        <w:rPr>
          <w:rFonts w:ascii="Arial" w:hAnsi="Arial" w:cs="Arial"/>
        </w:rPr>
        <w:t xml:space="preserve">Canterbury District Health Board by </w:t>
      </w:r>
      <w:r w:rsidR="00533C42">
        <w:rPr>
          <w:rFonts w:ascii="Arial" w:hAnsi="Arial" w:cs="Arial"/>
        </w:rPr>
        <w:t>13 June 2017</w:t>
      </w:r>
      <w:r>
        <w:rPr>
          <w:rFonts w:ascii="Arial" w:hAnsi="Arial" w:cs="Arial"/>
        </w:rPr>
        <w:t xml:space="preserve">. The </w:t>
      </w:r>
      <w:r w:rsidR="002A410B">
        <w:rPr>
          <w:rFonts w:ascii="Arial" w:hAnsi="Arial" w:cs="Arial"/>
        </w:rPr>
        <w:t xml:space="preserve">South </w:t>
      </w:r>
      <w:r>
        <w:rPr>
          <w:rFonts w:ascii="Arial" w:hAnsi="Arial" w:cs="Arial"/>
        </w:rPr>
        <w:t>Canterbury District Health Board will notify the Director-General of Health of progress, if any, and if required in accordance with the Ministry of Health's requirements for the processing of progress reports.</w:t>
      </w:r>
    </w:p>
    <w:sectPr w:rsidR="00256B04"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F8" w:rsidRDefault="00473CF8">
      <w:r>
        <w:separator/>
      </w:r>
    </w:p>
  </w:endnote>
  <w:endnote w:type="continuationSeparator" w:id="0">
    <w:p w:rsidR="00473CF8" w:rsidRDefault="0047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F8" w:rsidRDefault="00473CF8">
    <w:pPr>
      <w:pStyle w:val="Footer"/>
      <w:jc w:val="right"/>
    </w:pPr>
    <w:r>
      <w:fldChar w:fldCharType="begin"/>
    </w:r>
    <w:r>
      <w:instrText xml:space="preserve"> PAGE   \* MERGEFORMAT </w:instrText>
    </w:r>
    <w:r>
      <w:fldChar w:fldCharType="separate"/>
    </w:r>
    <w:r w:rsidR="00832068">
      <w:rPr>
        <w:noProof/>
      </w:rPr>
      <w:t>8</w:t>
    </w:r>
    <w:r>
      <w:rPr>
        <w:noProof/>
      </w:rPr>
      <w:fldChar w:fldCharType="end"/>
    </w:r>
  </w:p>
  <w:p w:rsidR="00473CF8" w:rsidRDefault="00473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F8" w:rsidRDefault="00473CF8">
    <w:pPr>
      <w:pStyle w:val="Footer"/>
      <w:jc w:val="right"/>
    </w:pPr>
    <w:r>
      <w:fldChar w:fldCharType="begin"/>
    </w:r>
    <w:r>
      <w:instrText xml:space="preserve"> PAGE   \* MERGEFORMAT </w:instrText>
    </w:r>
    <w:r>
      <w:fldChar w:fldCharType="separate"/>
    </w:r>
    <w:r w:rsidR="00832068">
      <w:rPr>
        <w:noProof/>
      </w:rPr>
      <w:t>3</w:t>
    </w:r>
    <w:r>
      <w:rPr>
        <w:noProof/>
      </w:rPr>
      <w:fldChar w:fldCharType="end"/>
    </w:r>
  </w:p>
  <w:p w:rsidR="00473CF8" w:rsidRDefault="0047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F8" w:rsidRDefault="00473CF8">
      <w:r>
        <w:separator/>
      </w:r>
    </w:p>
  </w:footnote>
  <w:footnote w:type="continuationSeparator" w:id="0">
    <w:p w:rsidR="00473CF8" w:rsidRDefault="00473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42E"/>
    <w:multiLevelType w:val="hybridMultilevel"/>
    <w:tmpl w:val="27A6722E"/>
    <w:lvl w:ilvl="0" w:tplc="B496632C">
      <w:start w:val="1"/>
      <w:numFmt w:val="bullet"/>
      <w:pStyle w:val="BodyText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5B6823"/>
    <w:multiLevelType w:val="hybridMultilevel"/>
    <w:tmpl w:val="ACB89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C39ED"/>
    <w:multiLevelType w:val="hybridMultilevel"/>
    <w:tmpl w:val="816A5228"/>
    <w:lvl w:ilvl="0" w:tplc="0AB2B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1402E"/>
    <w:multiLevelType w:val="hybridMultilevel"/>
    <w:tmpl w:val="B56E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1161BB1"/>
    <w:multiLevelType w:val="hybridMultilevel"/>
    <w:tmpl w:val="493C0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FA525BE"/>
    <w:multiLevelType w:val="hybridMultilevel"/>
    <w:tmpl w:val="5F60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A64A40"/>
    <w:multiLevelType w:val="hybridMultilevel"/>
    <w:tmpl w:val="207A43E8"/>
    <w:lvl w:ilvl="0" w:tplc="839EA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0556C"/>
    <w:multiLevelType w:val="hybridMultilevel"/>
    <w:tmpl w:val="C500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A6AC3"/>
    <w:multiLevelType w:val="hybridMultilevel"/>
    <w:tmpl w:val="01D45E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D3D298E"/>
    <w:multiLevelType w:val="hybridMultilevel"/>
    <w:tmpl w:val="3B8E2E00"/>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379F0D46"/>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8001EF4"/>
    <w:multiLevelType w:val="hybridMultilevel"/>
    <w:tmpl w:val="402AFB16"/>
    <w:lvl w:ilvl="0" w:tplc="C76C18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3B6AA2"/>
    <w:multiLevelType w:val="hybridMultilevel"/>
    <w:tmpl w:val="2938CDFC"/>
    <w:lvl w:ilvl="0" w:tplc="DDD25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E42618"/>
    <w:multiLevelType w:val="hybridMultilevel"/>
    <w:tmpl w:val="E6C6D5C2"/>
    <w:lvl w:ilvl="0" w:tplc="162278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06B77FB"/>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FB80BE6"/>
    <w:multiLevelType w:val="hybridMultilevel"/>
    <w:tmpl w:val="731EB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9B22B7"/>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C933088"/>
    <w:multiLevelType w:val="hybridMultilevel"/>
    <w:tmpl w:val="373C5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1460FDA"/>
    <w:multiLevelType w:val="hybridMultilevel"/>
    <w:tmpl w:val="7D24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7B7AFF"/>
    <w:multiLevelType w:val="multilevel"/>
    <w:tmpl w:val="98A6C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2AF143F"/>
    <w:multiLevelType w:val="hybridMultilevel"/>
    <w:tmpl w:val="07024B86"/>
    <w:lvl w:ilvl="0" w:tplc="A4F02650">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D26649"/>
    <w:multiLevelType w:val="hybridMultilevel"/>
    <w:tmpl w:val="839ECA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5">
    <w:nsid w:val="76E61539"/>
    <w:multiLevelType w:val="hybridMultilevel"/>
    <w:tmpl w:val="D400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541396"/>
    <w:multiLevelType w:val="hybridMultilevel"/>
    <w:tmpl w:val="09600322"/>
    <w:lvl w:ilvl="0" w:tplc="D6A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121436"/>
    <w:multiLevelType w:val="hybridMultilevel"/>
    <w:tmpl w:val="2CB2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3B64BE"/>
    <w:multiLevelType w:val="hybridMultilevel"/>
    <w:tmpl w:val="6CDC9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4"/>
  </w:num>
  <w:num w:numId="4">
    <w:abstractNumId w:val="23"/>
  </w:num>
  <w:num w:numId="5">
    <w:abstractNumId w:val="11"/>
  </w:num>
  <w:num w:numId="6">
    <w:abstractNumId w:val="2"/>
  </w:num>
  <w:num w:numId="7">
    <w:abstractNumId w:val="6"/>
  </w:num>
  <w:num w:numId="8">
    <w:abstractNumId w:val="12"/>
  </w:num>
  <w:num w:numId="9">
    <w:abstractNumId w:val="26"/>
  </w:num>
  <w:num w:numId="10">
    <w:abstractNumId w:val="13"/>
  </w:num>
  <w:num w:numId="11">
    <w:abstractNumId w:val="27"/>
  </w:num>
  <w:num w:numId="12">
    <w:abstractNumId w:val="7"/>
  </w:num>
  <w:num w:numId="13">
    <w:abstractNumId w:val="1"/>
  </w:num>
  <w:num w:numId="14">
    <w:abstractNumId w:val="17"/>
  </w:num>
  <w:num w:numId="15">
    <w:abstractNumId w:val="22"/>
  </w:num>
  <w:num w:numId="16">
    <w:abstractNumId w:val="10"/>
  </w:num>
  <w:num w:numId="17">
    <w:abstractNumId w:val="9"/>
  </w:num>
  <w:num w:numId="18">
    <w:abstractNumId w:val="15"/>
  </w:num>
  <w:num w:numId="19">
    <w:abstractNumId w:val="18"/>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0"/>
  </w:num>
  <w:num w:numId="28">
    <w:abstractNumId w:val="8"/>
  </w:num>
  <w:num w:numId="29">
    <w:abstractNumId w:val="3"/>
  </w:num>
  <w:num w:numId="30">
    <w:abstractNumId w:val="21"/>
  </w:num>
  <w:num w:numId="31">
    <w:abstractNumId w:val="16"/>
  </w:num>
  <w:num w:numId="32">
    <w:abstractNumId w:val="19"/>
  </w:num>
  <w:num w:numId="33">
    <w:abstractNumId w:val="28"/>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C"/>
    <w:rsid w:val="0000072E"/>
    <w:rsid w:val="0002668D"/>
    <w:rsid w:val="000362CF"/>
    <w:rsid w:val="00042A8A"/>
    <w:rsid w:val="000433EA"/>
    <w:rsid w:val="00052271"/>
    <w:rsid w:val="00062F6A"/>
    <w:rsid w:val="000703FC"/>
    <w:rsid w:val="00080E64"/>
    <w:rsid w:val="00081CBC"/>
    <w:rsid w:val="000912E7"/>
    <w:rsid w:val="000A2E80"/>
    <w:rsid w:val="000B2893"/>
    <w:rsid w:val="000B4CDA"/>
    <w:rsid w:val="000D497B"/>
    <w:rsid w:val="000E6334"/>
    <w:rsid w:val="000F1BE9"/>
    <w:rsid w:val="001413D1"/>
    <w:rsid w:val="001563B2"/>
    <w:rsid w:val="00177A56"/>
    <w:rsid w:val="001B07CA"/>
    <w:rsid w:val="001B210E"/>
    <w:rsid w:val="001B7524"/>
    <w:rsid w:val="001C0EB3"/>
    <w:rsid w:val="001C292B"/>
    <w:rsid w:val="001D76A9"/>
    <w:rsid w:val="001E4AC6"/>
    <w:rsid w:val="001E7CF5"/>
    <w:rsid w:val="001F131D"/>
    <w:rsid w:val="00202B19"/>
    <w:rsid w:val="00214F08"/>
    <w:rsid w:val="002160D2"/>
    <w:rsid w:val="00221357"/>
    <w:rsid w:val="0022242A"/>
    <w:rsid w:val="00232AA3"/>
    <w:rsid w:val="002520B5"/>
    <w:rsid w:val="00256B04"/>
    <w:rsid w:val="00286F96"/>
    <w:rsid w:val="002A410B"/>
    <w:rsid w:val="002A4152"/>
    <w:rsid w:val="002B6426"/>
    <w:rsid w:val="002C7AD6"/>
    <w:rsid w:val="002D06AB"/>
    <w:rsid w:val="002D0889"/>
    <w:rsid w:val="002D39C3"/>
    <w:rsid w:val="002E36C1"/>
    <w:rsid w:val="002F5378"/>
    <w:rsid w:val="00323716"/>
    <w:rsid w:val="003245B3"/>
    <w:rsid w:val="00335E04"/>
    <w:rsid w:val="00342F01"/>
    <w:rsid w:val="003553C8"/>
    <w:rsid w:val="003572C8"/>
    <w:rsid w:val="003627FC"/>
    <w:rsid w:val="00363872"/>
    <w:rsid w:val="003D5237"/>
    <w:rsid w:val="003E7410"/>
    <w:rsid w:val="003F04B0"/>
    <w:rsid w:val="003F204E"/>
    <w:rsid w:val="003F384E"/>
    <w:rsid w:val="00411FE4"/>
    <w:rsid w:val="0041624F"/>
    <w:rsid w:val="00421177"/>
    <w:rsid w:val="004236F0"/>
    <w:rsid w:val="00436420"/>
    <w:rsid w:val="004452A5"/>
    <w:rsid w:val="00452D7D"/>
    <w:rsid w:val="00455B8A"/>
    <w:rsid w:val="00466585"/>
    <w:rsid w:val="00473CF8"/>
    <w:rsid w:val="00474870"/>
    <w:rsid w:val="004972A7"/>
    <w:rsid w:val="004B0F01"/>
    <w:rsid w:val="004C3300"/>
    <w:rsid w:val="004D449C"/>
    <w:rsid w:val="004F0505"/>
    <w:rsid w:val="004F6BFE"/>
    <w:rsid w:val="0050454A"/>
    <w:rsid w:val="005118B6"/>
    <w:rsid w:val="0052779F"/>
    <w:rsid w:val="00532FDB"/>
    <w:rsid w:val="00533C42"/>
    <w:rsid w:val="0054647B"/>
    <w:rsid w:val="00546E13"/>
    <w:rsid w:val="00555F62"/>
    <w:rsid w:val="00584C57"/>
    <w:rsid w:val="00597262"/>
    <w:rsid w:val="005A1F07"/>
    <w:rsid w:val="005D15D1"/>
    <w:rsid w:val="005D1A37"/>
    <w:rsid w:val="005E06D7"/>
    <w:rsid w:val="00605B55"/>
    <w:rsid w:val="00606766"/>
    <w:rsid w:val="00607820"/>
    <w:rsid w:val="00642FDF"/>
    <w:rsid w:val="00643C1D"/>
    <w:rsid w:val="006456A8"/>
    <w:rsid w:val="00650263"/>
    <w:rsid w:val="00650E68"/>
    <w:rsid w:val="0066773E"/>
    <w:rsid w:val="00674B6A"/>
    <w:rsid w:val="00697289"/>
    <w:rsid w:val="006B0F64"/>
    <w:rsid w:val="006B5C53"/>
    <w:rsid w:val="006B70C9"/>
    <w:rsid w:val="006E1D84"/>
    <w:rsid w:val="00703F50"/>
    <w:rsid w:val="0070430E"/>
    <w:rsid w:val="00710018"/>
    <w:rsid w:val="0072175B"/>
    <w:rsid w:val="00722202"/>
    <w:rsid w:val="007376B1"/>
    <w:rsid w:val="00743774"/>
    <w:rsid w:val="00743E35"/>
    <w:rsid w:val="00754FD0"/>
    <w:rsid w:val="00757138"/>
    <w:rsid w:val="0076086C"/>
    <w:rsid w:val="0079116C"/>
    <w:rsid w:val="00794B26"/>
    <w:rsid w:val="00795A42"/>
    <w:rsid w:val="007A652A"/>
    <w:rsid w:val="007B5780"/>
    <w:rsid w:val="007C4B2A"/>
    <w:rsid w:val="007D3EE5"/>
    <w:rsid w:val="007D4700"/>
    <w:rsid w:val="007E51F5"/>
    <w:rsid w:val="007F037D"/>
    <w:rsid w:val="00806D78"/>
    <w:rsid w:val="00811928"/>
    <w:rsid w:val="008238C7"/>
    <w:rsid w:val="00824B4F"/>
    <w:rsid w:val="00832068"/>
    <w:rsid w:val="00834409"/>
    <w:rsid w:val="00855AC6"/>
    <w:rsid w:val="00862522"/>
    <w:rsid w:val="00874149"/>
    <w:rsid w:val="00874FB0"/>
    <w:rsid w:val="0089307A"/>
    <w:rsid w:val="008A262E"/>
    <w:rsid w:val="008B6CF1"/>
    <w:rsid w:val="008B7BC8"/>
    <w:rsid w:val="008C204B"/>
    <w:rsid w:val="008C4500"/>
    <w:rsid w:val="008E0F4F"/>
    <w:rsid w:val="008F66DC"/>
    <w:rsid w:val="00900898"/>
    <w:rsid w:val="00913DCE"/>
    <w:rsid w:val="00920438"/>
    <w:rsid w:val="00920C3E"/>
    <w:rsid w:val="00922E22"/>
    <w:rsid w:val="009316BC"/>
    <w:rsid w:val="00956C74"/>
    <w:rsid w:val="009635A1"/>
    <w:rsid w:val="00972E69"/>
    <w:rsid w:val="009939BA"/>
    <w:rsid w:val="009C49B2"/>
    <w:rsid w:val="009D3592"/>
    <w:rsid w:val="009D434D"/>
    <w:rsid w:val="009E1B30"/>
    <w:rsid w:val="009E4808"/>
    <w:rsid w:val="009E60B9"/>
    <w:rsid w:val="009F01D1"/>
    <w:rsid w:val="009F6B9E"/>
    <w:rsid w:val="00A01B78"/>
    <w:rsid w:val="00A068E5"/>
    <w:rsid w:val="00A11079"/>
    <w:rsid w:val="00A165DC"/>
    <w:rsid w:val="00A31C93"/>
    <w:rsid w:val="00A35AD0"/>
    <w:rsid w:val="00A35B80"/>
    <w:rsid w:val="00A43D7C"/>
    <w:rsid w:val="00A457A4"/>
    <w:rsid w:val="00A50792"/>
    <w:rsid w:val="00A670EE"/>
    <w:rsid w:val="00A77666"/>
    <w:rsid w:val="00A80B41"/>
    <w:rsid w:val="00A821E2"/>
    <w:rsid w:val="00A93B4D"/>
    <w:rsid w:val="00AB4C7B"/>
    <w:rsid w:val="00AB6425"/>
    <w:rsid w:val="00AC121C"/>
    <w:rsid w:val="00AC6209"/>
    <w:rsid w:val="00AE2A3A"/>
    <w:rsid w:val="00AE5951"/>
    <w:rsid w:val="00B20FF8"/>
    <w:rsid w:val="00B23AAA"/>
    <w:rsid w:val="00B2459D"/>
    <w:rsid w:val="00B32C7D"/>
    <w:rsid w:val="00B53B74"/>
    <w:rsid w:val="00B57BD3"/>
    <w:rsid w:val="00B73F8D"/>
    <w:rsid w:val="00B8412C"/>
    <w:rsid w:val="00B845A9"/>
    <w:rsid w:val="00BB15FC"/>
    <w:rsid w:val="00BC4AF7"/>
    <w:rsid w:val="00BD59CF"/>
    <w:rsid w:val="00BD7C66"/>
    <w:rsid w:val="00BF26E2"/>
    <w:rsid w:val="00C20C85"/>
    <w:rsid w:val="00C21FD1"/>
    <w:rsid w:val="00C37F29"/>
    <w:rsid w:val="00C47DBD"/>
    <w:rsid w:val="00C604F7"/>
    <w:rsid w:val="00C65E10"/>
    <w:rsid w:val="00C718A7"/>
    <w:rsid w:val="00CB0A2A"/>
    <w:rsid w:val="00CC4CE4"/>
    <w:rsid w:val="00CD41F5"/>
    <w:rsid w:val="00CD69B4"/>
    <w:rsid w:val="00D25BA5"/>
    <w:rsid w:val="00D34667"/>
    <w:rsid w:val="00D367ED"/>
    <w:rsid w:val="00D36AAC"/>
    <w:rsid w:val="00D46198"/>
    <w:rsid w:val="00D47F20"/>
    <w:rsid w:val="00D5289D"/>
    <w:rsid w:val="00D55F6B"/>
    <w:rsid w:val="00D60AC7"/>
    <w:rsid w:val="00D7415E"/>
    <w:rsid w:val="00D829B9"/>
    <w:rsid w:val="00DD19B9"/>
    <w:rsid w:val="00DD22A0"/>
    <w:rsid w:val="00DE5762"/>
    <w:rsid w:val="00DE7A37"/>
    <w:rsid w:val="00DF49E0"/>
    <w:rsid w:val="00DF4C84"/>
    <w:rsid w:val="00E11414"/>
    <w:rsid w:val="00E1551C"/>
    <w:rsid w:val="00E325BD"/>
    <w:rsid w:val="00E33EF1"/>
    <w:rsid w:val="00E42063"/>
    <w:rsid w:val="00E43CA7"/>
    <w:rsid w:val="00E46F75"/>
    <w:rsid w:val="00E659C1"/>
    <w:rsid w:val="00E77554"/>
    <w:rsid w:val="00E838AF"/>
    <w:rsid w:val="00E923A3"/>
    <w:rsid w:val="00EB7912"/>
    <w:rsid w:val="00EC4A3A"/>
    <w:rsid w:val="00EC7093"/>
    <w:rsid w:val="00ED105C"/>
    <w:rsid w:val="00EE6F73"/>
    <w:rsid w:val="00EF1E25"/>
    <w:rsid w:val="00F03A22"/>
    <w:rsid w:val="00F30E55"/>
    <w:rsid w:val="00F33C5C"/>
    <w:rsid w:val="00F43743"/>
    <w:rsid w:val="00F44BAD"/>
    <w:rsid w:val="00F455AB"/>
    <w:rsid w:val="00F513E7"/>
    <w:rsid w:val="00F57635"/>
    <w:rsid w:val="00F75FC7"/>
    <w:rsid w:val="00FB2999"/>
    <w:rsid w:val="00FD4105"/>
    <w:rsid w:val="00FE7FC1"/>
    <w:rsid w:val="00FF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1C08532-3E71-44BB-A235-965AD0D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character" w:customStyle="1" w:styleId="BodyTextChar">
    <w:name w:val="Body Text Char"/>
    <w:basedOn w:val="DefaultParagraphFont"/>
    <w:link w:val="TextBody"/>
    <w:uiPriority w:val="99"/>
    <w:rsid w:val="0041624F"/>
    <w:rPr>
      <w:rFonts w:ascii="Arial" w:hAnsi="Arial" w:cs="Arial"/>
      <w:bCs/>
      <w:sz w:val="24"/>
      <w:szCs w:val="24"/>
      <w:lang w:eastAsia="en-US"/>
    </w:rPr>
  </w:style>
  <w:style w:type="paragraph" w:customStyle="1" w:styleId="TextBody">
    <w:name w:val="Text Body"/>
    <w:basedOn w:val="Normal"/>
    <w:link w:val="BodyTextChar"/>
    <w:rsid w:val="0041624F"/>
    <w:pPr>
      <w:suppressAutoHyphens/>
      <w:spacing w:before="240" w:line="288" w:lineRule="auto"/>
    </w:pPr>
    <w:rPr>
      <w:rFonts w:cs="Arial"/>
      <w:bCs/>
    </w:rPr>
  </w:style>
  <w:style w:type="paragraph" w:styleId="List">
    <w:name w:val="List"/>
    <w:basedOn w:val="TextBody"/>
    <w:rsid w:val="00D60AC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1152">
      <w:bodyDiv w:val="1"/>
      <w:marLeft w:val="0"/>
      <w:marRight w:val="0"/>
      <w:marTop w:val="0"/>
      <w:marBottom w:val="0"/>
      <w:divBdr>
        <w:top w:val="none" w:sz="0" w:space="0" w:color="auto"/>
        <w:left w:val="none" w:sz="0" w:space="0" w:color="auto"/>
        <w:bottom w:val="none" w:sz="0" w:space="0" w:color="auto"/>
        <w:right w:val="none" w:sz="0" w:space="0" w:color="auto"/>
      </w:divBdr>
    </w:div>
    <w:div w:id="262420951">
      <w:bodyDiv w:val="1"/>
      <w:marLeft w:val="0"/>
      <w:marRight w:val="0"/>
      <w:marTop w:val="0"/>
      <w:marBottom w:val="0"/>
      <w:divBdr>
        <w:top w:val="none" w:sz="0" w:space="0" w:color="auto"/>
        <w:left w:val="none" w:sz="0" w:space="0" w:color="auto"/>
        <w:bottom w:val="none" w:sz="0" w:space="0" w:color="auto"/>
        <w:right w:val="none" w:sz="0" w:space="0" w:color="auto"/>
      </w:divBdr>
    </w:div>
    <w:div w:id="297612132">
      <w:bodyDiv w:val="1"/>
      <w:marLeft w:val="0"/>
      <w:marRight w:val="0"/>
      <w:marTop w:val="0"/>
      <w:marBottom w:val="0"/>
      <w:divBdr>
        <w:top w:val="none" w:sz="0" w:space="0" w:color="auto"/>
        <w:left w:val="none" w:sz="0" w:space="0" w:color="auto"/>
        <w:bottom w:val="none" w:sz="0" w:space="0" w:color="auto"/>
        <w:right w:val="none" w:sz="0" w:space="0" w:color="auto"/>
      </w:divBdr>
    </w:div>
    <w:div w:id="469399122">
      <w:bodyDiv w:val="1"/>
      <w:marLeft w:val="0"/>
      <w:marRight w:val="0"/>
      <w:marTop w:val="0"/>
      <w:marBottom w:val="0"/>
      <w:divBdr>
        <w:top w:val="none" w:sz="0" w:space="0" w:color="auto"/>
        <w:left w:val="none" w:sz="0" w:space="0" w:color="auto"/>
        <w:bottom w:val="none" w:sz="0" w:space="0" w:color="auto"/>
        <w:right w:val="none" w:sz="0" w:space="0" w:color="auto"/>
      </w:divBdr>
    </w:div>
    <w:div w:id="934286145">
      <w:bodyDiv w:val="1"/>
      <w:marLeft w:val="0"/>
      <w:marRight w:val="0"/>
      <w:marTop w:val="0"/>
      <w:marBottom w:val="0"/>
      <w:divBdr>
        <w:top w:val="none" w:sz="0" w:space="0" w:color="auto"/>
        <w:left w:val="none" w:sz="0" w:space="0" w:color="auto"/>
        <w:bottom w:val="none" w:sz="0" w:space="0" w:color="auto"/>
        <w:right w:val="none" w:sz="0" w:space="0" w:color="auto"/>
      </w:divBdr>
    </w:div>
    <w:div w:id="1360159348">
      <w:bodyDiv w:val="1"/>
      <w:marLeft w:val="0"/>
      <w:marRight w:val="0"/>
      <w:marTop w:val="0"/>
      <w:marBottom w:val="0"/>
      <w:divBdr>
        <w:top w:val="none" w:sz="0" w:space="0" w:color="auto"/>
        <w:left w:val="none" w:sz="0" w:space="0" w:color="auto"/>
        <w:bottom w:val="none" w:sz="0" w:space="0" w:color="auto"/>
        <w:right w:val="none" w:sz="0" w:space="0" w:color="auto"/>
      </w:divBdr>
    </w:div>
    <w:div w:id="1606881760">
      <w:bodyDiv w:val="1"/>
      <w:marLeft w:val="0"/>
      <w:marRight w:val="0"/>
      <w:marTop w:val="0"/>
      <w:marBottom w:val="0"/>
      <w:divBdr>
        <w:top w:val="none" w:sz="0" w:space="0" w:color="auto"/>
        <w:left w:val="none" w:sz="0" w:space="0" w:color="auto"/>
        <w:bottom w:val="none" w:sz="0" w:space="0" w:color="auto"/>
        <w:right w:val="none" w:sz="0" w:space="0" w:color="auto"/>
      </w:divBdr>
    </w:div>
    <w:div w:id="1824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B6F0-E8E7-4D30-BA1A-E7AD8E07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39692A8E</Template>
  <TotalTime>1</TotalTime>
  <Pages>8</Pages>
  <Words>2190</Words>
  <Characters>13162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15322</CharactersWithSpaces>
  <SharedDoc>false</SharedDoc>
  <HLinks>
    <vt:vector size="42" baseType="variant">
      <vt:variant>
        <vt:i4>1179701</vt:i4>
      </vt:variant>
      <vt:variant>
        <vt:i4>38</vt:i4>
      </vt:variant>
      <vt:variant>
        <vt:i4>0</vt:i4>
      </vt:variant>
      <vt:variant>
        <vt:i4>5</vt:i4>
      </vt:variant>
      <vt:variant>
        <vt:lpwstr/>
      </vt:variant>
      <vt:variant>
        <vt:lpwstr>_Toc348361839</vt:lpwstr>
      </vt:variant>
      <vt:variant>
        <vt:i4>1179701</vt:i4>
      </vt:variant>
      <vt:variant>
        <vt:i4>32</vt:i4>
      </vt:variant>
      <vt:variant>
        <vt:i4>0</vt:i4>
      </vt:variant>
      <vt:variant>
        <vt:i4>5</vt:i4>
      </vt:variant>
      <vt:variant>
        <vt:lpwstr/>
      </vt:variant>
      <vt:variant>
        <vt:lpwstr>_Toc348361838</vt:lpwstr>
      </vt:variant>
      <vt:variant>
        <vt:i4>1179701</vt:i4>
      </vt:variant>
      <vt:variant>
        <vt:i4>26</vt:i4>
      </vt:variant>
      <vt:variant>
        <vt:i4>0</vt:i4>
      </vt:variant>
      <vt:variant>
        <vt:i4>5</vt:i4>
      </vt:variant>
      <vt:variant>
        <vt:lpwstr/>
      </vt:variant>
      <vt:variant>
        <vt:lpwstr>_Toc348361837</vt:lpwstr>
      </vt:variant>
      <vt:variant>
        <vt:i4>1179701</vt:i4>
      </vt:variant>
      <vt:variant>
        <vt:i4>20</vt:i4>
      </vt:variant>
      <vt:variant>
        <vt:i4>0</vt:i4>
      </vt:variant>
      <vt:variant>
        <vt:i4>5</vt:i4>
      </vt:variant>
      <vt:variant>
        <vt:lpwstr/>
      </vt:variant>
      <vt:variant>
        <vt:lpwstr>_Toc348361836</vt:lpwstr>
      </vt:variant>
      <vt:variant>
        <vt:i4>1179701</vt:i4>
      </vt:variant>
      <vt:variant>
        <vt:i4>14</vt:i4>
      </vt:variant>
      <vt:variant>
        <vt:i4>0</vt:i4>
      </vt:variant>
      <vt:variant>
        <vt:i4>5</vt:i4>
      </vt:variant>
      <vt:variant>
        <vt:lpwstr/>
      </vt:variant>
      <vt:variant>
        <vt:lpwstr>_Toc348361835</vt:lpwstr>
      </vt:variant>
      <vt:variant>
        <vt:i4>1179701</vt:i4>
      </vt:variant>
      <vt:variant>
        <vt:i4>8</vt:i4>
      </vt:variant>
      <vt:variant>
        <vt:i4>0</vt:i4>
      </vt:variant>
      <vt:variant>
        <vt:i4>5</vt:i4>
      </vt:variant>
      <vt:variant>
        <vt:lpwstr/>
      </vt:variant>
      <vt:variant>
        <vt:lpwstr>_Toc348361834</vt:lpwstr>
      </vt:variant>
      <vt:variant>
        <vt:i4>1245237</vt:i4>
      </vt:variant>
      <vt:variant>
        <vt:i4>2</vt:i4>
      </vt:variant>
      <vt:variant>
        <vt:i4>0</vt:i4>
      </vt:variant>
      <vt:variant>
        <vt:i4>5</vt:i4>
      </vt:variant>
      <vt:variant>
        <vt:lpwstr/>
      </vt:variant>
      <vt:variant>
        <vt:lpwstr>_Toc348361829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roseie De Gregorio</cp:lastModifiedBy>
  <cp:revision>2</cp:revision>
  <cp:lastPrinted>2013-03-15T00:38:00Z</cp:lastPrinted>
  <dcterms:created xsi:type="dcterms:W3CDTF">2016-12-14T23:56:00Z</dcterms:created>
  <dcterms:modified xsi:type="dcterms:W3CDTF">2016-12-14T23:56:00Z</dcterms:modified>
</cp:coreProperties>
</file>