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93E7" w14:textId="77777777" w:rsidR="00460D43" w:rsidRDefault="00000000">
      <w:pPr>
        <w:pStyle w:val="Heading1"/>
        <w:rPr>
          <w:rFonts w:cs="Arial"/>
        </w:rPr>
      </w:pPr>
      <w:bookmarkStart w:id="0" w:name="PRMS_RIName"/>
      <w:r>
        <w:rPr>
          <w:rFonts w:cs="Arial"/>
        </w:rPr>
        <w:t>Bupa Care Services NZ Limited - Merrivale Rest Home</w:t>
      </w:r>
      <w:bookmarkEnd w:id="0"/>
    </w:p>
    <w:p w14:paraId="38DB01F9" w14:textId="77777777" w:rsidR="00460D43" w:rsidRDefault="00000000">
      <w:pPr>
        <w:pStyle w:val="Heading2"/>
        <w:spacing w:after="0"/>
        <w:rPr>
          <w:rFonts w:cs="Arial"/>
        </w:rPr>
      </w:pPr>
      <w:r>
        <w:rPr>
          <w:rFonts w:cs="Arial"/>
        </w:rPr>
        <w:t>Introduction</w:t>
      </w:r>
    </w:p>
    <w:p w14:paraId="44E78D5E"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022715CF"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307C64B1"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2F2FA083"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512D93A3" w14:textId="77777777" w:rsidR="00460D43" w:rsidRDefault="00000000">
      <w:pPr>
        <w:spacing w:before="240" w:after="240"/>
        <w:rPr>
          <w:rFonts w:cs="Arial"/>
          <w:lang w:eastAsia="en-NZ"/>
        </w:rPr>
      </w:pPr>
      <w:r>
        <w:rPr>
          <w:rFonts w:cs="Arial"/>
          <w:lang w:eastAsia="en-NZ"/>
        </w:rPr>
        <w:t>The specifics of this audit included:</w:t>
      </w:r>
    </w:p>
    <w:p w14:paraId="5C85AA15"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EDAC79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w:t>
      </w:r>
      <w:r>
        <w:rPr>
          <w:rFonts w:cs="Arial"/>
        </w:rPr>
        <w:t>d</w:t>
      </w:r>
      <w:bookmarkEnd w:id="4"/>
    </w:p>
    <w:p w14:paraId="7A289FA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Merrivale Care Home</w:t>
      </w:r>
      <w:bookmarkEnd w:id="5"/>
    </w:p>
    <w:p w14:paraId="0381F72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2BF273A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5 </w:t>
      </w:r>
      <w:r>
        <w:rPr>
          <w:rFonts w:cs="Arial"/>
        </w:rPr>
        <w:t>December 2023</w:t>
      </w:r>
      <w:bookmarkEnd w:id="7"/>
      <w:r w:rsidRPr="009418D4">
        <w:rPr>
          <w:rFonts w:cs="Arial"/>
        </w:rPr>
        <w:tab/>
        <w:t xml:space="preserve">End date: </w:t>
      </w:r>
      <w:bookmarkStart w:id="8" w:name="AuditEndDate"/>
      <w:r>
        <w:rPr>
          <w:rFonts w:cs="Arial"/>
        </w:rPr>
        <w:t>6 December 2023</w:t>
      </w:r>
      <w:bookmarkEnd w:id="8"/>
    </w:p>
    <w:p w14:paraId="0F4B65CC"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A8D0951" w14:textId="77777777" w:rsidR="00824933"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64</w:t>
      </w:r>
      <w:bookmarkEnd w:id="10"/>
    </w:p>
    <w:p w14:paraId="6FAB49D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93C4F51" w14:textId="77777777" w:rsidR="00460D43" w:rsidRDefault="00000000">
      <w:pPr>
        <w:pStyle w:val="Heading1"/>
        <w:rPr>
          <w:rFonts w:cs="Arial"/>
        </w:rPr>
      </w:pPr>
      <w:r>
        <w:rPr>
          <w:rFonts w:cs="Arial"/>
        </w:rPr>
        <w:lastRenderedPageBreak/>
        <w:t>Executive summary of the audit</w:t>
      </w:r>
    </w:p>
    <w:p w14:paraId="39BB8F4C" w14:textId="77777777" w:rsidR="00460D43" w:rsidRDefault="00000000">
      <w:pPr>
        <w:pStyle w:val="Heading2"/>
        <w:rPr>
          <w:rFonts w:cs="Arial"/>
        </w:rPr>
      </w:pPr>
      <w:r>
        <w:rPr>
          <w:rFonts w:cs="Arial"/>
        </w:rPr>
        <w:t>Introduction</w:t>
      </w:r>
    </w:p>
    <w:p w14:paraId="6B752B47"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90A2660"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56EF3C9"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C8B47B9"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64B7F04"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09548B35"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B6D201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473B4F1"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15F1650F"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24933" w14:paraId="7BB1AE03" w14:textId="77777777">
        <w:trPr>
          <w:cantSplit/>
          <w:tblHeader/>
        </w:trPr>
        <w:tc>
          <w:tcPr>
            <w:tcW w:w="1260" w:type="dxa"/>
            <w:tcBorders>
              <w:bottom w:val="single" w:sz="4" w:space="0" w:color="000000"/>
            </w:tcBorders>
            <w:vAlign w:val="center"/>
          </w:tcPr>
          <w:p w14:paraId="68BEAC51"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5E57E48"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02A8EB7" w14:textId="77777777" w:rsidR="00460D43" w:rsidRDefault="00000000">
            <w:pPr>
              <w:spacing w:before="60" w:after="60"/>
              <w:rPr>
                <w:rFonts w:eastAsia="Calibri"/>
                <w:b/>
                <w:szCs w:val="24"/>
              </w:rPr>
            </w:pPr>
            <w:r>
              <w:rPr>
                <w:rFonts w:eastAsia="Calibri"/>
                <w:b/>
                <w:szCs w:val="24"/>
              </w:rPr>
              <w:t>Definition</w:t>
            </w:r>
          </w:p>
        </w:tc>
      </w:tr>
      <w:tr w:rsidR="00824933" w14:paraId="43F5AC9C" w14:textId="77777777">
        <w:trPr>
          <w:cantSplit/>
          <w:trHeight w:val="964"/>
        </w:trPr>
        <w:tc>
          <w:tcPr>
            <w:tcW w:w="1260" w:type="dxa"/>
            <w:tcBorders>
              <w:bottom w:val="single" w:sz="4" w:space="0" w:color="000000"/>
            </w:tcBorders>
            <w:shd w:val="clear" w:color="0066FF" w:fill="0000FF"/>
            <w:vAlign w:val="center"/>
          </w:tcPr>
          <w:p w14:paraId="6A6D976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955813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04AE310"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24933" w14:paraId="509AE297" w14:textId="77777777">
        <w:trPr>
          <w:cantSplit/>
          <w:trHeight w:val="964"/>
        </w:trPr>
        <w:tc>
          <w:tcPr>
            <w:tcW w:w="1260" w:type="dxa"/>
            <w:shd w:val="clear" w:color="33CC33" w:fill="00FF00"/>
            <w:vAlign w:val="center"/>
          </w:tcPr>
          <w:p w14:paraId="42EBC7AB" w14:textId="77777777" w:rsidR="00460D43" w:rsidRDefault="00000000">
            <w:pPr>
              <w:spacing w:before="60" w:after="60"/>
              <w:rPr>
                <w:rFonts w:eastAsia="Calibri"/>
                <w:szCs w:val="24"/>
              </w:rPr>
            </w:pPr>
          </w:p>
        </w:tc>
        <w:tc>
          <w:tcPr>
            <w:tcW w:w="7095" w:type="dxa"/>
            <w:shd w:val="clear" w:color="auto" w:fill="auto"/>
            <w:vAlign w:val="center"/>
          </w:tcPr>
          <w:p w14:paraId="6A57D3A5"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65F49B1"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824933" w14:paraId="761E42B1" w14:textId="77777777">
        <w:trPr>
          <w:cantSplit/>
          <w:trHeight w:val="964"/>
        </w:trPr>
        <w:tc>
          <w:tcPr>
            <w:tcW w:w="1260" w:type="dxa"/>
            <w:tcBorders>
              <w:bottom w:val="single" w:sz="4" w:space="0" w:color="000000"/>
            </w:tcBorders>
            <w:shd w:val="clear" w:color="auto" w:fill="FFFF00"/>
            <w:vAlign w:val="center"/>
          </w:tcPr>
          <w:p w14:paraId="60F3AC25" w14:textId="77777777" w:rsidR="00460D43" w:rsidRDefault="00000000">
            <w:pPr>
              <w:spacing w:before="60" w:after="60"/>
              <w:rPr>
                <w:rFonts w:eastAsia="Calibri"/>
                <w:szCs w:val="24"/>
              </w:rPr>
            </w:pPr>
          </w:p>
        </w:tc>
        <w:tc>
          <w:tcPr>
            <w:tcW w:w="7095" w:type="dxa"/>
            <w:shd w:val="clear" w:color="auto" w:fill="auto"/>
            <w:vAlign w:val="center"/>
          </w:tcPr>
          <w:p w14:paraId="7F1FF9DA"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8C12E6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824933" w14:paraId="03C75477" w14:textId="77777777">
        <w:trPr>
          <w:cantSplit/>
          <w:trHeight w:val="964"/>
        </w:trPr>
        <w:tc>
          <w:tcPr>
            <w:tcW w:w="1260" w:type="dxa"/>
            <w:tcBorders>
              <w:bottom w:val="single" w:sz="4" w:space="0" w:color="000000"/>
            </w:tcBorders>
            <w:shd w:val="clear" w:color="auto" w:fill="FFC800"/>
            <w:vAlign w:val="center"/>
          </w:tcPr>
          <w:p w14:paraId="01F1644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249FF771"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7E47E20"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824933" w14:paraId="51DDA591" w14:textId="77777777">
        <w:trPr>
          <w:cantSplit/>
          <w:trHeight w:val="964"/>
        </w:trPr>
        <w:tc>
          <w:tcPr>
            <w:tcW w:w="1260" w:type="dxa"/>
            <w:shd w:val="clear" w:color="auto" w:fill="FF0000"/>
            <w:vAlign w:val="center"/>
          </w:tcPr>
          <w:p w14:paraId="11000D9C" w14:textId="77777777" w:rsidR="00460D43" w:rsidRDefault="00000000">
            <w:pPr>
              <w:spacing w:before="60" w:after="60"/>
              <w:rPr>
                <w:rFonts w:eastAsia="Calibri"/>
                <w:szCs w:val="24"/>
              </w:rPr>
            </w:pPr>
          </w:p>
        </w:tc>
        <w:tc>
          <w:tcPr>
            <w:tcW w:w="7095" w:type="dxa"/>
            <w:shd w:val="clear" w:color="auto" w:fill="auto"/>
            <w:vAlign w:val="center"/>
          </w:tcPr>
          <w:p w14:paraId="4A16CBE0"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7981EAC"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3F2599E5" w14:textId="77777777" w:rsidR="00460D43" w:rsidRDefault="00000000">
      <w:pPr>
        <w:pStyle w:val="Heading2"/>
        <w:spacing w:after="0"/>
        <w:rPr>
          <w:rFonts w:cs="Arial"/>
        </w:rPr>
      </w:pPr>
      <w:r>
        <w:rPr>
          <w:rFonts w:cs="Arial"/>
        </w:rPr>
        <w:t>General overview of the audit</w:t>
      </w:r>
    </w:p>
    <w:p w14:paraId="208DC773" w14:textId="77777777" w:rsidR="00E536CC" w:rsidRDefault="00000000">
      <w:pPr>
        <w:spacing w:before="240" w:line="276" w:lineRule="auto"/>
        <w:rPr>
          <w:rFonts w:eastAsia="Calibri"/>
        </w:rPr>
      </w:pPr>
      <w:bookmarkStart w:id="13" w:name="GeneralOverview"/>
      <w:r w:rsidRPr="00A4268A">
        <w:rPr>
          <w:rFonts w:eastAsia="Calibri"/>
        </w:rPr>
        <w:t xml:space="preserve">Bupa Merrivale provides hospital (geriatric and medical), rest home, and dementia services for up to 66 residents. There were 64 residents on the days of audit. </w:t>
      </w:r>
    </w:p>
    <w:p w14:paraId="7A2957C6" w14:textId="77777777" w:rsidR="00824933" w:rsidRPr="00A4268A" w:rsidRDefault="00000000">
      <w:pPr>
        <w:spacing w:before="240" w:line="276" w:lineRule="auto"/>
        <w:rPr>
          <w:rFonts w:eastAsia="Calibri"/>
        </w:rPr>
      </w:pPr>
      <w:r w:rsidRPr="00A4268A">
        <w:rPr>
          <w:rFonts w:eastAsia="Calibri"/>
        </w:rPr>
        <w:t xml:space="preserve">This certification audit was conducted against the Ngā Paerewa Health and Disability Services Standard 2021 and the contracts with Te Whatu Ora- Health New Zealand - Te Tai Tokerau. The audit process included the review of policies and procedures, the review of resident and staff files, observations, and interviews with residents, family/whānau, management, staff, and a general practitioner. It is to be noted that interviews were limited in number due to the active Covid-19 outbreak at the time of audit. </w:t>
      </w:r>
    </w:p>
    <w:p w14:paraId="1F192E55" w14:textId="77777777" w:rsidR="00824933" w:rsidRPr="00A4268A" w:rsidRDefault="00000000">
      <w:pPr>
        <w:spacing w:before="240" w:line="276" w:lineRule="auto"/>
        <w:rPr>
          <w:rFonts w:eastAsia="Calibri"/>
        </w:rPr>
      </w:pPr>
      <w:r w:rsidRPr="00A4268A">
        <w:rPr>
          <w:rFonts w:eastAsia="Calibri"/>
        </w:rPr>
        <w:t>The general manager is appropriately qualified and experienced and is supported by a clinical manager (registered nurse). There are quality systems and processes being implemented. Feedback from residents and families/whānau was very positive about the care and the services provided. An induction and in-service training programme are in place to provide staff with appropriate knowledge and skills to deliver care.</w:t>
      </w:r>
    </w:p>
    <w:p w14:paraId="24133FD5" w14:textId="77777777" w:rsidR="00824933" w:rsidRPr="00A4268A" w:rsidRDefault="00000000">
      <w:pPr>
        <w:spacing w:before="240" w:line="276" w:lineRule="auto"/>
        <w:rPr>
          <w:rFonts w:eastAsia="Calibri"/>
        </w:rPr>
      </w:pPr>
      <w:r w:rsidRPr="00A4268A">
        <w:rPr>
          <w:rFonts w:eastAsia="Calibri"/>
        </w:rPr>
        <w:t>This audit identified shortfalls related to internal audits, care plans, and medication management.</w:t>
      </w:r>
    </w:p>
    <w:bookmarkEnd w:id="13"/>
    <w:p w14:paraId="118496C3" w14:textId="77777777" w:rsidR="00824933" w:rsidRPr="00A4268A" w:rsidRDefault="00824933">
      <w:pPr>
        <w:spacing w:before="240" w:line="276" w:lineRule="auto"/>
        <w:rPr>
          <w:rFonts w:eastAsia="Calibri"/>
        </w:rPr>
      </w:pPr>
    </w:p>
    <w:p w14:paraId="26987C27"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33" w14:paraId="29AA11BA" w14:textId="77777777" w:rsidTr="00A4268A">
        <w:trPr>
          <w:cantSplit/>
        </w:trPr>
        <w:tc>
          <w:tcPr>
            <w:tcW w:w="10206" w:type="dxa"/>
            <w:vAlign w:val="center"/>
          </w:tcPr>
          <w:p w14:paraId="42DF9851"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6E34574"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7EC2771"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9B1EBA6"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C76DEEA" w14:textId="77777777" w:rsidR="00460D43" w:rsidRDefault="00000000">
      <w:pPr>
        <w:spacing w:before="240" w:line="276" w:lineRule="auto"/>
        <w:rPr>
          <w:rFonts w:eastAsia="Calibri"/>
        </w:rPr>
      </w:pPr>
      <w:bookmarkStart w:id="16" w:name="ConsumerRights"/>
      <w:r w:rsidRPr="00A4268A">
        <w:rPr>
          <w:rFonts w:eastAsia="Calibri"/>
        </w:rPr>
        <w:t>Bupa Merrivale provides an environment that supports resident rights and safe care. Staff demonstrate an understanding of residents' rights. A Māori health plan is documented for the service. The service works to embrace, support, and encourage a Māori worldview of health and provide high-quality and effective services for residents. A Pacific health plan is also in place.</w:t>
      </w:r>
    </w:p>
    <w:p w14:paraId="7752A8BF" w14:textId="77777777" w:rsidR="00824933" w:rsidRPr="00A4268A" w:rsidRDefault="00000000">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management and staff listen and respect the voices of the residents and effectively communicate with them about their choices. Care plans accommodate the choices of residents. </w:t>
      </w:r>
    </w:p>
    <w:p w14:paraId="39209D66" w14:textId="77777777" w:rsidR="00824933" w:rsidRPr="00A4268A" w:rsidRDefault="00000000">
      <w:pPr>
        <w:spacing w:before="240" w:line="276" w:lineRule="auto"/>
        <w:rPr>
          <w:rFonts w:eastAsia="Calibri"/>
        </w:rPr>
      </w:pPr>
      <w:r w:rsidRPr="00A4268A">
        <w:rPr>
          <w:rFonts w:eastAsia="Calibri"/>
        </w:rPr>
        <w:t xml:space="preserve">The rights of the resident and/or their family/whānau to make a complaint are understood, respected, and upheld by the service. </w:t>
      </w:r>
    </w:p>
    <w:bookmarkEnd w:id="16"/>
    <w:p w14:paraId="33432F31" w14:textId="77777777" w:rsidR="00824933" w:rsidRPr="00A4268A" w:rsidRDefault="00824933">
      <w:pPr>
        <w:spacing w:before="240" w:line="276" w:lineRule="auto"/>
        <w:rPr>
          <w:rFonts w:eastAsia="Calibri"/>
        </w:rPr>
      </w:pPr>
    </w:p>
    <w:p w14:paraId="33763C2D"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33" w14:paraId="130143E5" w14:textId="77777777" w:rsidTr="00A4268A">
        <w:trPr>
          <w:cantSplit/>
        </w:trPr>
        <w:tc>
          <w:tcPr>
            <w:tcW w:w="10206" w:type="dxa"/>
            <w:vAlign w:val="center"/>
          </w:tcPr>
          <w:p w14:paraId="59EF47DD"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4BA4C7FE"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B994BE5"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2966868" w14:textId="77777777" w:rsidR="00460D43" w:rsidRDefault="00000000">
      <w:pPr>
        <w:spacing w:before="240" w:line="276" w:lineRule="auto"/>
        <w:rPr>
          <w:rFonts w:eastAsia="Calibri"/>
        </w:rPr>
      </w:pPr>
      <w:bookmarkStart w:id="19" w:name="OrganisationalManagement"/>
      <w:r w:rsidRPr="00A4268A">
        <w:rPr>
          <w:rFonts w:eastAsia="Calibri"/>
        </w:rPr>
        <w:lastRenderedPageBreak/>
        <w:t>The business plan includes a mission statement and operational objectives. The service has quality and risk management systems in place that take a risk-based approach, and these systems meet the needs of residents and their staff. Quality improvement projects are implemented. Internal audits, and meetings were documented as taking place as scheduled.</w:t>
      </w:r>
    </w:p>
    <w:p w14:paraId="4F302ACF" w14:textId="77777777" w:rsidR="00824933" w:rsidRPr="00A4268A" w:rsidRDefault="00000000">
      <w:pPr>
        <w:spacing w:before="240" w:line="276" w:lineRule="auto"/>
        <w:rPr>
          <w:rFonts w:eastAsia="Calibri"/>
        </w:rPr>
      </w:pPr>
      <w:r w:rsidRPr="00A4268A">
        <w:rPr>
          <w:rFonts w:eastAsia="Calibri"/>
        </w:rPr>
        <w:t>There is a staffing and rostering policy. There are human resources policies which cover recruitment, selection, orientation and staff training and development. The service had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Residents and families/whānau reported that staffing levels are adequate to meet the needs of the residents.</w:t>
      </w:r>
    </w:p>
    <w:p w14:paraId="05E7168D" w14:textId="77777777" w:rsidR="00824933"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0D58E06A" w14:textId="77777777" w:rsidR="00824933" w:rsidRPr="00A4268A" w:rsidRDefault="00824933">
      <w:pPr>
        <w:spacing w:before="240" w:line="276" w:lineRule="auto"/>
        <w:rPr>
          <w:rFonts w:eastAsia="Calibri"/>
        </w:rPr>
      </w:pPr>
    </w:p>
    <w:p w14:paraId="25A5F709"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33" w14:paraId="5D192C78" w14:textId="77777777" w:rsidTr="00A4268A">
        <w:trPr>
          <w:cantSplit/>
        </w:trPr>
        <w:tc>
          <w:tcPr>
            <w:tcW w:w="10206" w:type="dxa"/>
            <w:vAlign w:val="center"/>
          </w:tcPr>
          <w:p w14:paraId="6B02D46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69B8633"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7784C6F"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9CBD209"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Residents are assessed before entry to the service to confirm their level of care. The registered nurses are responsible for the assessment, development, and evaluation of care plans. Care plans were individualised and based on the residents’ assessed needs. Interventions were appropriate and evaluated promptly. </w:t>
      </w:r>
    </w:p>
    <w:p w14:paraId="0B455FF7" w14:textId="77777777" w:rsidR="00824933" w:rsidRPr="00A4268A" w:rsidRDefault="00000000" w:rsidP="00621629">
      <w:pPr>
        <w:spacing w:before="240" w:line="276" w:lineRule="auto"/>
        <w:rPr>
          <w:rFonts w:eastAsia="Calibri"/>
        </w:rPr>
      </w:pPr>
      <w:r w:rsidRPr="00A4268A">
        <w:rPr>
          <w:rFonts w:eastAsia="Calibri"/>
        </w:rPr>
        <w:lastRenderedPageBreak/>
        <w:t xml:space="preserve">There are planned activities that are developed to address the needs and interests of the residents as individuals and in group settings. Activity plans are completed in consultation with family/whānau, residents, and staff. Residents and family/whānau expressed satisfaction with the activities programme in place. </w:t>
      </w:r>
    </w:p>
    <w:p w14:paraId="7F7F3F26" w14:textId="77777777" w:rsidR="00824933" w:rsidRPr="00A4268A" w:rsidRDefault="00000000" w:rsidP="00621629">
      <w:pPr>
        <w:spacing w:before="240" w:line="276" w:lineRule="auto"/>
        <w:rPr>
          <w:rFonts w:eastAsia="Calibri"/>
        </w:rPr>
      </w:pPr>
      <w:r w:rsidRPr="00A4268A">
        <w:rPr>
          <w:rFonts w:eastAsia="Calibri"/>
        </w:rPr>
        <w:t>There is a medicine management system in place. The organisation uses an electronic system for prescribing and administration of medications. The general practitioner is responsible for all medication reviews. Staff involved in medication administration are assessed as competent to do so.</w:t>
      </w:r>
    </w:p>
    <w:p w14:paraId="4FA68C64" w14:textId="77777777" w:rsidR="00824933" w:rsidRPr="00A4268A" w:rsidRDefault="00000000" w:rsidP="00621629">
      <w:pPr>
        <w:spacing w:before="240" w:line="276" w:lineRule="auto"/>
        <w:rPr>
          <w:rFonts w:eastAsia="Calibri"/>
        </w:rPr>
      </w:pPr>
      <w:r w:rsidRPr="00A4268A">
        <w:rPr>
          <w:rFonts w:eastAsia="Calibri"/>
        </w:rPr>
        <w:t>The food service caters for residents’ specific dietary likes and dislikes. Residents’ nutritional requirements are met. Nutritional snacks are available for residents 24 hours.</w:t>
      </w:r>
    </w:p>
    <w:p w14:paraId="4364AE45" w14:textId="77777777" w:rsidR="00824933"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087E7406" w14:textId="77777777" w:rsidR="00824933" w:rsidRPr="00A4268A" w:rsidRDefault="00824933" w:rsidP="00621629">
      <w:pPr>
        <w:spacing w:before="240" w:line="276" w:lineRule="auto"/>
        <w:rPr>
          <w:rFonts w:eastAsia="Calibri"/>
        </w:rPr>
      </w:pPr>
    </w:p>
    <w:p w14:paraId="7635AD51"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33" w14:paraId="658B5669" w14:textId="77777777" w:rsidTr="00A4268A">
        <w:trPr>
          <w:cantSplit/>
        </w:trPr>
        <w:tc>
          <w:tcPr>
            <w:tcW w:w="10206" w:type="dxa"/>
            <w:vAlign w:val="center"/>
          </w:tcPr>
          <w:p w14:paraId="044703E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36D519E"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3E0E3AF"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D7EEFEF" w14:textId="77777777" w:rsidR="00460D43" w:rsidRDefault="00000000">
      <w:pPr>
        <w:spacing w:before="240" w:line="276" w:lineRule="auto"/>
        <w:rPr>
          <w:rFonts w:eastAsia="Calibri"/>
        </w:rPr>
      </w:pPr>
      <w:bookmarkStart w:id="25" w:name="SafeAndAppropriateEnvironment"/>
      <w:r w:rsidRPr="00A4268A">
        <w:rPr>
          <w:rFonts w:eastAsia="Calibri"/>
        </w:rPr>
        <w:t>The facility meets the needs of residents and was clean and well-maintained. A preventative maintenance programme is being implemented. There is a current building warrant of fitness in place. Clinical equipment has been tested as required. External areas are accessible, safe and provide shade and seating, and meet the needs of people with disabilities. The facility vehicle has a current registration and warrant of fitness.</w:t>
      </w:r>
    </w:p>
    <w:p w14:paraId="79C76BFA" w14:textId="77777777" w:rsidR="00824933" w:rsidRPr="00A4268A" w:rsidRDefault="00000000">
      <w:pPr>
        <w:spacing w:before="240" w:line="276" w:lineRule="auto"/>
        <w:rPr>
          <w:rFonts w:eastAsia="Calibri"/>
        </w:rPr>
      </w:pPr>
      <w:r w:rsidRPr="00A4268A">
        <w:rPr>
          <w:rFonts w:eastAsia="Calibri"/>
        </w:rPr>
        <w:t>There are appropriate emergency equipment and supplies available. There is an approved evacuation scheme and fire drills are conducted six monthly. There is a staff member on duty on each shift who holds a current first aid certificate. Staff, residents and family/whānau understood emergency and security arrangements. Hazards are identified with appropriate interventions implemented. Residents reported a timely staff response to call bells. Security is maintained.</w:t>
      </w:r>
    </w:p>
    <w:bookmarkEnd w:id="25"/>
    <w:p w14:paraId="728652F3" w14:textId="77777777" w:rsidR="00824933" w:rsidRPr="00A4268A" w:rsidRDefault="00824933">
      <w:pPr>
        <w:spacing w:before="240" w:line="276" w:lineRule="auto"/>
        <w:rPr>
          <w:rFonts w:eastAsia="Calibri"/>
        </w:rPr>
      </w:pPr>
    </w:p>
    <w:p w14:paraId="26291B4E"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33" w14:paraId="01274857" w14:textId="77777777" w:rsidTr="00A4268A">
        <w:trPr>
          <w:cantSplit/>
        </w:trPr>
        <w:tc>
          <w:tcPr>
            <w:tcW w:w="10206" w:type="dxa"/>
            <w:vAlign w:val="center"/>
          </w:tcPr>
          <w:p w14:paraId="12094FE3"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0A4A750F"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5797FC3"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B0EE5AE"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 </w:t>
      </w:r>
    </w:p>
    <w:p w14:paraId="658E2744" w14:textId="77777777" w:rsidR="00824933" w:rsidRPr="00A4268A" w:rsidRDefault="00000000">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on. The service has robust Covid-19 screening in place for residents, visitors, and staff. Pandemic response plans are in place and the service has access to personal protective equipment supplies. There has been one Covid-19  outbreak in April 2023, and the facility had an active Covid-19 outbreak at the time of audit. </w:t>
      </w:r>
    </w:p>
    <w:p w14:paraId="198545F4" w14:textId="77777777" w:rsidR="00824933" w:rsidRPr="00A4268A" w:rsidRDefault="00000000">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Staff receive training and education to ensure safe and appropriate handling of waste and hazardous substances. Incidents are documented in a timely manner and as per policy. Chemicals are stored securely and safely. Fixtures, fittings, and flooring are appropriate for cleaning.</w:t>
      </w:r>
    </w:p>
    <w:bookmarkEnd w:id="28"/>
    <w:p w14:paraId="28D96AD9" w14:textId="77777777" w:rsidR="00824933" w:rsidRPr="00A4268A" w:rsidRDefault="00824933">
      <w:pPr>
        <w:spacing w:before="240" w:line="276" w:lineRule="auto"/>
        <w:rPr>
          <w:rFonts w:eastAsia="Calibri"/>
        </w:rPr>
      </w:pPr>
    </w:p>
    <w:p w14:paraId="37E4CC11"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24933" w14:paraId="454D94A5" w14:textId="77777777" w:rsidTr="00A4268A">
        <w:trPr>
          <w:cantSplit/>
        </w:trPr>
        <w:tc>
          <w:tcPr>
            <w:tcW w:w="10206" w:type="dxa"/>
            <w:vAlign w:val="center"/>
          </w:tcPr>
          <w:p w14:paraId="5F757BB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39182FFD"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F5D732"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4C4C64F8" w14:textId="77777777" w:rsidR="00460D43" w:rsidRDefault="00000000">
      <w:pPr>
        <w:spacing w:before="240" w:line="276" w:lineRule="auto"/>
        <w:rPr>
          <w:rFonts w:eastAsia="Calibri"/>
        </w:rPr>
      </w:pPr>
      <w:bookmarkStart w:id="31" w:name="InfectionPreventionAndControl"/>
      <w:r w:rsidRPr="00A4268A">
        <w:rPr>
          <w:rFonts w:eastAsia="Calibri"/>
        </w:rPr>
        <w:t xml:space="preserve">The service aims for a restraint free environment. This is supported by the governing body and policies and procedures. Restraint minimisation is overseen by the restraint coordinator. There were no residents using restraints at the time of audit. Staff demonstrated a sound knowledge and understanding of providing the least restrictive practice, de-escalation techniques and alternative interventions. </w:t>
      </w:r>
    </w:p>
    <w:bookmarkEnd w:id="31"/>
    <w:p w14:paraId="29CA4E92" w14:textId="77777777" w:rsidR="00824933" w:rsidRPr="00A4268A" w:rsidRDefault="00824933">
      <w:pPr>
        <w:spacing w:before="240" w:line="276" w:lineRule="auto"/>
        <w:rPr>
          <w:rFonts w:eastAsia="Calibri"/>
        </w:rPr>
      </w:pPr>
    </w:p>
    <w:p w14:paraId="5134EDA9" w14:textId="77777777" w:rsidR="00460D43" w:rsidRDefault="00000000" w:rsidP="000E6E02">
      <w:pPr>
        <w:pStyle w:val="Heading2"/>
        <w:spacing w:before="0"/>
        <w:rPr>
          <w:rFonts w:cs="Arial"/>
        </w:rPr>
      </w:pPr>
      <w:r>
        <w:rPr>
          <w:rFonts w:cs="Arial"/>
        </w:rPr>
        <w:t>Summary of attainment</w:t>
      </w:r>
    </w:p>
    <w:p w14:paraId="768E5631"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24933" w14:paraId="1894C7DF" w14:textId="77777777">
        <w:tc>
          <w:tcPr>
            <w:tcW w:w="1384" w:type="dxa"/>
            <w:vAlign w:val="center"/>
          </w:tcPr>
          <w:p w14:paraId="4D8D81E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8BE18C5" w14:textId="77777777" w:rsidR="00460D43" w:rsidRDefault="00000000">
            <w:pPr>
              <w:keepNext/>
              <w:spacing w:before="60" w:after="60"/>
              <w:jc w:val="center"/>
              <w:rPr>
                <w:rFonts w:cs="Arial"/>
                <w:b/>
                <w:sz w:val="20"/>
                <w:szCs w:val="20"/>
              </w:rPr>
            </w:pPr>
            <w:r>
              <w:rPr>
                <w:rFonts w:cs="Arial"/>
                <w:b/>
                <w:sz w:val="20"/>
                <w:szCs w:val="20"/>
              </w:rPr>
              <w:t>Continuous Improvement</w:t>
            </w:r>
          </w:p>
          <w:p w14:paraId="3FC915D5"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2057652C" w14:textId="77777777" w:rsidR="00460D43" w:rsidRDefault="00000000">
            <w:pPr>
              <w:keepNext/>
              <w:spacing w:before="60" w:after="60"/>
              <w:jc w:val="center"/>
              <w:rPr>
                <w:rFonts w:cs="Arial"/>
                <w:b/>
                <w:sz w:val="20"/>
                <w:szCs w:val="20"/>
              </w:rPr>
            </w:pPr>
            <w:r>
              <w:rPr>
                <w:rFonts w:cs="Arial"/>
                <w:b/>
                <w:sz w:val="20"/>
                <w:szCs w:val="20"/>
              </w:rPr>
              <w:t>Fully Attained</w:t>
            </w:r>
          </w:p>
          <w:p w14:paraId="53D105D3"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4D95C60"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71B997DA"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803833F"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9CF0E3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761E17F"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114ACD6"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1377690"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77CC76EF"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9FB9C24"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4A211E1" w14:textId="77777777" w:rsidR="00460D43" w:rsidRDefault="00000000">
            <w:pPr>
              <w:keepNext/>
              <w:spacing w:before="60" w:after="60"/>
              <w:jc w:val="center"/>
              <w:rPr>
                <w:rFonts w:cs="Arial"/>
                <w:b/>
                <w:sz w:val="20"/>
                <w:szCs w:val="20"/>
              </w:rPr>
            </w:pPr>
            <w:r>
              <w:rPr>
                <w:rFonts w:cs="Arial"/>
                <w:b/>
                <w:sz w:val="20"/>
                <w:szCs w:val="20"/>
              </w:rPr>
              <w:t>(PA Critical)</w:t>
            </w:r>
          </w:p>
        </w:tc>
      </w:tr>
      <w:tr w:rsidR="00824933" w14:paraId="71BA4DE4" w14:textId="77777777">
        <w:tc>
          <w:tcPr>
            <w:tcW w:w="1384" w:type="dxa"/>
            <w:vAlign w:val="center"/>
          </w:tcPr>
          <w:p w14:paraId="1EC4756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1D8BD84"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2EB6DA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24</w:t>
            </w:r>
            <w:bookmarkEnd w:id="33"/>
          </w:p>
        </w:tc>
        <w:tc>
          <w:tcPr>
            <w:tcW w:w="1843" w:type="dxa"/>
            <w:vAlign w:val="center"/>
          </w:tcPr>
          <w:p w14:paraId="3CD9C348"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9257C6C"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E22F7D9"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1E8B3E03"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ED6CE6E"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24933" w14:paraId="274E8903" w14:textId="77777777">
        <w:tc>
          <w:tcPr>
            <w:tcW w:w="1384" w:type="dxa"/>
            <w:vAlign w:val="center"/>
          </w:tcPr>
          <w:p w14:paraId="134B0E4E"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41707E28"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3A4AABD"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2F36BED9"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244486C"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709B3CE9"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E7CA325"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E8B768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AEAF084"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24933" w14:paraId="3D02693D" w14:textId="77777777">
        <w:tc>
          <w:tcPr>
            <w:tcW w:w="1384" w:type="dxa"/>
            <w:vAlign w:val="center"/>
          </w:tcPr>
          <w:p w14:paraId="7219A2C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C87DB81"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2FCCAE3"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7005D4E" w14:textId="77777777" w:rsidR="00460D43" w:rsidRDefault="00000000">
            <w:pPr>
              <w:keepNext/>
              <w:spacing w:before="60" w:after="60"/>
              <w:jc w:val="center"/>
              <w:rPr>
                <w:rFonts w:cs="Arial"/>
                <w:b/>
                <w:sz w:val="20"/>
                <w:szCs w:val="20"/>
              </w:rPr>
            </w:pPr>
            <w:r>
              <w:rPr>
                <w:rFonts w:cs="Arial"/>
                <w:b/>
                <w:sz w:val="20"/>
                <w:szCs w:val="20"/>
              </w:rPr>
              <w:t>Unattained Low Risk</w:t>
            </w:r>
          </w:p>
          <w:p w14:paraId="04082FF6"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924B3CD" w14:textId="77777777" w:rsidR="00460D43" w:rsidRDefault="00000000">
            <w:pPr>
              <w:keepNext/>
              <w:spacing w:before="60" w:after="60"/>
              <w:jc w:val="center"/>
              <w:rPr>
                <w:rFonts w:cs="Arial"/>
                <w:b/>
                <w:sz w:val="20"/>
                <w:szCs w:val="20"/>
              </w:rPr>
            </w:pPr>
            <w:r>
              <w:rPr>
                <w:rFonts w:cs="Arial"/>
                <w:b/>
                <w:sz w:val="20"/>
                <w:szCs w:val="20"/>
              </w:rPr>
              <w:t>Unattained Moderate Risk</w:t>
            </w:r>
          </w:p>
          <w:p w14:paraId="2012AB99"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74DC42F" w14:textId="77777777" w:rsidR="00460D43" w:rsidRDefault="00000000">
            <w:pPr>
              <w:keepNext/>
              <w:spacing w:before="60" w:after="60"/>
              <w:jc w:val="center"/>
              <w:rPr>
                <w:rFonts w:cs="Arial"/>
                <w:b/>
                <w:sz w:val="20"/>
                <w:szCs w:val="20"/>
              </w:rPr>
            </w:pPr>
            <w:r>
              <w:rPr>
                <w:rFonts w:cs="Arial"/>
                <w:b/>
                <w:sz w:val="20"/>
                <w:szCs w:val="20"/>
              </w:rPr>
              <w:t>Unattained High Risk</w:t>
            </w:r>
          </w:p>
          <w:p w14:paraId="4D6BEA02"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3FFD2BA3" w14:textId="77777777" w:rsidR="00460D43" w:rsidRDefault="00000000">
            <w:pPr>
              <w:keepNext/>
              <w:spacing w:before="60" w:after="60"/>
              <w:jc w:val="center"/>
              <w:rPr>
                <w:rFonts w:cs="Arial"/>
                <w:b/>
                <w:sz w:val="20"/>
                <w:szCs w:val="20"/>
              </w:rPr>
            </w:pPr>
            <w:r>
              <w:rPr>
                <w:rFonts w:cs="Arial"/>
                <w:b/>
                <w:sz w:val="20"/>
                <w:szCs w:val="20"/>
              </w:rPr>
              <w:t>Unattained Critical Risk</w:t>
            </w:r>
          </w:p>
          <w:p w14:paraId="6E7FEF0B" w14:textId="77777777" w:rsidR="00460D43" w:rsidRDefault="00000000">
            <w:pPr>
              <w:keepNext/>
              <w:spacing w:before="60" w:after="60"/>
              <w:jc w:val="center"/>
              <w:rPr>
                <w:rFonts w:cs="Arial"/>
                <w:b/>
                <w:sz w:val="20"/>
                <w:szCs w:val="20"/>
              </w:rPr>
            </w:pPr>
            <w:r>
              <w:rPr>
                <w:rFonts w:cs="Arial"/>
                <w:b/>
                <w:sz w:val="20"/>
                <w:szCs w:val="20"/>
              </w:rPr>
              <w:t>(UA Critical)</w:t>
            </w:r>
          </w:p>
        </w:tc>
      </w:tr>
      <w:tr w:rsidR="00824933" w14:paraId="652C5B25" w14:textId="77777777">
        <w:tc>
          <w:tcPr>
            <w:tcW w:w="1384" w:type="dxa"/>
            <w:vAlign w:val="center"/>
          </w:tcPr>
          <w:p w14:paraId="208C26E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BBD01F3"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D008A30"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8C23524"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D7DA0E3"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91F336"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24933" w14:paraId="04D6A967" w14:textId="77777777">
        <w:tc>
          <w:tcPr>
            <w:tcW w:w="1384" w:type="dxa"/>
            <w:vAlign w:val="center"/>
          </w:tcPr>
          <w:p w14:paraId="71B1964C"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4DFC51D"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799CBC4"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2AFD10"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63B2702"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6542330"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A2D9A67"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2892DE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63B37BAB"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79C2D2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824933" w14:paraId="1B066E57" w14:textId="77777777">
        <w:tc>
          <w:tcPr>
            <w:tcW w:w="0" w:type="auto"/>
          </w:tcPr>
          <w:p w14:paraId="3D7D46CD"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A11F64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E21A01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824933" w14:paraId="58F89D6B" w14:textId="77777777">
        <w:tc>
          <w:tcPr>
            <w:tcW w:w="0" w:type="auto"/>
          </w:tcPr>
          <w:p w14:paraId="60C3C21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50F8E46F"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760637E" w14:textId="77777777" w:rsidR="00EB7645" w:rsidRPr="00BE00C7" w:rsidRDefault="00000000" w:rsidP="00BE00C7">
            <w:pPr>
              <w:pStyle w:val="OutcomeDescription"/>
              <w:spacing w:before="120" w:after="120"/>
              <w:rPr>
                <w:rFonts w:cs="Arial"/>
                <w:lang w:eastAsia="en-NZ"/>
              </w:rPr>
            </w:pPr>
          </w:p>
        </w:tc>
        <w:tc>
          <w:tcPr>
            <w:tcW w:w="0" w:type="auto"/>
          </w:tcPr>
          <w:p w14:paraId="47D5CB9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EF37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currently has residents who identify as Māori. </w:t>
            </w:r>
          </w:p>
          <w:p w14:paraId="473670B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strategy supports increased recruitment of Māori employees, by embedding recruitment processes that utilise te reo and engage with local iwi for recruitment strategies at a local level. Ethnicity data will be regularly reported in individual’s dashboards to monitor success. At the time of the audit, there were Māori staff members. The service could demonstrate they support increasing Māori capacity by employing Māori applicants when they do apply for employment opportunities at Bupa Merrivale. Bupa Merrivale has links to the local Ngāti Wai iwi, Kaumatua, and Nga kaitaitoko Māori advocacy group for community support.</w:t>
            </w:r>
          </w:p>
          <w:p w14:paraId="0E8FB45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Clinical staff described their commitment to supporting Māori residents and their whānau by identifying what is important to them, their individual values and beliefs and enabling self-determination and authority in decision-making that supports their health and wellbeing.</w:t>
            </w:r>
          </w:p>
          <w:p w14:paraId="3A06317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Residents and whānau are involved in providing input into the resident’s care planning, their activities, and their dietary needs, evidenced in interviews with four residents (one hospital, three rest home) and eight family/whānau members (three hospital, three rest home, two dementia level), management and eleven staff interviewed; two caregivers, one activities coordinator, one service coordinator, one housekeeper, and six registered nurses (including two unit coordinators), described how the delivery of care is based on each resident’s values and beliefs. </w:t>
            </w:r>
          </w:p>
          <w:p w14:paraId="1AA577FB" w14:textId="77777777" w:rsidR="00EB7645" w:rsidRPr="00BE00C7" w:rsidRDefault="00000000" w:rsidP="00BE00C7">
            <w:pPr>
              <w:pStyle w:val="OutcomeDescription"/>
              <w:spacing w:before="120" w:after="120"/>
              <w:rPr>
                <w:rFonts w:cs="Arial"/>
                <w:lang w:eastAsia="en-NZ"/>
              </w:rPr>
            </w:pPr>
          </w:p>
        </w:tc>
      </w:tr>
      <w:tr w:rsidR="00824933" w14:paraId="2AF2EFDF" w14:textId="77777777">
        <w:tc>
          <w:tcPr>
            <w:tcW w:w="0" w:type="auto"/>
          </w:tcPr>
          <w:p w14:paraId="54BBE56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75D01A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56153DF5" w14:textId="77777777" w:rsidR="00EB7645" w:rsidRPr="00BE00C7" w:rsidRDefault="00000000" w:rsidP="00BE00C7">
            <w:pPr>
              <w:pStyle w:val="OutcomeDescription"/>
              <w:spacing w:before="120" w:after="120"/>
              <w:rPr>
                <w:rFonts w:cs="Arial"/>
                <w:lang w:eastAsia="en-NZ"/>
              </w:rPr>
            </w:pPr>
          </w:p>
        </w:tc>
        <w:tc>
          <w:tcPr>
            <w:tcW w:w="0" w:type="auto"/>
          </w:tcPr>
          <w:p w14:paraId="07F6B52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8F4D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During the admission process, the resident’s whānau are encouraged to be present to assist with identification of all needs including cultural beliefs. On admission all residents’ ethnicities are captured. Individual cultural beliefs are documented for all residents in their care plan and activities plan. Cultural awareness training introduced the staff to components of the Fonofale of Pacific health. Model. There are residents at Bupa Merrivale of Pasifika descent. </w:t>
            </w:r>
          </w:p>
          <w:p w14:paraId="7A94E0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organisation developed of a comprehensive Te Mana Ola: Pathways to Pacific Peoples Health Equity plan that sets the key direction and long-term priorities to achieve equity in Pacific health and wellbeing outcomes. Bupa partners with a Pasifika organisation and/or individual to provide guidance. The service links with Pasifika groups in the local community facilitated by current staff members. The service is able to access pamphlets and information on the service in most Pasifika languages, and these are displayed at the entrance to the facility. The general manager confirmed how they encourage and support any staff that identify as Pasifika through the employment process. There are currently staff that identify as Pasifika. On interview, Pasifika staff members confirmed they were welcomed and supported by management to attain qualifications, including dementia unit standards. </w:t>
            </w:r>
          </w:p>
          <w:p w14:paraId="3C6FE00C" w14:textId="77777777" w:rsidR="00EB7645" w:rsidRPr="00BE00C7" w:rsidRDefault="00000000" w:rsidP="00BE00C7">
            <w:pPr>
              <w:pStyle w:val="OutcomeDescription"/>
              <w:spacing w:before="120" w:after="120"/>
              <w:rPr>
                <w:rFonts w:cs="Arial"/>
                <w:lang w:eastAsia="en-NZ"/>
              </w:rPr>
            </w:pPr>
          </w:p>
        </w:tc>
      </w:tr>
      <w:tr w:rsidR="00824933" w14:paraId="685207CB" w14:textId="77777777">
        <w:tc>
          <w:tcPr>
            <w:tcW w:w="0" w:type="auto"/>
          </w:tcPr>
          <w:p w14:paraId="44E90AB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3B4DCE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2F7D62C" w14:textId="77777777" w:rsidR="00EB7645" w:rsidRPr="00BE00C7" w:rsidRDefault="00000000" w:rsidP="00BE00C7">
            <w:pPr>
              <w:pStyle w:val="OutcomeDescription"/>
              <w:spacing w:before="120" w:after="120"/>
              <w:rPr>
                <w:rFonts w:cs="Arial"/>
                <w:lang w:eastAsia="en-NZ"/>
              </w:rPr>
            </w:pPr>
          </w:p>
        </w:tc>
        <w:tc>
          <w:tcPr>
            <w:tcW w:w="0" w:type="auto"/>
          </w:tcPr>
          <w:p w14:paraId="68E02F5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8644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policies and procedures are being implemented that align with the requirements of the Health and Disability Commissioner’s (HDC) Code of Health and Disability Services Consumers’ Rights (the </w:t>
            </w:r>
            <w:r w:rsidRPr="00BE00C7">
              <w:rPr>
                <w:rFonts w:cs="Arial"/>
                <w:lang w:eastAsia="en-NZ"/>
              </w:rPr>
              <w:lastRenderedPageBreak/>
              <w:t xml:space="preserve">Code). Information related to the Code is made available to residents and their families/whānau. The Code of Health and Disability Services Consumers’ Rights is displayed in multiple locations in English and te reo Māori. The general manager, clinical manager or unit coordinators discuss aspects of the Code with residents (where appropriate) and their family/whānau on admission. Information about the Nationwide Health and Disability Advocacy is available on the noticeboards in each wing and in the information packs provided. Other formats are available such as information in te reo Māori, and Pacific languages. Resident and relative meetings provide a forum for residents to discuss any concerns. </w:t>
            </w:r>
          </w:p>
          <w:p w14:paraId="68EF65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430A21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w:t>
            </w:r>
          </w:p>
          <w:p w14:paraId="76B7129D" w14:textId="77777777" w:rsidR="00EB7645" w:rsidRPr="00BE00C7" w:rsidRDefault="00000000" w:rsidP="00BE00C7">
            <w:pPr>
              <w:pStyle w:val="OutcomeDescription"/>
              <w:spacing w:before="120" w:after="120"/>
              <w:rPr>
                <w:rFonts w:cs="Arial"/>
                <w:lang w:eastAsia="en-NZ"/>
              </w:rPr>
            </w:pPr>
          </w:p>
        </w:tc>
      </w:tr>
      <w:tr w:rsidR="00824933" w14:paraId="7D9E657F" w14:textId="77777777">
        <w:tc>
          <w:tcPr>
            <w:tcW w:w="0" w:type="auto"/>
          </w:tcPr>
          <w:p w14:paraId="2E01F33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BDBE0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D3D2A22" w14:textId="77777777" w:rsidR="00EB7645" w:rsidRPr="00BE00C7" w:rsidRDefault="00000000" w:rsidP="00BE00C7">
            <w:pPr>
              <w:pStyle w:val="OutcomeDescription"/>
              <w:spacing w:before="120" w:after="120"/>
              <w:rPr>
                <w:rFonts w:cs="Arial"/>
                <w:lang w:eastAsia="en-NZ"/>
              </w:rPr>
            </w:pPr>
          </w:p>
        </w:tc>
        <w:tc>
          <w:tcPr>
            <w:tcW w:w="0" w:type="auto"/>
          </w:tcPr>
          <w:p w14:paraId="0E863C3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C09F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registered nurses (RNs)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choice over what activities they wished to participate in. Residents are supported to make decisions about whether they would like family/whānau members to be involved in their care or other forms of support. The service responds to tāngata whaikaha needs and enable their participation in te ao Māori. Residents are encouraged to have </w:t>
            </w:r>
            <w:r w:rsidRPr="00BE00C7">
              <w:rPr>
                <w:rFonts w:cs="Arial"/>
                <w:lang w:eastAsia="en-NZ"/>
              </w:rPr>
              <w:lastRenderedPageBreak/>
              <w:t xml:space="preserve">control and choice over activities they participate in, as evidenced in resident care plans. </w:t>
            </w:r>
          </w:p>
          <w:p w14:paraId="4EB8F6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Bupa annual training plan demonstrates training that is responsive to the diverse needs of people across the service. A sexuality and intimacy policy is in place. Staff receive training on sexuality and intimacy as part of the education schedule. Staff interviewed stated they respect each resident’s right to have space for intimate relationships. </w:t>
            </w:r>
          </w:p>
          <w:p w14:paraId="28DB0E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available according to resident need, and spiritual support is available. </w:t>
            </w:r>
          </w:p>
          <w:p w14:paraId="76BEA6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The 2022, March and September 2023 resident/family surveys identified increasing levels of satisfaction around privacy, dignity, and respect (including cultural needs). </w:t>
            </w:r>
          </w:p>
          <w:p w14:paraId="0AFA39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names. </w:t>
            </w:r>
          </w:p>
          <w:p w14:paraId="3C7741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Matariki and Māori language week are celebrated at Bupa Merrivale. Caregivers interviewed described how they use common te reo Māori phrases when speaking with Māori residents and for everyday greetings. Te reo Māori signage was evident in a range of locations. Cultural training and policies which incorporate Te Tiriti o Waitangi and tikanga Māori training are in place. The Māori health plan acknowledges te ao Māori, referencing the interconnectedness and interrelationship of all living &amp; non-living things. Written information </w:t>
            </w:r>
            <w:r w:rsidRPr="00BE00C7">
              <w:rPr>
                <w:rFonts w:cs="Arial"/>
                <w:lang w:eastAsia="en-NZ"/>
              </w:rPr>
              <w:lastRenderedPageBreak/>
              <w:t>referencing Te Tiriti o Waitangi is available for residents and staff to refer to.</w:t>
            </w:r>
          </w:p>
          <w:p w14:paraId="461DBB11" w14:textId="77777777" w:rsidR="00EB7645" w:rsidRPr="00BE00C7" w:rsidRDefault="00000000" w:rsidP="00BE00C7">
            <w:pPr>
              <w:pStyle w:val="OutcomeDescription"/>
              <w:spacing w:before="120" w:after="120"/>
              <w:rPr>
                <w:rFonts w:cs="Arial"/>
                <w:lang w:eastAsia="en-NZ"/>
              </w:rPr>
            </w:pPr>
          </w:p>
        </w:tc>
      </w:tr>
      <w:tr w:rsidR="00824933" w14:paraId="2A5DB3F5" w14:textId="77777777">
        <w:tc>
          <w:tcPr>
            <w:tcW w:w="0" w:type="auto"/>
          </w:tcPr>
          <w:p w14:paraId="40A8AFA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268411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496B108" w14:textId="77777777" w:rsidR="00EB7645" w:rsidRPr="00BE00C7" w:rsidRDefault="00000000" w:rsidP="00BE00C7">
            <w:pPr>
              <w:pStyle w:val="OutcomeDescription"/>
              <w:spacing w:before="120" w:after="120"/>
              <w:rPr>
                <w:rFonts w:cs="Arial"/>
                <w:lang w:eastAsia="en-NZ"/>
              </w:rPr>
            </w:pPr>
          </w:p>
        </w:tc>
        <w:tc>
          <w:tcPr>
            <w:tcW w:w="0" w:type="auto"/>
          </w:tcPr>
          <w:p w14:paraId="74123BE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A91B987" w14:textId="77777777" w:rsidR="00EB7645" w:rsidRPr="00BE00C7" w:rsidRDefault="00000000" w:rsidP="00BE00C7">
            <w:pPr>
              <w:pStyle w:val="OutcomeDescription"/>
              <w:spacing w:before="120" w:after="120"/>
              <w:rPr>
                <w:rFonts w:cs="Arial"/>
                <w:lang w:eastAsia="en-NZ"/>
              </w:rPr>
            </w:pPr>
            <w:r w:rsidRPr="00BE00C7">
              <w:rPr>
                <w:rFonts w:cs="Arial"/>
                <w:lang w:eastAsia="en-NZ"/>
              </w:rPr>
              <w:t>An abuse and neglect policy is being implemented. Bupa Merrivale policies prevent any form of discrimination, coercion, harassment, or any other exploitation. The organisation is inclusive of ethnicities. Cultural days are completed to celebrate diversity. A staff code of conduct is discussed during the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Staff received Code of Conduct training through Bupa Learn platform. The staff engagement survey of 2023 evidenced staff are participating in creating a positive workplace. There is a safe anonymous pathway for staff to report issues related to racism and harassment, and the Māori Health Equity policy addresses institutional racism.</w:t>
            </w:r>
          </w:p>
          <w:p w14:paraId="438766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All residents and whānau interviewed confirmed that the staff are very caring, supportive, and respectful. </w:t>
            </w:r>
          </w:p>
          <w:p w14:paraId="3C6E83B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The service promotes a strengths-based and holistic model ` Person First Care` to ensure wellbeing outcomes for their Māori residents is prioritised. Review of resident care plans identified goals of care included interventions to promote positive outcomes. On interview care staff confirmed an understanding of holistic care for all residents. Cultural awareness training completed in March and October 2023 includes recognition of </w:t>
            </w:r>
            <w:r w:rsidRPr="00BE00C7">
              <w:rPr>
                <w:rFonts w:cs="Arial"/>
                <w:lang w:eastAsia="en-NZ"/>
              </w:rPr>
              <w:lastRenderedPageBreak/>
              <w:t>explicit and non- explicit bias and supports the recognition and reduction of bias in health care.</w:t>
            </w:r>
          </w:p>
          <w:p w14:paraId="76BF77A4" w14:textId="77777777" w:rsidR="00EB7645" w:rsidRPr="00BE00C7" w:rsidRDefault="00000000" w:rsidP="00BE00C7">
            <w:pPr>
              <w:pStyle w:val="OutcomeDescription"/>
              <w:spacing w:before="120" w:after="120"/>
              <w:rPr>
                <w:rFonts w:cs="Arial"/>
                <w:lang w:eastAsia="en-NZ"/>
              </w:rPr>
            </w:pPr>
          </w:p>
        </w:tc>
      </w:tr>
      <w:tr w:rsidR="00824933" w14:paraId="7C2C7FE1" w14:textId="77777777">
        <w:tc>
          <w:tcPr>
            <w:tcW w:w="0" w:type="auto"/>
          </w:tcPr>
          <w:p w14:paraId="67CD8EB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53E85A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13F4C6CF" w14:textId="77777777" w:rsidR="00EB7645" w:rsidRPr="00BE00C7" w:rsidRDefault="00000000" w:rsidP="00BE00C7">
            <w:pPr>
              <w:pStyle w:val="OutcomeDescription"/>
              <w:spacing w:before="120" w:after="120"/>
              <w:rPr>
                <w:rFonts w:cs="Arial"/>
                <w:lang w:eastAsia="en-NZ"/>
              </w:rPr>
            </w:pPr>
          </w:p>
        </w:tc>
        <w:tc>
          <w:tcPr>
            <w:tcW w:w="0" w:type="auto"/>
          </w:tcPr>
          <w:p w14:paraId="307BBA1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9E8B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relatives on admission. Quarterly resident/family meetings identify feedback from residents and consequent follow up by the service. </w:t>
            </w:r>
          </w:p>
          <w:p w14:paraId="7E48456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Electronic accident/incident forms have a section to indicate if next of kin have been informed (or not). Twelve accident/incident forms reviewed identified relatives are kept informed; this was confirmed through interviews with relatives. The activity team send regular newsletters and photos of their resident to keep them informed of what has been happening around the facility and what is planned. </w:t>
            </w:r>
          </w:p>
          <w:p w14:paraId="359AC9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is available. Interpreter services are used where indicated. At the time of the audit, there were no residents who did not speak English; however, staff interviewed advised they have used hand and facial gestures in addition to word cards, and family members acting as translators when required with previous residents. </w:t>
            </w:r>
          </w:p>
          <w:p w14:paraId="0E30E196"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(or their appointed representative) are advised in writing of their eligibility and the process to become a subsidised resident should they wish to do so. The residents and family/whānau are informed prior to entry of the scope of services and any items that are not covered by the agreement.</w:t>
            </w:r>
          </w:p>
          <w:p w14:paraId="4778B109" w14:textId="02E7E758"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 Te Tai Tokerau specialist services. The management team hold fortnightly head of department meetings to enhance internal communication and facilitate a holistic approach to care. The registered nurses described an implemented process around providing residents and families/whānau with time for discussion around care, time to consider decisions, and opportunity for further discussion, if required. </w:t>
            </w:r>
          </w:p>
        </w:tc>
      </w:tr>
      <w:tr w:rsidR="00824933" w14:paraId="31D904CC" w14:textId="77777777">
        <w:tc>
          <w:tcPr>
            <w:tcW w:w="0" w:type="auto"/>
          </w:tcPr>
          <w:p w14:paraId="5232E4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56A91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64538B68" w14:textId="77777777" w:rsidR="00EB7645" w:rsidRPr="00BE00C7" w:rsidRDefault="00000000" w:rsidP="00BE00C7">
            <w:pPr>
              <w:pStyle w:val="OutcomeDescription"/>
              <w:spacing w:before="120" w:after="120"/>
              <w:rPr>
                <w:rFonts w:cs="Arial"/>
                <w:lang w:eastAsia="en-NZ"/>
              </w:rPr>
            </w:pPr>
          </w:p>
        </w:tc>
        <w:tc>
          <w:tcPr>
            <w:tcW w:w="0" w:type="auto"/>
          </w:tcPr>
          <w:p w14:paraId="74180D5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C4A6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Resident files reviewed included appropriately signed general consent forms. The resident and family/whānau interviewed could describe what informed consent was and knew they had the right to choose. There is an advance directive policy. </w:t>
            </w:r>
          </w:p>
          <w:p w14:paraId="6830E1E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The service follows relevant best practice tikanga guidelines and welcoming the involvement of family/whānau in decision making, where the person receiving services wants them to be involved. Discussions with family/whānau confirmed that they are involved in the decision-making process, and in the planning of resident’s care. Admission agreements had been signed and sighted for all the files seen. Copies of enduring power of attorneys (EPOAs) were on resident files and were activated for all residents receiving dementia level care. </w:t>
            </w:r>
          </w:p>
          <w:p w14:paraId="36568FD7" w14:textId="77777777" w:rsidR="00EB7645" w:rsidRPr="00BE00C7" w:rsidRDefault="00000000" w:rsidP="00BE00C7">
            <w:pPr>
              <w:pStyle w:val="OutcomeDescription"/>
              <w:spacing w:before="120" w:after="120"/>
              <w:rPr>
                <w:rFonts w:cs="Arial"/>
                <w:lang w:eastAsia="en-NZ"/>
              </w:rPr>
            </w:pPr>
          </w:p>
        </w:tc>
      </w:tr>
      <w:tr w:rsidR="00824933" w14:paraId="38B10302" w14:textId="77777777">
        <w:tc>
          <w:tcPr>
            <w:tcW w:w="0" w:type="auto"/>
          </w:tcPr>
          <w:p w14:paraId="6D99C9D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3FE145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024C3FF" w14:textId="77777777" w:rsidR="00EB7645" w:rsidRPr="00BE00C7" w:rsidRDefault="00000000" w:rsidP="00BE00C7">
            <w:pPr>
              <w:pStyle w:val="OutcomeDescription"/>
              <w:spacing w:before="120" w:after="120"/>
              <w:rPr>
                <w:rFonts w:cs="Arial"/>
                <w:lang w:eastAsia="en-NZ"/>
              </w:rPr>
            </w:pPr>
          </w:p>
        </w:tc>
        <w:tc>
          <w:tcPr>
            <w:tcW w:w="0" w:type="auto"/>
          </w:tcPr>
          <w:p w14:paraId="5D7FE76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DD25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equitable and is provided to residents and relatives on entry to the service. The general manager maintains a record of all complaints, both verbal and written, by using a complaint register which is kept electronically. There have been eight complaints year to date for 2023 since the previous audit. The complaints included an investigation, follow up, and reply to the complainant. Staff are informed of complaints (and any subsequent correlating corrective actions) in the quality and staff meetings (meeting minutes sighted). Documentation demonstrated that complaints are being managed in accordance with guidelines set by the Health and Disability Commissioner (HDC). </w:t>
            </w:r>
          </w:p>
          <w:p w14:paraId="54E5F3C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 (previous general manager) interviewed advised complaints logged were classified into themes (operational issues, quality of care, communication, customer rights) in the complaint register. There have been no complaints from external agencies. </w:t>
            </w:r>
          </w:p>
          <w:p w14:paraId="14C5C0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welcome pack included comprehensive information on the process for making a complaint. Interviews with residents and family/whānau confirmed they were provided with information on the </w:t>
            </w:r>
            <w:r w:rsidRPr="00BE00C7">
              <w:rPr>
                <w:rFonts w:cs="Arial"/>
                <w:lang w:eastAsia="en-NZ"/>
              </w:rPr>
              <w:lastRenderedPageBreak/>
              <w:t xml:space="preserve">complaints process. Complaint forms are easily accessible at the entrance to the facility. </w:t>
            </w:r>
          </w:p>
          <w:p w14:paraId="018187EF" w14:textId="77777777" w:rsidR="00EB7645" w:rsidRPr="00BE00C7" w:rsidRDefault="00000000" w:rsidP="00BE00C7">
            <w:pPr>
              <w:pStyle w:val="OutcomeDescription"/>
              <w:spacing w:before="120" w:after="120"/>
              <w:rPr>
                <w:rFonts w:cs="Arial"/>
                <w:lang w:eastAsia="en-NZ"/>
              </w:rPr>
            </w:pPr>
            <w:r w:rsidRPr="00BE00C7">
              <w:rPr>
                <w:rFonts w:cs="Arial"/>
                <w:lang w:eastAsia="en-NZ"/>
              </w:rPr>
              <w:t>A suggestions box is adjacent to where the complaints forms are held. Residents have a variety of avenues they can choose from to make a complaint or express a concern. Resident and family/whānau meetings are held quarterly, chaired by the general manager. The contact details for a resident advocate from advocacy services is posted in large print on resident noticeboards. Residents or family/whānau making a complaint can involve an independent support person in the process if they choose. The general manager was aware of the preference for face-to-face communication with people who identify as Māori. Residents and whānau interviewed confirm the management are open and transparent in their communications.</w:t>
            </w:r>
          </w:p>
          <w:p w14:paraId="6148960B" w14:textId="77777777" w:rsidR="00EB7645" w:rsidRPr="00BE00C7" w:rsidRDefault="00000000" w:rsidP="00BE00C7">
            <w:pPr>
              <w:pStyle w:val="OutcomeDescription"/>
              <w:spacing w:before="120" w:after="120"/>
              <w:rPr>
                <w:rFonts w:cs="Arial"/>
                <w:lang w:eastAsia="en-NZ"/>
              </w:rPr>
            </w:pPr>
          </w:p>
        </w:tc>
      </w:tr>
      <w:tr w:rsidR="00824933" w14:paraId="69AAC88D" w14:textId="77777777">
        <w:tc>
          <w:tcPr>
            <w:tcW w:w="0" w:type="auto"/>
          </w:tcPr>
          <w:p w14:paraId="79CD2EF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4F8F2E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2FA481E" w14:textId="77777777" w:rsidR="00EB7645" w:rsidRPr="00BE00C7" w:rsidRDefault="00000000" w:rsidP="00BE00C7">
            <w:pPr>
              <w:pStyle w:val="OutcomeDescription"/>
              <w:spacing w:before="120" w:after="120"/>
              <w:rPr>
                <w:rFonts w:cs="Arial"/>
                <w:lang w:eastAsia="en-NZ"/>
              </w:rPr>
            </w:pPr>
          </w:p>
        </w:tc>
        <w:tc>
          <w:tcPr>
            <w:tcW w:w="0" w:type="auto"/>
          </w:tcPr>
          <w:p w14:paraId="16AD7FC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90B4604"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Merrivale is located in Whangarei and is a purpose-built facility. The service is certified to provide care for up to 66 hospital, rest home, and dementia level care residents. The facility is split in to 15 dedicated dementia beds (Te Whare Awhina), 25 hospital beds (Kowhai and Nikau), 12 rest home , and 14 dual purpose beds (Matai, Rata, and Rimu wings).</w:t>
            </w:r>
          </w:p>
          <w:p w14:paraId="6089C9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On the day of the audit, there were 64 residents; 15 dementia level residents, 32 hospital residents; including one younger person with a disability (YPD), and 17 rest home residents; including one YPD, and one resident on respite. All residents apart from the YPD and respite were under the age-related residential care contract (ARRC). </w:t>
            </w:r>
          </w:p>
          <w:p w14:paraId="210B54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support their person-centred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operations manager for Northern district reports to </w:t>
            </w:r>
            <w:r w:rsidRPr="00BE00C7">
              <w:rPr>
                <w:rFonts w:cs="Arial"/>
                <w:lang w:eastAsia="en-NZ"/>
              </w:rPr>
              <w:lastRenderedPageBreak/>
              <w:t xml:space="preserve">the national operations director. The Bupa Board and executive team have attended cultural training to ensure they are able to demonstrate expertise in Te Tiriti, health equity and cultural safety. </w:t>
            </w:r>
          </w:p>
          <w:p w14:paraId="4ABB84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governing body of Bupa consists of directors of clinical, operations, finance, legal, property, customer transformation, people, risk, corporate affairs, and technology. This team is governed by Bupa strategy, purpose, and values. Each director has an orientation to their specific role and to the senior leadership team. The directors are knowledgeable around legislative and contractual requirements and are experienced in the age care sector. </w:t>
            </w:r>
          </w:p>
          <w:p w14:paraId="16CB8A3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Bupa NZ Māori Health Strategy was developed in partnership with a Māori health consultant. The strategy aligns with the vision of Mana Hauora (Ministry of Health) for Pae ora (Healthy futures for Māori) which is underpinned by the principles of Te Tiriti o Waitangi for the health and disability system. Bupa NZ is committed to supporting the best health outcomes for Māori and guidance for their employees by developing cultural safety awareness around Māori health equity, and disparities in health outcomes, including in aged residential care. The Towards Māori Health Equity policy states Bupa is committed to achieving Māori health equity for residents in their care homes by responding to the individual and collectives needs of residents who identify as Māori, to ensure they live longer, healthier, happier lives.</w:t>
            </w:r>
          </w:p>
          <w:p w14:paraId="198168B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engaged with a cultural advisor to work alongside the Bupa Leadership team. Bupa leadership team has undertaken the Te Kaa Māori immersion training programme. Additional training has been undertaken by the leadership team to ensure competence with Te Tiriti, health equity, and cultural safety through shared learning, presentations at leadership team meetings and completion of online modules. The cultural advisor collaborates with the Boards and senior management in business planning and service development to improve Māori and tāngata whaikaha health outcomes. Tāngata whaikaha provide feedback around all aspects of the service, through resident meetings and satisfaction surveys, which provides the opportunity to identify barriers and improve health outcomes. </w:t>
            </w:r>
          </w:p>
          <w:p w14:paraId="149A47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has a Clinical Governance committee (CGC), Risk and Governance committee (RGC), a Learning and development </w:t>
            </w:r>
            <w:r w:rsidRPr="00BE00C7">
              <w:rPr>
                <w:rFonts w:cs="Arial"/>
                <w:lang w:eastAsia="en-NZ"/>
              </w:rPr>
              <w:lastRenderedPageBreak/>
              <w:t>governance committee and a Work Health Safety Governance committee where analysis and reporting of relevant clinical and quality indicators is discussed in order to improve. The Clinical Services Director chairs the Clinical governance committee (CGC) with oversight from Bupa’s second line Clinical Governance and compliance team and the Chief Medical Officer. The clinical support improvement team (CSI) includes clinical specialists in restraint, infections and adverse event investigations and a customer engagement advisor, based in head office. The organisation benchmarks quality data with other NZ aged care providers. Each region has a clinical quality partner who support the on-site clinical team with education, trend review and management.</w:t>
            </w:r>
          </w:p>
          <w:p w14:paraId="7DC587EA" w14:textId="77777777" w:rsidR="00EB7645" w:rsidRPr="00BE00C7" w:rsidRDefault="00000000" w:rsidP="00BE00C7">
            <w:pPr>
              <w:pStyle w:val="OutcomeDescription"/>
              <w:spacing w:before="120" w:after="120"/>
              <w:rPr>
                <w:rFonts w:cs="Arial"/>
                <w:lang w:eastAsia="en-NZ"/>
              </w:rPr>
            </w:pPr>
            <w:r w:rsidRPr="00BE00C7">
              <w:rPr>
                <w:rFonts w:cs="Arial"/>
                <w:lang w:eastAsia="en-NZ"/>
              </w:rPr>
              <w:t>A vision, mission statement and objectives are in place. Annual goals for the facility have been determined, which link to the overarching Bupa strategic plan. Goals are regularly reviewed in the bi-monthly quality meetings, and there are quality action forms that are completed for any quality improvements/initiatives during the year.</w:t>
            </w:r>
          </w:p>
          <w:p w14:paraId="1DFC06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manager has been employed in the role at Bupa Merrivale for one month and was previously the care home manager at another Bupa facility for two years. Prior to that they have extensive management experience manager in the health and disability sector. They also have an MBA and other post graduate management qualifications. since December 2022 and was previously clinical manager for four years at the same facility. The general manager is supported by a clinical manager (who has worked at Bupa Merrivale for seven years), two-unit coordinators, registered nurses, an experienced care staff team, the regional operational manager, and quality partner. </w:t>
            </w:r>
          </w:p>
          <w:p w14:paraId="689CFA5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and the clinical manager have both completed more than eight hours of training related to managing an aged care facility and includes Bupa regional managers forums, Māori health plan, pandemic and infectious disease planning and infection control teleconferences.</w:t>
            </w:r>
          </w:p>
          <w:p w14:paraId="693D2469" w14:textId="77777777" w:rsidR="00EB7645" w:rsidRPr="00BE00C7" w:rsidRDefault="00000000" w:rsidP="00BE00C7">
            <w:pPr>
              <w:pStyle w:val="OutcomeDescription"/>
              <w:spacing w:before="120" w:after="120"/>
              <w:rPr>
                <w:rFonts w:cs="Arial"/>
                <w:lang w:eastAsia="en-NZ"/>
              </w:rPr>
            </w:pPr>
          </w:p>
        </w:tc>
      </w:tr>
      <w:tr w:rsidR="00824933" w14:paraId="7FA47F6C" w14:textId="77777777">
        <w:tc>
          <w:tcPr>
            <w:tcW w:w="0" w:type="auto"/>
          </w:tcPr>
          <w:p w14:paraId="57DCC5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B8FD3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7A34040" w14:textId="77777777" w:rsidR="00EB7645" w:rsidRPr="00BE00C7" w:rsidRDefault="00000000" w:rsidP="00BE00C7">
            <w:pPr>
              <w:pStyle w:val="OutcomeDescription"/>
              <w:spacing w:before="120" w:after="120"/>
              <w:rPr>
                <w:rFonts w:cs="Arial"/>
                <w:lang w:eastAsia="en-NZ"/>
              </w:rPr>
            </w:pPr>
          </w:p>
        </w:tc>
        <w:tc>
          <w:tcPr>
            <w:tcW w:w="0" w:type="auto"/>
          </w:tcPr>
          <w:p w14:paraId="7CE4B7F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D730520"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Merrivale is implementing a quality and risk management programme. The quality and risk management systems include performance monitoring through internal audits and through the collection of clinical indicator data.</w:t>
            </w:r>
          </w:p>
          <w:p w14:paraId="7098A1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Bi-monthly quality and regular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however, corrective actions were not consistently documented where indicated to address service improvements, and there was a lack of evidence showing progress and sign off when achieved. Quality goals and progress towards attainment are discussed at meetings. Quality data and trends are added to meeting minutes and held in folders in the staffroom. Benchmarking occurs on a national level against other Bupa facilities. </w:t>
            </w:r>
          </w:p>
          <w:p w14:paraId="2A663B8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family satisfaction surveys are managed by head office who rings and surveys families/whānau. An independent contractor is sent to survey residents using direct questioning and a tablet. The 2022, March 2023, and most recent September 2023 resident/family satisfaction surveys have been correlated and analysed at head office and indicate that residents have reported increasing levels of satisfaction with the service provided. Results have been communicated to residents in the quarterly resident/family meetings, and monthly newsletter (sighted). A ‘you said – we did’ summary for each survey is prominently displayed in the facility, to ensure resident and family wishes are acted upon. </w:t>
            </w:r>
          </w:p>
          <w:p w14:paraId="2F063D2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New policies or changes to policy are communicated and staff sign as acknowledgement. </w:t>
            </w:r>
          </w:p>
          <w:p w14:paraId="1D64C0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The goal for 2023 is to reduce and eliminate where possible, the risk of musculoskeletal harm to staff. A health and safety team meets bi-monthly, and the </w:t>
            </w:r>
            <w:r w:rsidRPr="00BE00C7">
              <w:rPr>
                <w:rFonts w:cs="Arial"/>
                <w:lang w:eastAsia="en-NZ"/>
              </w:rPr>
              <w:lastRenderedPageBreak/>
              <w:t xml:space="preserve">elected health and safety representatives have achieved relevant unit standards via external training. An up-to-date hazard register (last reviewed September 2023) was sighted. Health and safety policies are implemented and monitored by the health and safety committee. The noticeboards in the staffroom and nurses’ stations keep staff informed on health and safety issues. In the event of a staff accident or incident, a debrief process is documented. There were no serious work-related staff injuries. </w:t>
            </w:r>
          </w:p>
          <w:p w14:paraId="3D477A89" w14:textId="77777777" w:rsidR="00EB7645" w:rsidRPr="00BE00C7" w:rsidRDefault="00000000"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physiotherapist is contracted to attend 6 hours per week and when required. There is also a physiotherapy assistant employed by the facility for 15 hours per week. Strategies implemented to reduce the frequency of falls included: provision of non-slip socks for high-risk residents; intentional rounding; and the regular toileting of residents who require assistance. Transfer plans are assessed and evaluated by the physiotherapist and placed in the resident’s room. Hip protectors are available for at-risk residents who consent to wearing them. Residents are encouraged to attend daily exercises as part of the activities programme. The facility has a quality goal to reduce falls, with strategies that include a falls focus group (formed November 2023)</w:t>
            </w:r>
          </w:p>
          <w:p w14:paraId="7A349F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using VCare are completed for each incident/accident, with immediate action noted and any follow-up action(s) required, evidenced in twelve accident/incident forms reviewed. Incident and accident data is collated monthly and analysed. The system generates a report that goes to each operational team/governance team, with automatic alerts depending on the risk level. Results are discussed in the quality and staff meetings and at handover. </w:t>
            </w:r>
          </w:p>
          <w:p w14:paraId="4FDBBB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general manager and clinical manager evidenced awareness of their requirement to notify relevant authorities in relation to essential notifications. There have been Section 31 notifications submitted appropriately for stage 3 and above pressure injuries, changes in management, an unexpected death, and registered nurse shortages. There have been two outbreaks since the previous audit which were appropriately notified. </w:t>
            </w:r>
          </w:p>
          <w:p w14:paraId="3BC34D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Staff have completed cultural training to ensure the service can deliver high quality care for Māori. </w:t>
            </w:r>
          </w:p>
          <w:p w14:paraId="4E85D761" w14:textId="77777777" w:rsidR="00EB7645" w:rsidRPr="00BE00C7" w:rsidRDefault="00000000" w:rsidP="00BE00C7">
            <w:pPr>
              <w:pStyle w:val="OutcomeDescription"/>
              <w:spacing w:before="120" w:after="120"/>
              <w:rPr>
                <w:rFonts w:cs="Arial"/>
                <w:lang w:eastAsia="en-NZ"/>
              </w:rPr>
            </w:pPr>
          </w:p>
        </w:tc>
      </w:tr>
      <w:tr w:rsidR="00824933" w14:paraId="6258002B" w14:textId="77777777">
        <w:tc>
          <w:tcPr>
            <w:tcW w:w="0" w:type="auto"/>
          </w:tcPr>
          <w:p w14:paraId="64B9549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4EFC0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CBCF5A3" w14:textId="77777777" w:rsidR="00EB7645" w:rsidRPr="00BE00C7" w:rsidRDefault="00000000" w:rsidP="00BE00C7">
            <w:pPr>
              <w:pStyle w:val="OutcomeDescription"/>
              <w:spacing w:before="120" w:after="120"/>
              <w:rPr>
                <w:rFonts w:cs="Arial"/>
                <w:lang w:eastAsia="en-NZ"/>
              </w:rPr>
            </w:pPr>
          </w:p>
        </w:tc>
        <w:tc>
          <w:tcPr>
            <w:tcW w:w="0" w:type="auto"/>
          </w:tcPr>
          <w:p w14:paraId="28286D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20411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The roster provides sufficient and appropriate coverage for the effective delivery of care and support. The registered nurses, enrolled nurses and a selection of caregivers hold current first aid certificates. There is a first aid trained staff member on duty 24/7. Interviews with staff confirmed that their workload is manageable, and that management is very supportive. Staff and residents are informed when there are changes to staffing levels, evidenced in staff interviews. </w:t>
            </w:r>
          </w:p>
          <w:p w14:paraId="612FFA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clinical manager, and unit coordinators are available Monday to Friday. On-call cover for all Bupa facilities in the region is covered by a six-week rotation of one care home and one clinical manager each week.</w:t>
            </w:r>
          </w:p>
          <w:p w14:paraId="08B7438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safety training in October 2023, which included Māori health, tikanga, cultural safety, Te Tiriti O Waitangi and how this applies to everyday practice. Training sessions around dementia, and behaviours of concern are held regularly. </w:t>
            </w:r>
          </w:p>
          <w:p w14:paraId="79A767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Forty-seven caregivers are employed. The Bupa orientation programme qualifies new caregivers at a level two NZQA. Of the 47 caregivers, 10 have achieved a level 3 NZQA qualification or higher. Nine of the caregivers work in the dementia unit; three of whom have attained the dementia specific standards, two are in progress, and four have recently commenced duties in the unit (but are experienced caregivers). </w:t>
            </w:r>
          </w:p>
          <w:p w14:paraId="263CFC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Annual competencies include (but are not limited to) restraint, hand hygiene, moving and handling, and correct use of </w:t>
            </w:r>
            <w:r w:rsidRPr="00BE00C7">
              <w:rPr>
                <w:rFonts w:cs="Arial"/>
                <w:lang w:eastAsia="en-NZ"/>
              </w:rPr>
              <w:lastRenderedPageBreak/>
              <w:t xml:space="preserve">personal protective equipment. Caregivers who have completed NZQA level 4 and have undertaken extra training (classed as clinical assistants), complete many of the same competencies as the RN staff (e.g., medication administration, controlled drug administration, nebuliser, blood sugar levels and insulin administration, oxygen administration, and wound management). Additional RN specific competencies include subcutaneous fluids, syringe driver, and interRAI assessment competency. There are eleven registered nurses (not including the clinical manager and two unit-coordinators), and three enrolled nurses (EN). Eight of the registered nurses are interRAI trained. All RNs are encouraged to attend the Bupa qualified staff forum each year and to commence and complete a professional development recognition programme (PDRP). All RNs attend relevant quality, staff, RN, restraint, health and safety, and infection control meetings when possible. External training opportunities for care staff include training through Te Whatu Ora Te Tai Tokerau, and hospice. A record of completion is maintained on an electronic register. </w:t>
            </w:r>
          </w:p>
          <w:p w14:paraId="0CAA8223" w14:textId="77777777" w:rsidR="00EB7645" w:rsidRPr="00BE00C7" w:rsidRDefault="00000000" w:rsidP="00BE00C7">
            <w:pPr>
              <w:pStyle w:val="OutcomeDescription"/>
              <w:spacing w:before="120" w:after="120"/>
              <w:rPr>
                <w:rFonts w:cs="Arial"/>
                <w:lang w:eastAsia="en-NZ"/>
              </w:rPr>
            </w:pPr>
            <w:r w:rsidRPr="00BE00C7">
              <w:rPr>
                <w:rFonts w:cs="Arial"/>
                <w:lang w:eastAsia="en-NZ"/>
              </w:rPr>
              <w:t>Agency staff are used if necessary. A management of agency staff policy is documented for the organisation. If the agency nurse has never worked in the care home before, a ‘bureau staff information booklet’ is provided to them. Orientation including health and safety and emergency procedures are the responsibility of the delegated person on duty. Agency contracts indicate the requirements to be met by the agency regarding meeting specific competencies. Staff wellness is encouraged through participation in health and wellbeing activities of the ‘take five’ Bupa wellness programme. Staff welfare is promoted through provision of regular cultural themes and shared meals at staff meetings. Signage supporting the Employee Assistance Programme (EAP) were posted in visible staff locations.</w:t>
            </w:r>
          </w:p>
          <w:p w14:paraId="044F1F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Facility meetings provide a forum to share quality health information. </w:t>
            </w:r>
          </w:p>
          <w:p w14:paraId="6A8A9A8D" w14:textId="77777777" w:rsidR="00EB7645" w:rsidRPr="00BE00C7" w:rsidRDefault="00000000" w:rsidP="00BE00C7">
            <w:pPr>
              <w:pStyle w:val="OutcomeDescription"/>
              <w:spacing w:before="120" w:after="120"/>
              <w:rPr>
                <w:rFonts w:cs="Arial"/>
                <w:lang w:eastAsia="en-NZ"/>
              </w:rPr>
            </w:pPr>
          </w:p>
        </w:tc>
      </w:tr>
      <w:tr w:rsidR="00824933" w14:paraId="2D211D88" w14:textId="77777777">
        <w:tc>
          <w:tcPr>
            <w:tcW w:w="0" w:type="auto"/>
          </w:tcPr>
          <w:p w14:paraId="650B4F8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DF5F8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04D409E" w14:textId="77777777" w:rsidR="00EB7645" w:rsidRPr="00BE00C7" w:rsidRDefault="00000000" w:rsidP="00BE00C7">
            <w:pPr>
              <w:pStyle w:val="OutcomeDescription"/>
              <w:spacing w:before="120" w:after="120"/>
              <w:rPr>
                <w:rFonts w:cs="Arial"/>
                <w:lang w:eastAsia="en-NZ"/>
              </w:rPr>
            </w:pPr>
          </w:p>
        </w:tc>
        <w:tc>
          <w:tcPr>
            <w:tcW w:w="0" w:type="auto"/>
          </w:tcPr>
          <w:p w14:paraId="0EB4CF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99B1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The Bupa recruitment team advertise for and screen potential staff, including collection of ethnicity data. Bupa has commenced the process of formally collecting ethnicity data on existing staff. Once applicants </w:t>
            </w:r>
            <w:r w:rsidRPr="00BE00C7">
              <w:rPr>
                <w:rFonts w:cs="Arial"/>
                <w:lang w:eastAsia="en-NZ"/>
              </w:rPr>
              <w:lastRenderedPageBreak/>
              <w:t>pass screening, suitable applicants are interviewed by the Bupa Merrivale general manager. Nine staff files reviewed evidenced implementation of the recruitment process, employment contracts, police checking and completed orientation. Staff sign an agreement with the Bupa code of conduct. This document includes (but is not limited to): the Bupa values; responsibility to maintain safety; health and wellbeing; privacy; professional standards; celebration of diversity; ethical behaviour; and declaring conflicts of interest.</w:t>
            </w:r>
          </w:p>
          <w:p w14:paraId="284800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job descriptions in place for all positions that include outcomes, accountability, responsibilities, authority, and functions to be achieved in each position.</w:t>
            </w:r>
          </w:p>
          <w:p w14:paraId="6D381F4F" w14:textId="77777777" w:rsidR="00EB7645" w:rsidRPr="00BE00C7" w:rsidRDefault="000000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All staff who have been employed for over one year have an annual appraisal completed.</w:t>
            </w:r>
          </w:p>
          <w:p w14:paraId="1D1619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 supports RNs and caregivers to provide a culturally safe environment to Māori. </w:t>
            </w:r>
          </w:p>
          <w:p w14:paraId="73D585B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 volunteers currently: however, an orientation programme and policy for volunteers is in place. Information held about staff is kept secure and confidential. Following any staff incident/accident, evidence of debriefing and follow-up action taken are documented. Wellbeing support is provided to staff.</w:t>
            </w:r>
          </w:p>
          <w:p w14:paraId="6176FEFD" w14:textId="77777777" w:rsidR="00EB7645" w:rsidRPr="00BE00C7" w:rsidRDefault="00000000" w:rsidP="00BE00C7">
            <w:pPr>
              <w:pStyle w:val="OutcomeDescription"/>
              <w:spacing w:before="120" w:after="120"/>
              <w:rPr>
                <w:rFonts w:cs="Arial"/>
                <w:lang w:eastAsia="en-NZ"/>
              </w:rPr>
            </w:pPr>
          </w:p>
        </w:tc>
      </w:tr>
      <w:tr w:rsidR="00824933" w14:paraId="2E22A016" w14:textId="77777777">
        <w:tc>
          <w:tcPr>
            <w:tcW w:w="0" w:type="auto"/>
          </w:tcPr>
          <w:p w14:paraId="6A76BA4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67D527C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 xml:space="preserve">As service provider: We ensure the collection, storage, and use of </w:t>
            </w:r>
            <w:r w:rsidRPr="00BE00C7">
              <w:rPr>
                <w:rFonts w:cs="Arial"/>
                <w:lang w:eastAsia="en-NZ"/>
              </w:rPr>
              <w:lastRenderedPageBreak/>
              <w:t>personal and health information of people using our services is accurate, sufficient, secure, accessible, and confidential.</w:t>
            </w:r>
          </w:p>
          <w:p w14:paraId="776321E1" w14:textId="77777777" w:rsidR="00EB7645" w:rsidRPr="00BE00C7" w:rsidRDefault="00000000" w:rsidP="00BE00C7">
            <w:pPr>
              <w:pStyle w:val="OutcomeDescription"/>
              <w:spacing w:before="120" w:after="120"/>
              <w:rPr>
                <w:rFonts w:cs="Arial"/>
                <w:lang w:eastAsia="en-NZ"/>
              </w:rPr>
            </w:pPr>
          </w:p>
        </w:tc>
        <w:tc>
          <w:tcPr>
            <w:tcW w:w="0" w:type="auto"/>
          </w:tcPr>
          <w:p w14:paraId="31179DD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0FFB21"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electronically and in hard copy. Electronic information is regularly backed-up using cloud-based technology and password protected. There is a documented Bupa business continuity plan in case of information systems failure.</w:t>
            </w:r>
          </w:p>
          <w:p w14:paraId="6A2204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integration. Records are uniquely identifiable, </w:t>
            </w:r>
            <w:r w:rsidRPr="00BE00C7">
              <w:rPr>
                <w:rFonts w:cs="Arial"/>
                <w:lang w:eastAsia="en-NZ"/>
              </w:rPr>
              <w:lastRenderedPageBreak/>
              <w:t>legible, and timely. Signatures that are documented include the name and designation of the service provider. Residents archived files are securely stored in a locked room and easily retrievable when required.</w:t>
            </w:r>
          </w:p>
          <w:p w14:paraId="3618F7E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 The service is not responsible for National Health Index registration. </w:t>
            </w:r>
          </w:p>
          <w:p w14:paraId="76EAF0BE" w14:textId="77777777" w:rsidR="00EB7645" w:rsidRPr="00BE00C7" w:rsidRDefault="00000000" w:rsidP="00BE00C7">
            <w:pPr>
              <w:pStyle w:val="OutcomeDescription"/>
              <w:spacing w:before="120" w:after="120"/>
              <w:rPr>
                <w:rFonts w:cs="Arial"/>
                <w:lang w:eastAsia="en-NZ"/>
              </w:rPr>
            </w:pPr>
          </w:p>
        </w:tc>
      </w:tr>
      <w:tr w:rsidR="00824933" w14:paraId="22FE02B9" w14:textId="77777777">
        <w:tc>
          <w:tcPr>
            <w:tcW w:w="0" w:type="auto"/>
          </w:tcPr>
          <w:p w14:paraId="0164379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CB5A6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5FC60AE3" w14:textId="77777777" w:rsidR="00EB7645" w:rsidRPr="00BE00C7" w:rsidRDefault="00000000" w:rsidP="00BE00C7">
            <w:pPr>
              <w:pStyle w:val="OutcomeDescription"/>
              <w:spacing w:before="120" w:after="120"/>
              <w:rPr>
                <w:rFonts w:cs="Arial"/>
                <w:lang w:eastAsia="en-NZ"/>
              </w:rPr>
            </w:pPr>
          </w:p>
        </w:tc>
        <w:tc>
          <w:tcPr>
            <w:tcW w:w="0" w:type="auto"/>
          </w:tcPr>
          <w:p w14:paraId="4B9C85D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EC7B8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are admitted to Bupa Merrivale are assessed by the needs assessment service coordination (NASC) service to determine the required level of care. Completed NASC authorisation forms for dementia, rest home, hospital and respite level of care residents were sighted. The general manager and clinical manager screen prospective residents prior to admission. </w:t>
            </w:r>
          </w:p>
          <w:p w14:paraId="5EFB7C06" w14:textId="77777777" w:rsidR="00EB7645" w:rsidRPr="00BE00C7" w:rsidRDefault="00000000" w:rsidP="00BE00C7">
            <w:pPr>
              <w:pStyle w:val="OutcomeDescription"/>
              <w:spacing w:before="120" w:after="120"/>
              <w:rPr>
                <w:rFonts w:cs="Arial"/>
                <w:lang w:eastAsia="en-NZ"/>
              </w:rPr>
            </w:pPr>
            <w:r w:rsidRPr="00BE00C7">
              <w:rPr>
                <w:rFonts w:cs="Arial"/>
                <w:lang w:eastAsia="en-NZ"/>
              </w:rPr>
              <w:t>A policy for the management of inquiries and entry to service is in place. The admission pack contains all the information about entry to the service. Assessments and entry screening processes were documented and communicated to the EPOA/whānau/family of choice, where appropriate, local communities, and referral agencies. Residents in the dementia communities were admitted with appropriate EPOA or welfare guardian documents in place and these were sighted in resident records reviewed.</w:t>
            </w:r>
          </w:p>
          <w:p w14:paraId="70D1DC2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records reviewed confirmed that admission requirements were conducted within the required time frames and signed on entry. Family/whānau were updated where there was a delay in entry to the service. Residents and family/whānau interviewed confirmed that they were consulted and received ongoing sufficient information regarding the services provided.</w:t>
            </w:r>
          </w:p>
          <w:p w14:paraId="3DF6B1A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general manager reported that all potential residents who are declined entry are recorded. When an entry is declined the resident and family/whānau are informed of the reason for this and made aware of other options or alternative services available. The resident </w:t>
            </w:r>
            <w:r w:rsidRPr="00BE00C7">
              <w:rPr>
                <w:rFonts w:cs="Arial"/>
                <w:lang w:eastAsia="en-NZ"/>
              </w:rPr>
              <w:lastRenderedPageBreak/>
              <w:t>and family/whānau is referred to the referral agency to ensure the person will be admitted to the appropriate service provider.</w:t>
            </w:r>
          </w:p>
          <w:p w14:paraId="3C0B5C5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residents who identified as Māori at the time of the audit. Routine analysis to show entry and decline rates including specific data for entry and decline rates for Māori is implemented.</w:t>
            </w:r>
          </w:p>
          <w:p w14:paraId="1AE35B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existing engagements with local Māori communities, health practitioners, and organisations to support Māori individuals and whānau. The general manager stated that Māori health practitioners and traditional Māori healers for residents and family/whānau who may benefit from these interventions, are consulted when required.</w:t>
            </w:r>
          </w:p>
          <w:p w14:paraId="1F2D2C02" w14:textId="77777777" w:rsidR="00EB7645" w:rsidRPr="00BE00C7" w:rsidRDefault="00000000" w:rsidP="00BE00C7">
            <w:pPr>
              <w:pStyle w:val="OutcomeDescription"/>
              <w:spacing w:before="120" w:after="120"/>
              <w:rPr>
                <w:rFonts w:cs="Arial"/>
                <w:lang w:eastAsia="en-NZ"/>
              </w:rPr>
            </w:pPr>
          </w:p>
        </w:tc>
      </w:tr>
      <w:tr w:rsidR="00824933" w14:paraId="2A2E8ED9" w14:textId="77777777">
        <w:tc>
          <w:tcPr>
            <w:tcW w:w="0" w:type="auto"/>
          </w:tcPr>
          <w:p w14:paraId="05BB3D5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B2BF23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5FF70A41" w14:textId="77777777" w:rsidR="00EB7645" w:rsidRPr="00BE00C7" w:rsidRDefault="00000000" w:rsidP="00BE00C7">
            <w:pPr>
              <w:pStyle w:val="OutcomeDescription"/>
              <w:spacing w:before="120" w:after="120"/>
              <w:rPr>
                <w:rFonts w:cs="Arial"/>
                <w:lang w:eastAsia="en-NZ"/>
              </w:rPr>
            </w:pPr>
          </w:p>
        </w:tc>
        <w:tc>
          <w:tcPr>
            <w:tcW w:w="0" w:type="auto"/>
          </w:tcPr>
          <w:p w14:paraId="23515255"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1D03D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Eight resident files were reviewed: Four hospital (including one on younger person with a disability (YPD) contract), two rest home (including one on respite), and two dementia level care. The rest of the resident files reviewed were under the age-related residential care (ARRC) agreement. A registered nurse (RN) is responsible for conducting all assessments and for the development of care plans. There was evidence of resident and family/whānau involvement in the interRAI assessments, long-term care plans reviewed and six monthly multi-disciplinary reviews. </w:t>
            </w:r>
          </w:p>
          <w:p w14:paraId="2CE2A0A7"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Merrivale uses a range of risk assessments alongside the interRAI care plan process. Risk assessments conducted on admission include those relating to falls, pressure injury, skin, pain, continence, cultural and activities. The initial care plan is completed within 24 hours of admission. InterRAI assessments and reassessments have been completed within expected timeframes (except for respite and recent admission in dementia) and all outcome scores were identified on the long-term care plans. All residents in the dementia area have a behaviour assessment completed on admission with associated risks and supports needed. For the resident files reviewed the outcomes of the assessments formulate the basis of the long-term care plan.</w:t>
            </w:r>
          </w:p>
          <w:p w14:paraId="0D39FE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Long-term care plans have been completed within 21 days. Care plan interventions are resident centred and provided guidance to staff </w:t>
            </w:r>
            <w:r w:rsidRPr="00BE00C7">
              <w:rPr>
                <w:rFonts w:cs="Arial"/>
                <w:lang w:eastAsia="en-NZ"/>
              </w:rPr>
              <w:lastRenderedPageBreak/>
              <w:t>around all medical and non- medical requirements; however, they do not always provide detailed interventions to provide guidance for staff. The care plans do not include a 24-hour reflection of close to normal routine for the resident with interventions to assist caregivers in management of the resident behaviours in the dementia unit. There are policies and procedures for use of short-term care plans which are utilised for issues such as infections, weight loss, and wounds and are signed off when resolved or moved to the long-term care plan. Evaluations were completed at the time of interRAI re-assessments (six-monthly) for six residents and when changes occurred earlier as indicated. The other two residents had not been in the facility for six months. Evaluations documented the progression towards goals. Written evaluations reviewed and those documented in the resident six-month review form identify if the resident goals had been met or unmet.</w:t>
            </w:r>
          </w:p>
          <w:p w14:paraId="04D947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general practitioners from a local medical centre for twice weekly visits and is available on call during office hours and thereafter the staff contact Emergency consult general practitioners. The general practitioner had seen and examined the residents within two to five working days of admission and completed three-monthly reviews. More frequent medical reviews were evidenced in files of residents with more complex conditions or acute changes to health status. The psychogeriatrician and mental health services are readily available as required. The general practitioner (interviewed) commented positively on the service and confirmed appropriate and timely referrals were completed. They were happy with the competence of the registered nurses, care provided and timely communication when there are residents with concerns. </w:t>
            </w:r>
          </w:p>
          <w:p w14:paraId="1EA892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identify the integration of allied health professional input into care and a team approach is evident. A physiotherapist from local provider visits twice weekly. The service has a physiotherapist assistant for 15 hours a week. A podiatrist visits regularly and a dietitian, speech language therapist, psychogeriatrician, older person mental health team, hospice, wound care nurse specialist and medical specialists are available as required through the local Te Whatu Ora - Te Tai Tokerau. Barriers that prevent tāngata whaikaha </w:t>
            </w:r>
            <w:r w:rsidRPr="00BE00C7">
              <w:rPr>
                <w:rFonts w:cs="Arial"/>
                <w:lang w:eastAsia="en-NZ"/>
              </w:rPr>
              <w:lastRenderedPageBreak/>
              <w:t xml:space="preserve">and whānau from independently accessing information are identified and strategies to manage these are documented. </w:t>
            </w:r>
          </w:p>
          <w:p w14:paraId="440E14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Caregivers and registered nurses interviewed could describe a verbal and written handover at the beginning of each shift that maintains a continuity of service delivery. The handover is between a registered nurse to the incoming registered nurse, enrolled nurses, and caregivers on each shift, as observed on the day of audit, and was found to be comprehensive in nature. Progress notes are written on every shift by the caregivers and the registered nurses document at least daily for all resident records and when there is an incident or changes in health status. </w:t>
            </w:r>
          </w:p>
          <w:p w14:paraId="6B2D20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interviewed reported their needs and expectations are being met and family/whānau members confirmed the same. When a resident’s condition changes, the staff alert the registered nurses who then assesses the resident and initiate a review with the general practitioner. Family/whānau stated they were notified of all changes to health, including infections, accident/incidents, general practitioner visits, medication changes and any changes to health status and this was consistently documented in the resident files. </w:t>
            </w:r>
          </w:p>
          <w:p w14:paraId="3D4A118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a total of 10 wounds from 5 residents being actively managed across the service. These included skin tears, lesions, chronic ulcers, and grazes. There were no pressure injuries being managed at the care home. There are comprehensive policies and procedures to guide staff on assessment, management, monitoring progress and evaluation of wounds. Assessments and wound management plans including wound measurements and photographs were reviewed. Wound registers have been fully maintained. Wound assessment, wound management, evaluation forms and wound monitoring occurred as planned in the sample of wounds reviewed. There is documented wound care nurse specialist input into chronic wounds as required. Caregivers and registered nurses interviewed stated there are adequate clinical supplies and equipment provided including continence, wound care supplies and pressure injury prevention resources. There is access to a continence specialist as required.</w:t>
            </w:r>
          </w:p>
          <w:p w14:paraId="5D8FAC9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Caregivers complete monitoring charts including </w:t>
            </w:r>
            <w:r w:rsidRPr="00BE00C7">
              <w:rPr>
                <w:rFonts w:cs="Arial"/>
                <w:lang w:eastAsia="en-NZ"/>
              </w:rPr>
              <w:lastRenderedPageBreak/>
              <w:t xml:space="preserve">observations; behaviour charts; bowel chart; blood pressure; weight; food and fluid; turning charts; blood glucose levels; and toileting regime. New behaviours are charted on a stress and distress monitoring chart to identify new triggers and patterns. The stress and distress chart entries described the behaviour and strategies to de-escalate behaviours including re-direction and activities. Monitoring charts had been completed as scheduled. Neurological observations have routinely and comprehensively been completed for unwitnessed falls or where head injury was suspected as part of post falls management. Incidents reviewed indicate that these were completed in line with policy and procedure. </w:t>
            </w:r>
          </w:p>
          <w:p w14:paraId="6BDC949C" w14:textId="77777777" w:rsidR="00EB7645" w:rsidRPr="00BE00C7" w:rsidRDefault="00000000" w:rsidP="00BE00C7">
            <w:pPr>
              <w:pStyle w:val="OutcomeDescription"/>
              <w:spacing w:before="120" w:after="120"/>
              <w:rPr>
                <w:rFonts w:cs="Arial"/>
                <w:lang w:eastAsia="en-NZ"/>
              </w:rPr>
            </w:pPr>
            <w:r w:rsidRPr="00BE00C7">
              <w:rPr>
                <w:rFonts w:cs="Arial"/>
                <w:lang w:eastAsia="en-NZ"/>
              </w:rPr>
              <w:t>Bupa Merrivale provides equitable opportunities for all residents and supports Māori and whānau to identify their own pae ora outcomes in their care plans. The service uses assessment tools that include consideration of residents’ lived experiences, cultural needs, values, beliefs, and spiritual needs which are documented in the care plan. The Māori health and wellbeing assessments support kaupapa Māori perspectives to permeate the assessment process. The Māori Health care plan in place reflects the partnership and support of residents, whānau, and the extended whānau as applicable to identify their own pae ora outcomes in their care and support wellbeing. Tikanga principles were included within the Māori health care plan.</w:t>
            </w:r>
          </w:p>
          <w:p w14:paraId="16D5FBEE" w14:textId="6311BB42" w:rsidR="00EB7645" w:rsidRPr="00BE00C7" w:rsidRDefault="00000000" w:rsidP="004F3155">
            <w:pPr>
              <w:pStyle w:val="OutcomeDescription"/>
              <w:spacing w:before="120" w:after="120"/>
              <w:rPr>
                <w:rFonts w:cs="Arial"/>
                <w:lang w:eastAsia="en-NZ"/>
              </w:rPr>
            </w:pPr>
            <w:r w:rsidRPr="00BE00C7">
              <w:rPr>
                <w:rFonts w:cs="Arial"/>
                <w:lang w:eastAsia="en-NZ"/>
              </w:rPr>
              <w:t>Staff confirmed they understood the process to support residents and whānau. There were residents who identify as Māori at the time of the audit. The cultural safety assessment process validates Māori healing methodologies, such as Karakia, rongoā, and spiritual assistance. Cultural assessments were completed by staff who have completed cultural safety training in consultation with the residents, family/whānau and EPOA.</w:t>
            </w:r>
          </w:p>
        </w:tc>
      </w:tr>
      <w:tr w:rsidR="00824933" w14:paraId="4EFC6E87" w14:textId="77777777">
        <w:tc>
          <w:tcPr>
            <w:tcW w:w="0" w:type="auto"/>
          </w:tcPr>
          <w:p w14:paraId="572AF18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581F18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unplanned, which are suitable for their age and stage and are satisfying to them.</w:t>
            </w:r>
          </w:p>
          <w:p w14:paraId="051B7980" w14:textId="77777777" w:rsidR="00EB7645" w:rsidRPr="00BE00C7" w:rsidRDefault="00000000" w:rsidP="00BE00C7">
            <w:pPr>
              <w:pStyle w:val="OutcomeDescription"/>
              <w:spacing w:before="120" w:after="120"/>
              <w:rPr>
                <w:rFonts w:cs="Arial"/>
                <w:lang w:eastAsia="en-NZ"/>
              </w:rPr>
            </w:pPr>
          </w:p>
        </w:tc>
        <w:tc>
          <w:tcPr>
            <w:tcW w:w="0" w:type="auto"/>
          </w:tcPr>
          <w:p w14:paraId="0A10D27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678E4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Activities are conducted by a team comprising of an activity coordinator who works full time Monday to Friday and two part time activities assistants providing a Monday to Friday cover for resident centred activities in all the communities. The activities were based on assessment and reflected the residents’ social, cultural, spiritual, physical, cognitive needs/abilities, past hobbies, interests, and enjoyments. These assessments were completed within three weeks of admission in consultation with the family/whānau and residents. </w:t>
            </w:r>
            <w:r w:rsidRPr="00BE00C7">
              <w:rPr>
                <w:rFonts w:cs="Arial"/>
                <w:lang w:eastAsia="en-NZ"/>
              </w:rPr>
              <w:lastRenderedPageBreak/>
              <w:t>Each resident had a map of life developed detailing the past and present activities, career, and family. A monthly planner is developed, posted on the notice boards and residents are given a copy of the planner for their rooms. Daily activities were noted on notice boards to remind residents and staff. Residents and family/whānau meet monthly to discuss different issues at the facility and provide feedback relating to activities.</w:t>
            </w:r>
          </w:p>
          <w:p w14:paraId="19C917B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activity programme is formulated by the activities team in consultation with the management team, registered nurses, EPOAs, residents, and care staff. The activities were varied and appropriate for residents assessed as requiring dementia, rest home, hospital level of care and those on the younger person with a disability (YPD) contract. The care plans do not have sufficient interventions recorded in the activities plan to guide staff in the management of behaviour over 24 hours and for the younger person with a disability (YPD) (link 3.2.3). Activity participating registers were completed daily. The residents were observed participating in a variety of activities on the audit days that were appropriate to their group settings. The planned activities and community connections were suitable for the residents. Activities sighted on the planners included quiz, bingo, floor games, Matariki, Māori language week, table games, sensory, outdoor walks, van outings, music, pet therapy, entertainment, kapa haka, poi making and exercise, visits from schools, and relaxing time with pampering. The service promotes access to EPOA and family/whānau and friends. There are regular outings and drives for all residents (as appropriate). </w:t>
            </w:r>
          </w:p>
          <w:p w14:paraId="529FF2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dementia unit`s activities calendar has activities adapted to encourage sensory stimulation and residents are able to participate in a range of activities that are appropriate to their cognitive and physical capabilities including domestic like chores, baking and music therapy. All interactions observed on the day of the audit evidenced engagement between residents and the activities team in the dementia unit. This included some observed outside pottering in the garden with staff. </w:t>
            </w:r>
          </w:p>
          <w:p w14:paraId="5D1FEC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residents who identified as Māori. The activities staff reported that opportunities for Māori and family/whānau to participate in te ao Māori is facilitated through community engagements with </w:t>
            </w:r>
            <w:r w:rsidRPr="00BE00C7">
              <w:rPr>
                <w:rFonts w:cs="Arial"/>
                <w:lang w:eastAsia="en-NZ"/>
              </w:rPr>
              <w:lastRenderedPageBreak/>
              <w:t>community traditional leaders, and by celebrating religious, and cultural festivals and Māori language week with varying events lined up.</w:t>
            </w:r>
          </w:p>
          <w:p w14:paraId="2CC6E4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reported overall satisfaction with the level and variety of activities provided. </w:t>
            </w:r>
          </w:p>
          <w:p w14:paraId="65281D64" w14:textId="77777777" w:rsidR="00EB7645" w:rsidRPr="00BE00C7" w:rsidRDefault="00000000" w:rsidP="00BE00C7">
            <w:pPr>
              <w:pStyle w:val="OutcomeDescription"/>
              <w:spacing w:before="120" w:after="120"/>
              <w:rPr>
                <w:rFonts w:cs="Arial"/>
                <w:lang w:eastAsia="en-NZ"/>
              </w:rPr>
            </w:pPr>
          </w:p>
        </w:tc>
      </w:tr>
      <w:tr w:rsidR="00824933" w14:paraId="6C259C20" w14:textId="77777777">
        <w:tc>
          <w:tcPr>
            <w:tcW w:w="0" w:type="auto"/>
          </w:tcPr>
          <w:p w14:paraId="45290BC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52B5D0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401E902" w14:textId="77777777" w:rsidR="00EB7645" w:rsidRPr="00BE00C7" w:rsidRDefault="00000000" w:rsidP="00BE00C7">
            <w:pPr>
              <w:pStyle w:val="OutcomeDescription"/>
              <w:spacing w:before="120" w:after="120"/>
              <w:rPr>
                <w:rFonts w:cs="Arial"/>
                <w:lang w:eastAsia="en-NZ"/>
              </w:rPr>
            </w:pPr>
          </w:p>
        </w:tc>
        <w:tc>
          <w:tcPr>
            <w:tcW w:w="0" w:type="auto"/>
          </w:tcPr>
          <w:p w14:paraId="7854C472"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70137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Merrivale has policies available for safe medicine management that meet legislative requirements. The registered nurses, enrolled nurses and medication competent caregivers who administer medications had current competencies which were assessed in the last twelve months. Education around safe medication administration is provided. </w:t>
            </w:r>
          </w:p>
          <w:p w14:paraId="34C0232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medication charts and signing sheets are electronic. On the days of the audit, a medication competent caregiver was observed to be safely administering medications. The registered nurses, enrolled nurses and caregivers interviewed could describe their roles regarding medication administration. Bupa Merrivale uses robotic rolls for all regular and pottles for short course and ‘as required’ medicines. All medications once delivered are checked by the registered nurses against the medication chart. Medication reconciliation was conducted by the registered nurse when a resident is transferred back to the service from the hospital or any external appointments. The registered nurse checked medicines against the prescription, and these were updated in the electronic medication management system. Any discrepancies are fed back to the supplying pharmacy. Expired medications are returned to pharmacy in a safe and timely manner.</w:t>
            </w:r>
          </w:p>
          <w:p w14:paraId="4A129A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were appropriately stored in the medication trolleys and the three medication areas. The medication fridges and medication room temperatures are not consistently monitored daily. All eyedrops and creams have not been dated on opening. Controlled drugs are stored appropriately; however, the weekly stock check has not been completed regularly by medication competent staff. The six-monthly controlled drug audit was last completed by the pharmacist 18 </w:t>
            </w:r>
            <w:r w:rsidRPr="00BE00C7">
              <w:rPr>
                <w:rFonts w:cs="Arial"/>
                <w:lang w:eastAsia="en-NZ"/>
              </w:rPr>
              <w:lastRenderedPageBreak/>
              <w:t>September 2023. Medication incidents were completed in the event of a drug error and corrective actions were acted upon.</w:t>
            </w:r>
          </w:p>
          <w:p w14:paraId="46AC54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Sixteen medication charts were reviewed. There is a three-monthly general practitioner review of all the residents’ medication charts, and each drug chart has photo identification and allergy status identified. Indications for use were noted for pro re nata (PRN) medications, including over-the-counter medications and supplements on the medication charts. The effectiveness of PRN medications was consistently documented in the electronic medication management system and progress notes. </w:t>
            </w:r>
          </w:p>
          <w:p w14:paraId="5C42625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policy in place for residents who request to self-administer medications. At the time of audit, there was one resident self-administering inhalers. Competency assessments were completed, and resident stored the medications safely according to policy. The service does not use standing orders and there are no vaccines kept on site. </w:t>
            </w:r>
          </w:p>
          <w:p w14:paraId="79C342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 clinical manager described how they work in partnership with residents who identify as Māori and their whānau to ensure they have appropriate support in place, advice is timely, easily accessed, and treatment is prioritised to achieve better health outcomes.</w:t>
            </w:r>
          </w:p>
          <w:p w14:paraId="52CBB683" w14:textId="77777777" w:rsidR="00EB7645" w:rsidRPr="00BE00C7" w:rsidRDefault="00000000" w:rsidP="00BE00C7">
            <w:pPr>
              <w:pStyle w:val="OutcomeDescription"/>
              <w:spacing w:before="120" w:after="120"/>
              <w:rPr>
                <w:rFonts w:cs="Arial"/>
                <w:lang w:eastAsia="en-NZ"/>
              </w:rPr>
            </w:pPr>
          </w:p>
        </w:tc>
      </w:tr>
      <w:tr w:rsidR="00824933" w14:paraId="23049FB2" w14:textId="77777777">
        <w:tc>
          <w:tcPr>
            <w:tcW w:w="0" w:type="auto"/>
          </w:tcPr>
          <w:p w14:paraId="79E35DF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22991E7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73231DD" w14:textId="77777777" w:rsidR="00EB7645" w:rsidRPr="00BE00C7" w:rsidRDefault="00000000" w:rsidP="00BE00C7">
            <w:pPr>
              <w:pStyle w:val="OutcomeDescription"/>
              <w:spacing w:before="120" w:after="120"/>
              <w:rPr>
                <w:rFonts w:cs="Arial"/>
                <w:lang w:eastAsia="en-NZ"/>
              </w:rPr>
            </w:pPr>
          </w:p>
        </w:tc>
        <w:tc>
          <w:tcPr>
            <w:tcW w:w="0" w:type="auto"/>
          </w:tcPr>
          <w:p w14:paraId="0BAFD07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DC3A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service complies with current food safety legislation and guidelines. The services coordinator has oversight of the kitchen undertakes cooking responsibilities at least once a week. There are three other designated cooks for the other days. All food and baking is prepared and cooked on-site. Food is prepared in line with recognised nutritional guidelines for older people. The verified food control plan expires 11 February 2024. The menu was reviewed by a registered dietitian. Kitchen staff have attended safe food handling training. </w:t>
            </w:r>
          </w:p>
          <w:p w14:paraId="05C768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Diets are modified as required and the kitchen staff confirmed awareness of the dietary needs of the residents. Residents have a nutrition profile developed on admission which identifies dietary </w:t>
            </w:r>
            <w:r w:rsidRPr="00BE00C7">
              <w:rPr>
                <w:rFonts w:cs="Arial"/>
                <w:lang w:eastAsia="en-NZ"/>
              </w:rPr>
              <w:lastRenderedPageBreak/>
              <w:t>requirements, likes, and dislikes. All alternatives are catered for as required. The residents’ weights are monitored regularly, and supplements are provided to residents with identified weight loss issues. Snacks and drinks are available for residents throughout the day and over night when required.</w:t>
            </w:r>
          </w:p>
          <w:p w14:paraId="4E0063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and pantry were observed to be clean, tidy, and well-stocked. Regular cleaning is undertaken, and all services comply with current legislation and guidelines. Labels and dates were on all containers. Thermometer calibrations were completed at least every three months. Records of temperature monitoring of food, chiller, fridges, and freezers are maintained. All food at mealtimes is delivered to the respective wings in scan boxes. All decanted food had records of use by dates recorded on the containers and no expired items were sighted. Family/whānau and residents interviewed indicated satisfaction with the food service. </w:t>
            </w:r>
          </w:p>
          <w:p w14:paraId="000326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staff reported that the service prepares food that is culturally specific to different cultures. This includes menu options that are culturally specific to te ao Māori. including ‘boil ups,’ hāngi, Māori bread, and corned beef were included on the menu, and these are offered to residents who identify as Māori when required. </w:t>
            </w:r>
          </w:p>
          <w:p w14:paraId="13EA6A81" w14:textId="77777777" w:rsidR="00EB7645" w:rsidRPr="00BE00C7" w:rsidRDefault="00000000" w:rsidP="00BE00C7">
            <w:pPr>
              <w:pStyle w:val="OutcomeDescription"/>
              <w:spacing w:before="120" w:after="120"/>
              <w:rPr>
                <w:rFonts w:cs="Arial"/>
                <w:lang w:eastAsia="en-NZ"/>
              </w:rPr>
            </w:pPr>
          </w:p>
        </w:tc>
      </w:tr>
      <w:tr w:rsidR="00824933" w14:paraId="4A479BCC" w14:textId="77777777">
        <w:tc>
          <w:tcPr>
            <w:tcW w:w="0" w:type="auto"/>
          </w:tcPr>
          <w:p w14:paraId="036F463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EE6A1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50C181EA" w14:textId="77777777" w:rsidR="00EB7645" w:rsidRPr="00BE00C7" w:rsidRDefault="00000000" w:rsidP="00BE00C7">
            <w:pPr>
              <w:pStyle w:val="OutcomeDescription"/>
              <w:spacing w:before="120" w:after="120"/>
              <w:rPr>
                <w:rFonts w:cs="Arial"/>
                <w:lang w:eastAsia="en-NZ"/>
              </w:rPr>
            </w:pPr>
          </w:p>
        </w:tc>
        <w:tc>
          <w:tcPr>
            <w:tcW w:w="0" w:type="auto"/>
          </w:tcPr>
          <w:p w14:paraId="2AA1D2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0C2F8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documented policies and procedures to ensure exit, discharge or transfer of residents is undertaken in a timely and safe manner. There is a documented process in the management of the early discharge/unexpected exit plan and transfer from services. The clinical manager reported that discharges are normally into other similar facilities or residents following their respite stay (as observed on the day of the audit). Discharges are overseen by the registered nurses who manage the process until exit. Exits, discharges or transfers were coordinated in collaboration with the resident, family/whānau and other external agencies to ensure continuity of care. Risks are identified and managed as required. </w:t>
            </w:r>
          </w:p>
          <w:p w14:paraId="77882A0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residents (if appropriate) and families/whānau are involved for all exits or discharges to and from the service, including being given options to access other health and disability services – tāngata </w:t>
            </w:r>
            <w:r w:rsidRPr="00BE00C7">
              <w:rPr>
                <w:rFonts w:cs="Arial"/>
                <w:lang w:eastAsia="en-NZ"/>
              </w:rPr>
              <w:lastRenderedPageBreak/>
              <w:t xml:space="preserve">whaikaha, social support or kaupapa Māori agencies, where indicated or requested. Transfer documents include but not limited to transfer form, copies of medical history, admission form with family/whānau contact details, resuscitation form, medication charts and last general practitioner review records. </w:t>
            </w:r>
          </w:p>
          <w:p w14:paraId="3DC237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Referrals to other allied health providers were completed with the safety of the resident identified. Upon discharge, current and old notes are collated and filed for archiving. If a resident’s information is required by a subsequent general practitioner, a written request is required for the file to be transferred. Evidence of residents who had been referred to other specialist services, such as podiatrists, nurse specialists, and physiotherapists, were sighted in the files reviewed. </w:t>
            </w:r>
          </w:p>
          <w:p w14:paraId="5EC5B639" w14:textId="77777777" w:rsidR="00EB7645" w:rsidRPr="00BE00C7" w:rsidRDefault="00000000" w:rsidP="00BE00C7">
            <w:pPr>
              <w:pStyle w:val="OutcomeDescription"/>
              <w:spacing w:before="120" w:after="120"/>
              <w:rPr>
                <w:rFonts w:cs="Arial"/>
                <w:lang w:eastAsia="en-NZ"/>
              </w:rPr>
            </w:pPr>
            <w:r w:rsidRPr="00BE00C7">
              <w:rPr>
                <w:rFonts w:cs="Arial"/>
                <w:lang w:eastAsia="en-NZ"/>
              </w:rPr>
              <w:t>Discharge notes are kept in residents’ records and any instructions integrated into the care plan. The clinical manager advised a comprehensive handover occurs between services.</w:t>
            </w:r>
          </w:p>
          <w:p w14:paraId="61EC88C3" w14:textId="77777777" w:rsidR="00EB7645" w:rsidRPr="00BE00C7" w:rsidRDefault="00000000" w:rsidP="00BE00C7">
            <w:pPr>
              <w:pStyle w:val="OutcomeDescription"/>
              <w:spacing w:before="120" w:after="120"/>
              <w:rPr>
                <w:rFonts w:cs="Arial"/>
                <w:lang w:eastAsia="en-NZ"/>
              </w:rPr>
            </w:pPr>
          </w:p>
        </w:tc>
      </w:tr>
      <w:tr w:rsidR="00824933" w14:paraId="57DE8D2F" w14:textId="77777777">
        <w:tc>
          <w:tcPr>
            <w:tcW w:w="0" w:type="auto"/>
          </w:tcPr>
          <w:p w14:paraId="3830BDB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40EB29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8970AA0" w14:textId="77777777" w:rsidR="00EB7645" w:rsidRPr="00BE00C7" w:rsidRDefault="00000000" w:rsidP="00BE00C7">
            <w:pPr>
              <w:pStyle w:val="OutcomeDescription"/>
              <w:spacing w:before="120" w:after="120"/>
              <w:rPr>
                <w:rFonts w:cs="Arial"/>
                <w:lang w:eastAsia="en-NZ"/>
              </w:rPr>
            </w:pPr>
          </w:p>
        </w:tc>
        <w:tc>
          <w:tcPr>
            <w:tcW w:w="0" w:type="auto"/>
          </w:tcPr>
          <w:p w14:paraId="757F51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73D4B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 has a current warrant of fitness that expires on 1 June 2024. The physical environment supports the independence of the residents. Corridors have safety rails and promote safe mobility with the use of mobility aids. Residents were observed moving freely in their respective communities with mobility aids. There are comfortable looking lounges for communal gatherings and activities at the care home. Quiet spaces for residents and their whānau to utilise are available inside and outside in the gardens and courtyards.</w:t>
            </w:r>
          </w:p>
          <w:p w14:paraId="66B527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52-week planned maintenance schedule includes electrical testing and tagging of electrical equipment, resident equipment checks, and calibrations of the weighing scales and clinical equipment. The scales were checked annually, with last check completed July 2023. Hot water temperatures were monitored weekly, and the reviewed records were within the recommended ranges. Reactive maintenance is carried out by the maintenance manager who works full time Monday to Friday (and provides on call for emergencies after hours and weekends) and certified tradespeople where required. The care home contracts a gardener for maintenance of the outdoor space and gardens. The environment is </w:t>
            </w:r>
            <w:r w:rsidRPr="00BE00C7">
              <w:rPr>
                <w:rFonts w:cs="Arial"/>
                <w:lang w:eastAsia="en-NZ"/>
              </w:rPr>
              <w:lastRenderedPageBreak/>
              <w:t xml:space="preserve">maintained at appropriate temperatures with central heating in some of the hallways, ceiling heaters in the residents’ rooms and heat pumps/air conditioning systems in the communal areas. </w:t>
            </w:r>
          </w:p>
          <w:p w14:paraId="4EB97F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is on two levels with the laundry, staff room, maintenance and storage area on the lower level that is connected to the apartments by a corridor. The care home is on the main level adjacent to the main car park. The two levels of the building are connected by a lift and stair access between the rest home/hospital wings and serviced apartments. The care home is divided into three communities: the Puriri community (hospital level), Kauri community (with rest home and dual-purpose rooms) and Te Whare Awhina community (for dementia level care). </w:t>
            </w:r>
          </w:p>
          <w:p w14:paraId="3D647E7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Entry and exit into Te Whare Awhina (dementia community) is by use of a combination keypad. The layout provides secure environments for residents needing dementia care. There is a main lounge and dining area that caters for residents’ needs. The community has 16 spacious bedrooms, all single occupancy with shared toilets and bathrooms. The outdoor areas were secure, safely maintained, and appropriate to the resident group and setting. The walking paths are designed to encourage purposeful walking around the gardens with access to the raised vegetable and flower gardens. All the rooms in Kauri community (rest home and dual-purpose rooms) are single occupancy with hand basin and shared bathrooms and toilets. The rooms in Puriri community (hospital level) are spacious and have a combination of individual and shared ensuites. </w:t>
            </w:r>
          </w:p>
          <w:p w14:paraId="535595C4" w14:textId="77777777" w:rsidR="00EB7645" w:rsidRPr="00BE00C7" w:rsidRDefault="00000000" w:rsidP="00BE00C7">
            <w:pPr>
              <w:pStyle w:val="OutcomeDescription"/>
              <w:spacing w:before="120" w:after="120"/>
              <w:rPr>
                <w:rFonts w:cs="Arial"/>
                <w:lang w:eastAsia="en-NZ"/>
              </w:rPr>
            </w:pPr>
            <w:r w:rsidRPr="00BE00C7">
              <w:rPr>
                <w:rFonts w:cs="Arial"/>
                <w:lang w:eastAsia="en-NZ"/>
              </w:rPr>
              <w:t>All communal toilets and shower facilities have a system that indicates if it is engaged or vacant. All the washing areas have free-flowing soap and paper towels in the toilet areas. There are adequate toilets and showers in Kauri and Te Whare Awhina communities. Fixtures, fittings, and flooring are appropriate and toilet/shower facilities are constructed for ease of cleaning. Communal, visitor and staff toilets are available and contained flowing soap and paper towels. Residents interviewed confirmed their privacy is assured when staff are undertaking personal cares.</w:t>
            </w:r>
          </w:p>
          <w:p w14:paraId="155F72E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areas are easily accessible to the residents (at the time of the audit the Puriri community had restricted access due to Covid-19 outbreak). The furnishings and seating are appropriate for the </w:t>
            </w:r>
            <w:r w:rsidRPr="00BE00C7">
              <w:rPr>
                <w:rFonts w:cs="Arial"/>
                <w:lang w:eastAsia="en-NZ"/>
              </w:rPr>
              <w:lastRenderedPageBreak/>
              <w:t>consumer group. Residents interviewed reported they were able to move around the facility and staff assisted them when required. Activities take place in the large lounges of the three communities. Residents’ rooms are personalised according to the residents’ preferences. Shared facilities, shower rooms, and toilets are of a suitable size to accommodate mobility equipment. All rooms have external windows to provide natural light and have appropriate ventilation and heating.</w:t>
            </w:r>
          </w:p>
          <w:p w14:paraId="09C87E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grounds and external areas were well maintained. External areas are independently accessible to residents. All outdoor areas have seating and shade. There is safe access to all communal areas. </w:t>
            </w:r>
          </w:p>
          <w:p w14:paraId="6BB2B2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no current plans to build or extend; however, should this occur in the future, the general manager advised that the service will liaise with local Māori providers to ensure aspirations and Māori identity are included.</w:t>
            </w:r>
          </w:p>
          <w:p w14:paraId="416B9922" w14:textId="77777777" w:rsidR="00EB7645" w:rsidRPr="00BE00C7" w:rsidRDefault="00000000" w:rsidP="00BE00C7">
            <w:pPr>
              <w:pStyle w:val="OutcomeDescription"/>
              <w:spacing w:before="120" w:after="120"/>
              <w:rPr>
                <w:rFonts w:cs="Arial"/>
                <w:lang w:eastAsia="en-NZ"/>
              </w:rPr>
            </w:pPr>
          </w:p>
        </w:tc>
      </w:tr>
      <w:tr w:rsidR="00824933" w14:paraId="598F198E" w14:textId="77777777">
        <w:tc>
          <w:tcPr>
            <w:tcW w:w="0" w:type="auto"/>
          </w:tcPr>
          <w:p w14:paraId="0FDB2A2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5EBF69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86037C8" w14:textId="77777777" w:rsidR="00EB7645" w:rsidRPr="00BE00C7" w:rsidRDefault="00000000" w:rsidP="00BE00C7">
            <w:pPr>
              <w:pStyle w:val="OutcomeDescription"/>
              <w:spacing w:before="120" w:after="120"/>
              <w:rPr>
                <w:rFonts w:cs="Arial"/>
                <w:lang w:eastAsia="en-NZ"/>
              </w:rPr>
            </w:pPr>
          </w:p>
        </w:tc>
        <w:tc>
          <w:tcPr>
            <w:tcW w:w="0" w:type="auto"/>
          </w:tcPr>
          <w:p w14:paraId="0E48B23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5EA01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displayed and easily accessible by staff. Civil defence planning guides direct the facility in their preparation for disasters and describe the procedures to be followed in the event of a fire or other emergency. A fire evacuation plan in place was approved by the New Zealand Fire Service on 24 April 2013. A trial evacuation drill was performed on 21 September 2023. The drills are conducted every six-months, and these are added to the annual training programme. The staff orientation programme includes fire and security training.</w:t>
            </w:r>
          </w:p>
          <w:p w14:paraId="4D5718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fire exit doors, and there are two designated assemble points in the main car park area. All required fire equipment is checked within the required timeframes by an external contractor. A civil defence plan was in place. There were adequate supplies in the event of a civil defence emergency including food, water (equivalence of three litres per person per day for three days), candles, torches, continent products, and a gas BBQ to meet the requirements for up to 66 residents including rostered staff. There is no generator on site, but one can be hired if required. The experience of cyclone Gabrielle saw the facility being provided with a generator (including fuel) from </w:t>
            </w:r>
            <w:r w:rsidRPr="00BE00C7">
              <w:rPr>
                <w:rFonts w:cs="Arial"/>
                <w:lang w:eastAsia="en-NZ"/>
              </w:rPr>
              <w:lastRenderedPageBreak/>
              <w:t>North power. There is a relationship of such with the power company for any future civil defence emergencies. Emergency lighting is available and is regularly tested. The registered nurses and a selection of caregivers hold current first aid certificates. There is a first aid trained staff member on duty 24/7. Staff interviewed confirmed their awareness of the emergency procedures.</w:t>
            </w:r>
          </w:p>
          <w:p w14:paraId="214F6D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whanau, and staff members to summon assistance. All residents have access to a call bell, and these are checked monthly by the maintenance person. Call bell audits were completed as per the audit schedule. Residents and whānau confirmed that staff respond to calls promptly.</w:t>
            </w:r>
          </w:p>
          <w:p w14:paraId="7F1FF21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security arrangements are in place. Doors are locked at sunset and unlocked at sunrise. Whānau and residents know the process of alerting staff when in need of access to the facility after hours. There is a private security company that patrols the care home at least four times over night. There is a closed-circuit television (CCTV) in public spaces and externally. </w:t>
            </w:r>
          </w:p>
          <w:p w14:paraId="079655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visitors' policy and guidelines available to ensure resident safety and well-being are not compromised by visitors to the service. Visitors and contractors are required to complete visiting protocols. At the time of the audit there was a Covid-19 outbreak and as such there was restricted visiting and those coming in were supplied with appropriate personal protective equipment (PPE) and completed outbreak related visiting protocols. </w:t>
            </w:r>
          </w:p>
          <w:p w14:paraId="2D601194" w14:textId="77777777" w:rsidR="00EB7645" w:rsidRPr="00BE00C7" w:rsidRDefault="00000000" w:rsidP="00BE00C7">
            <w:pPr>
              <w:pStyle w:val="OutcomeDescription"/>
              <w:spacing w:before="120" w:after="120"/>
              <w:rPr>
                <w:rFonts w:cs="Arial"/>
                <w:lang w:eastAsia="en-NZ"/>
              </w:rPr>
            </w:pPr>
          </w:p>
        </w:tc>
      </w:tr>
      <w:tr w:rsidR="00824933" w14:paraId="3E427F0E" w14:textId="77777777">
        <w:tc>
          <w:tcPr>
            <w:tcW w:w="0" w:type="auto"/>
          </w:tcPr>
          <w:p w14:paraId="61D43EA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5.1: Governance</w:t>
            </w:r>
          </w:p>
          <w:p w14:paraId="2674F7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w:t>
            </w:r>
            <w:r w:rsidRPr="00BE00C7">
              <w:rPr>
                <w:rFonts w:cs="Arial"/>
                <w:lang w:eastAsia="en-NZ"/>
              </w:rPr>
              <w:lastRenderedPageBreak/>
              <w:t>participate in national and regional IP and AMS programmes and respond to relevant issues of national and regional concern.</w:t>
            </w:r>
          </w:p>
          <w:p w14:paraId="7036416D" w14:textId="77777777" w:rsidR="00EB7645" w:rsidRPr="00BE00C7" w:rsidRDefault="00000000" w:rsidP="00BE00C7">
            <w:pPr>
              <w:pStyle w:val="OutcomeDescription"/>
              <w:spacing w:before="120" w:after="120"/>
              <w:rPr>
                <w:rFonts w:cs="Arial"/>
                <w:lang w:eastAsia="en-NZ"/>
              </w:rPr>
            </w:pPr>
          </w:p>
        </w:tc>
        <w:tc>
          <w:tcPr>
            <w:tcW w:w="0" w:type="auto"/>
          </w:tcPr>
          <w:p w14:paraId="6C78EA0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5B723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(RN) undertakes the role of infection control officer to oversee infection control and prevention across the service. The job description outlines the responsibility of the role. The organisational infection control programme, its content and detail, is appropriate for the size, complexity and degree of risk associated with the service. Infection control is linked into the quality risk and incident reporting system. The infection control programme is reviewed annually by the infection control and prevention specialist at Bupa head office, who reports to and can escalate any significant issues to </w:t>
            </w:r>
            <w:r w:rsidRPr="00BE00C7">
              <w:rPr>
                <w:rFonts w:cs="Arial"/>
                <w:lang w:eastAsia="en-NZ"/>
              </w:rPr>
              <w:lastRenderedPageBreak/>
              <w:t xml:space="preserve">Board level. Documentation review evidenced recent outbreaks were escalated to the executive team within 24 hours. Bupa has monthly and sometimes weekly infection control teleconferences for information, education and discussion and updates, should matters arise in between scheduled meeting times. Infection rates are presented and discussed at quality and staff meetings. Infection prevention and control are part of the strategic and quality plans. </w:t>
            </w:r>
          </w:p>
          <w:p w14:paraId="0DD6E37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access to an infection prevention clinical nurse specialist from Te Whatu Ora-Te Tai Tokerau, in addition to expertise at Bupa head office. Residents and staff are offered influenza and Covid-19 vaccinations. Visitors are asked not to visit if unwell. There are hand sanitisers strategically placed around the facility. </w:t>
            </w:r>
          </w:p>
          <w:p w14:paraId="07E02D9C" w14:textId="77777777" w:rsidR="00EB7645" w:rsidRPr="00BE00C7" w:rsidRDefault="00000000" w:rsidP="00BE00C7">
            <w:pPr>
              <w:pStyle w:val="OutcomeDescription"/>
              <w:spacing w:before="120" w:after="120"/>
              <w:rPr>
                <w:rFonts w:cs="Arial"/>
                <w:lang w:eastAsia="en-NZ"/>
              </w:rPr>
            </w:pPr>
          </w:p>
        </w:tc>
      </w:tr>
      <w:tr w:rsidR="00824933" w14:paraId="01A5968C" w14:textId="77777777">
        <w:tc>
          <w:tcPr>
            <w:tcW w:w="0" w:type="auto"/>
          </w:tcPr>
          <w:p w14:paraId="18111D9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3A829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454FEDCE" w14:textId="77777777" w:rsidR="00EB7645" w:rsidRPr="00BE00C7" w:rsidRDefault="00000000" w:rsidP="00BE00C7">
            <w:pPr>
              <w:pStyle w:val="OutcomeDescription"/>
              <w:spacing w:before="120" w:after="120"/>
              <w:rPr>
                <w:rFonts w:cs="Arial"/>
                <w:lang w:eastAsia="en-NZ"/>
              </w:rPr>
            </w:pPr>
          </w:p>
        </w:tc>
        <w:tc>
          <w:tcPr>
            <w:tcW w:w="0" w:type="auto"/>
          </w:tcPr>
          <w:p w14:paraId="2662C5E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4F5F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designated infection officer is supported by the clinical team and Bupa infection control lead. The service has a Covid-19 and pandemic response plan which includes preparation and planning for the management of lockdown, screening, transfers into the facility and Covid-19 positive tests. There are outbreak kits readily available, and a personal protective equipment (PPE) cupboard and trolleys set up ready to be used. The PPE stock is regularly checked against expiry dates. There are supplies of extra PPE equipment available and accessible. The Bupa infection control lead and the infection control officer have input into the procurement of good quality PPE, medical and wound care products.</w:t>
            </w:r>
          </w:p>
          <w:p w14:paraId="1E1BF5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officer has completed courses in the basics of infection control, Ministry of Health online learning, and other training through Te Whatu Ora. There is good external support from the GP, laboratory, and the Bupa infection control lead. </w:t>
            </w:r>
          </w:p>
          <w:p w14:paraId="31B44C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team and training and education of staff. Policies and procedures are reviewed quarterly by Bupa in consultation with infection control coordinators/officers. Policies are available to staff. Aseptic techniques are promoted through handwashing, and sterile single use </w:t>
            </w:r>
            <w:r w:rsidRPr="00BE00C7">
              <w:rPr>
                <w:rFonts w:cs="Arial"/>
                <w:lang w:eastAsia="en-NZ"/>
              </w:rPr>
              <w:lastRenderedPageBreak/>
              <w:t xml:space="preserve">packs for catheterisation and wound care, to create an environment to prevent contamination from pathogens to prevent healthcare-associated infections. There are policies and procedures in place around reusable and single use equipment. All shared equipment is appropriately disinfected between use. Infection control is included in the internal audit schedule and evidenced full compliance. Hospital acquired infections are collated along with infection control data. </w:t>
            </w:r>
          </w:p>
          <w:p w14:paraId="6CDA03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pandemic response (including Covid-19) and staff were informed of any changes by noticeboards, handovers, toolbox talks, text message and emails. Staff have completed handwashing and personal protective equipment competencies. Resident education occurs as part of the daily cares. Residents and families/whānau are kept informed and updated on Covid-19 policies and procedures through emails. </w:t>
            </w:r>
          </w:p>
          <w:p w14:paraId="02B215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incorporates te reo information around infection control for Māori. Posters in te reo are in evidence throughout the facility and additional information in te reo Māori is readily available. The Māori health strategy includes the importance of ensuring culturally safe practices in infection prevention. The infection control officer has access to a Māori health advisor as needed. Staff interviewed were knowledgeable around providing culturally safe practices to acknowledge the spirit of Te Tiriti o Waitangi. There are no plans to change the current environment, however, the organisation will consult with the infection control coordinator if this occurs. </w:t>
            </w:r>
          </w:p>
          <w:p w14:paraId="04FD39F8" w14:textId="77777777" w:rsidR="00EB7645" w:rsidRPr="00BE00C7" w:rsidRDefault="00000000" w:rsidP="00BE00C7">
            <w:pPr>
              <w:pStyle w:val="OutcomeDescription"/>
              <w:spacing w:before="120" w:after="120"/>
              <w:rPr>
                <w:rFonts w:cs="Arial"/>
                <w:lang w:eastAsia="en-NZ"/>
              </w:rPr>
            </w:pPr>
          </w:p>
        </w:tc>
      </w:tr>
      <w:tr w:rsidR="00824933" w14:paraId="5169E45B" w14:textId="77777777">
        <w:tc>
          <w:tcPr>
            <w:tcW w:w="0" w:type="auto"/>
          </w:tcPr>
          <w:p w14:paraId="488D2CD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6AFE740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r>
            <w:r w:rsidRPr="00BE00C7">
              <w:rPr>
                <w:rFonts w:cs="Arial"/>
                <w:lang w:eastAsia="en-NZ"/>
              </w:rPr>
              <w:lastRenderedPageBreak/>
              <w:t>As service providers: We promote responsible antimicrobials prescribing and implement an AMS programme that is appropriate to the needs, size, and scope of our services.</w:t>
            </w:r>
          </w:p>
          <w:p w14:paraId="3EB5FDDF" w14:textId="77777777" w:rsidR="00EB7645" w:rsidRPr="00BE00C7" w:rsidRDefault="00000000" w:rsidP="00BE00C7">
            <w:pPr>
              <w:pStyle w:val="OutcomeDescription"/>
              <w:spacing w:before="120" w:after="120"/>
              <w:rPr>
                <w:rFonts w:cs="Arial"/>
                <w:lang w:eastAsia="en-NZ"/>
              </w:rPr>
            </w:pPr>
          </w:p>
        </w:tc>
        <w:tc>
          <w:tcPr>
            <w:tcW w:w="0" w:type="auto"/>
          </w:tcPr>
          <w:p w14:paraId="66D918D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19BFA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antimicrobial use policy and procedure. The service and organisation monitor compliance of antibiotic and antimicrobial use through evaluation and monitoring of medication prescribing charts, prescriptions, and medical notes. Antibiotic use and prescribing follow the New Zealand antimicrobial stewardship guidelines. The antimicrobial policy is appropriate for the size, scope, and complexity of the resident cohort. Infection rates are monitored </w:t>
            </w:r>
            <w:r w:rsidRPr="00BE00C7">
              <w:rPr>
                <w:rFonts w:cs="Arial"/>
                <w:lang w:eastAsia="en-NZ"/>
              </w:rPr>
              <w:lastRenderedPageBreak/>
              <w:t>monthly and reported in a monthly quality report and presented at meetings. The Bupa infection control lead is responsible for collating and analysing the electronic medication management system with pharmacy support. The monitoring and analysis of the quality and quantity of antimicrobial prescribing occurs annually.</w:t>
            </w:r>
          </w:p>
          <w:p w14:paraId="47D5ADA7" w14:textId="77777777" w:rsidR="00EB7645" w:rsidRPr="00BE00C7" w:rsidRDefault="00000000" w:rsidP="00BE00C7">
            <w:pPr>
              <w:pStyle w:val="OutcomeDescription"/>
              <w:spacing w:before="120" w:after="120"/>
              <w:rPr>
                <w:rFonts w:cs="Arial"/>
                <w:lang w:eastAsia="en-NZ"/>
              </w:rPr>
            </w:pPr>
            <w:r w:rsidRPr="00BE00C7">
              <w:rPr>
                <w:rFonts w:cs="Arial"/>
                <w:lang w:eastAsia="en-NZ"/>
              </w:rPr>
              <w:t>Prophylactic use of antibiotics is not considered to be appropriate and is discouraged. Monotherapy and narrow spectrum antibiotics are preferred when prescribed.</w:t>
            </w:r>
          </w:p>
          <w:p w14:paraId="6B73B815" w14:textId="77777777" w:rsidR="00EB7645" w:rsidRPr="00BE00C7" w:rsidRDefault="00000000" w:rsidP="00BE00C7">
            <w:pPr>
              <w:pStyle w:val="OutcomeDescription"/>
              <w:spacing w:before="120" w:after="120"/>
              <w:rPr>
                <w:rFonts w:cs="Arial"/>
                <w:lang w:eastAsia="en-NZ"/>
              </w:rPr>
            </w:pPr>
          </w:p>
        </w:tc>
      </w:tr>
      <w:tr w:rsidR="00824933" w14:paraId="099A990C" w14:textId="77777777">
        <w:tc>
          <w:tcPr>
            <w:tcW w:w="0" w:type="auto"/>
          </w:tcPr>
          <w:p w14:paraId="666A521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7DC572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B087DB5" w14:textId="77777777" w:rsidR="00EB7645" w:rsidRPr="00BE00C7" w:rsidRDefault="00000000" w:rsidP="00BE00C7">
            <w:pPr>
              <w:pStyle w:val="OutcomeDescription"/>
              <w:spacing w:before="120" w:after="120"/>
              <w:rPr>
                <w:rFonts w:cs="Arial"/>
                <w:lang w:eastAsia="en-NZ"/>
              </w:rPr>
            </w:pPr>
          </w:p>
        </w:tc>
        <w:tc>
          <w:tcPr>
            <w:tcW w:w="0" w:type="auto"/>
          </w:tcPr>
          <w:p w14:paraId="0FCB835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D7A5A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Bupa infection control policy manual. Monthly infection data is collected for all infections based on signs, symptoms, and definition of infection. Infections are entered into the register on the electronic database (VCare) and surveillance of all infections (including organisms) is collated onto a monthly infection summary. This data is monitored and analysed for trends, monthly and annually. Benchmarking occurs with other Bupa facilities. The service incorporates ethnicity data into surveillance methods and data captured around infections. Infection control surveillance is discussed at infection control, clinical and staff meetings. Meeting minutes and graphs are displayed for staff. Action plans are required for any infection rates of concern. The service receives regular notifications and alerts from Te Whatu Ora - Te Tai Tokerau. </w:t>
            </w:r>
          </w:p>
          <w:p w14:paraId="0EB9D12E" w14:textId="6FDC0C21" w:rsidR="00EB7645" w:rsidRPr="00BE00C7" w:rsidRDefault="00000000" w:rsidP="00BE00C7">
            <w:pPr>
              <w:pStyle w:val="OutcomeDescription"/>
              <w:spacing w:before="120" w:after="120"/>
              <w:rPr>
                <w:rFonts w:cs="Arial"/>
                <w:lang w:eastAsia="en-NZ"/>
              </w:rPr>
            </w:pPr>
            <w:r w:rsidRPr="00BE00C7">
              <w:rPr>
                <w:rFonts w:cs="Arial"/>
                <w:lang w:eastAsia="en-NZ"/>
              </w:rPr>
              <w:t>There has been one Covid -19 outbreak (April 2023), and a current Covid-19 outbreak was underway at the time of audit, confined to the hospital wing. Appropriate management was in place, with Te Whatu Ora, and Public Health being appropriately notified. There was evidence of regular communication with the Bupa infection control lead, clinical director, aged care portfolio manager and Te Whatu Ora- Te Tai Tokerau infection control nurse specialist. Daily outbreak management meetings and toolbox meetings (sighted) capture `lessons learned` to prevent, prepare for and respond to future infectious disease outbreaks. Outbreak logs are completed. Staff confirmed resources, including PPE, are plentiful.</w:t>
            </w:r>
          </w:p>
        </w:tc>
      </w:tr>
      <w:tr w:rsidR="00824933" w14:paraId="758A1672" w14:textId="77777777">
        <w:tc>
          <w:tcPr>
            <w:tcW w:w="0" w:type="auto"/>
          </w:tcPr>
          <w:p w14:paraId="0AEE11D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6A2F2C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2ECE5B46" w14:textId="77777777" w:rsidR="00EB7645" w:rsidRPr="00BE00C7" w:rsidRDefault="00000000" w:rsidP="00BE00C7">
            <w:pPr>
              <w:pStyle w:val="OutcomeDescription"/>
              <w:spacing w:before="120" w:after="120"/>
              <w:rPr>
                <w:rFonts w:cs="Arial"/>
                <w:lang w:eastAsia="en-NZ"/>
              </w:rPr>
            </w:pPr>
          </w:p>
        </w:tc>
        <w:tc>
          <w:tcPr>
            <w:tcW w:w="0" w:type="auto"/>
          </w:tcPr>
          <w:p w14:paraId="3D904BA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3B3C4A6"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dispensed through a pre-measured mixing unit. Safety data sheets and product sheets are available. Sharp’s containers are available and meet the hazardous substances regulations for containers. Gloves and aprons are available for staff, and they were observed to be wearing these as they carried out their duties on the days of audit. There are sluice rooms (with sanitisers) in each wing with personal protective equipment available, including face visors. Staff have completed chemical safety training. A chemical provider monitors the effectiveness of chemicals.</w:t>
            </w:r>
          </w:p>
          <w:p w14:paraId="028BF2D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laundry in the service area of the facility. There are areas for storage of clean and dirty laundry and a dirty to clean flow is evident. There are two commercial washing machines and two dryers. Material safety datasheets are available, and all chemicals are within closed systems. All laundry is processed on site by dedicated laundry assistants seven days per week. </w:t>
            </w:r>
          </w:p>
          <w:p w14:paraId="4DF0EAF7" w14:textId="77777777" w:rsidR="00EB7645" w:rsidRPr="00BE00C7" w:rsidRDefault="00000000" w:rsidP="00BE00C7">
            <w:pPr>
              <w:pStyle w:val="OutcomeDescription"/>
              <w:spacing w:before="120" w:after="120"/>
              <w:rPr>
                <w:rFonts w:cs="Arial"/>
                <w:lang w:eastAsia="en-NZ"/>
              </w:rPr>
            </w:pPr>
            <w:r w:rsidRPr="00BE00C7">
              <w:rPr>
                <w:rFonts w:cs="Arial"/>
                <w:lang w:eastAsia="en-NZ"/>
              </w:rPr>
              <w:t>Cleaners’ trolleys are attended at all times and are locked away in the cleaners’ cupboard when not in use. All chemicals on the cleaner’s trolley were labelled. There was appropriate personal protective clothing readily available. The numerous linen cupboards were well stocked. The washing machines and dryers are checked and serviced regularly. Laundry staff have also completed chemical safety training.</w:t>
            </w:r>
          </w:p>
          <w:p w14:paraId="2E72E80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staff interviewed had good knowledge about cleaning processes and requirements relating to infection prevention and control.</w:t>
            </w:r>
          </w:p>
          <w:p w14:paraId="093C9E1B" w14:textId="77777777" w:rsidR="00EB7645" w:rsidRPr="00BE00C7" w:rsidRDefault="00000000" w:rsidP="00BE00C7">
            <w:pPr>
              <w:pStyle w:val="OutcomeDescription"/>
              <w:spacing w:before="120" w:after="120"/>
              <w:rPr>
                <w:rFonts w:cs="Arial"/>
                <w:lang w:eastAsia="en-NZ"/>
              </w:rPr>
            </w:pPr>
          </w:p>
        </w:tc>
      </w:tr>
      <w:tr w:rsidR="00824933" w14:paraId="320B337D" w14:textId="77777777">
        <w:tc>
          <w:tcPr>
            <w:tcW w:w="0" w:type="auto"/>
          </w:tcPr>
          <w:p w14:paraId="4D8C0CC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10D3D1D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r>
            <w:r w:rsidRPr="00BE00C7">
              <w:rPr>
                <w:rFonts w:cs="Arial"/>
                <w:lang w:eastAsia="en-NZ"/>
              </w:rPr>
              <w:lastRenderedPageBreak/>
              <w:t>As service providers: We demonstrate the rationale for the use of restraint in the context of aiming for elimination.</w:t>
            </w:r>
          </w:p>
          <w:p w14:paraId="2925F5E1" w14:textId="77777777" w:rsidR="00EB7645" w:rsidRPr="00BE00C7" w:rsidRDefault="00000000" w:rsidP="00BE00C7">
            <w:pPr>
              <w:pStyle w:val="OutcomeDescription"/>
              <w:spacing w:before="120" w:after="120"/>
              <w:rPr>
                <w:rFonts w:cs="Arial"/>
                <w:lang w:eastAsia="en-NZ"/>
              </w:rPr>
            </w:pPr>
          </w:p>
        </w:tc>
        <w:tc>
          <w:tcPr>
            <w:tcW w:w="0" w:type="auto"/>
          </w:tcPr>
          <w:p w14:paraId="30568B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328561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Bupa Merrivale is committed to providing service to residents without use of restraint. At the time of the audit there were no residents using restraints. The service has been restraint free for several years and is committed to remaining restraint free. Policies and procedures meet the requirements of the standards. The national restraint group is responsible for the Bupa restraint elimination strategy and for </w:t>
            </w:r>
            <w:r w:rsidRPr="00BE00C7">
              <w:rPr>
                <w:rFonts w:cs="Arial"/>
                <w:lang w:eastAsia="en-NZ"/>
              </w:rPr>
              <w:lastRenderedPageBreak/>
              <w:t>monitoring restraint use in the organisation. Restraint is discussed at the clinical governance and board level.</w:t>
            </w:r>
          </w:p>
          <w:p w14:paraId="3D7C5DCB" w14:textId="77777777" w:rsidR="00EB7645" w:rsidRPr="00BE00C7" w:rsidRDefault="00000000"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restrictive possible. At all times when restraint is considered, Bupa Merrivale will work in partnership with Māori, to promote and ensure services are mana enhancing. A review of the documentation available for residents potentially requiring restraint, included processes and resources for assessment, consent, monitoring, and evaluation. The restraint approval process includes the resident, EPOA, GP, and restraint coordinator.</w:t>
            </w:r>
          </w:p>
          <w:p w14:paraId="672704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Restraint related training which includes policies and procedures related to restraint, cultural practices and de-escalation strategies is completed as part of the mandatory training plan and orientation. Staff have completed the annual restraint free and restraint competency. Restraint free audit was completed in September 2023 and demonstrated compliance with expected standard. The restraint coordinator has attended the Bupa national restraint teleconference held in July 2023. Bupa end of year (2022) and mid-year restraint report (June 2023) confirms Merrivale to continue to maintain a restraint free environment. </w:t>
            </w:r>
          </w:p>
          <w:p w14:paraId="5EE92A5E" w14:textId="77777777" w:rsidR="00EB7645" w:rsidRPr="00BE00C7" w:rsidRDefault="00000000" w:rsidP="00BE00C7">
            <w:pPr>
              <w:pStyle w:val="OutcomeDescription"/>
              <w:spacing w:before="120" w:after="120"/>
              <w:rPr>
                <w:rFonts w:cs="Arial"/>
                <w:lang w:eastAsia="en-NZ"/>
              </w:rPr>
            </w:pPr>
          </w:p>
        </w:tc>
      </w:tr>
    </w:tbl>
    <w:p w14:paraId="72C305FE"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EC9DB55" w14:textId="77777777" w:rsidR="00460D43" w:rsidRDefault="00000000">
      <w:pPr>
        <w:pStyle w:val="Heading1"/>
        <w:rPr>
          <w:rFonts w:cs="Arial"/>
        </w:rPr>
      </w:pPr>
      <w:r>
        <w:rPr>
          <w:rFonts w:cs="Arial"/>
        </w:rPr>
        <w:lastRenderedPageBreak/>
        <w:t>Specific results for criterion where corrective actions are required</w:t>
      </w:r>
    </w:p>
    <w:p w14:paraId="60F021AC"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7489C7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w:t>
      </w:r>
      <w:r w:rsidRPr="00FB778F">
        <w:rPr>
          <w:rFonts w:cs="Arial"/>
          <w:sz w:val="24"/>
          <w:lang w:eastAsia="en-NZ"/>
        </w:rPr>
        <w:t xml:space="preserve">spirations, whatever they are (that is, recognising mana motuhake) relates to subsection 1.1: Pae ora healthy futures in Section 1 Our rights. </w:t>
      </w:r>
    </w:p>
    <w:p w14:paraId="37A8AC3F"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312"/>
        <w:gridCol w:w="3894"/>
        <w:gridCol w:w="3219"/>
        <w:gridCol w:w="2575"/>
      </w:tblGrid>
      <w:tr w:rsidR="00824933" w14:paraId="0EAB86F8" w14:textId="77777777">
        <w:tc>
          <w:tcPr>
            <w:tcW w:w="0" w:type="auto"/>
          </w:tcPr>
          <w:p w14:paraId="5CE4CD5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0A593D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264D4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76FFF1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E996B0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24933" w14:paraId="05F37C24" w14:textId="77777777">
        <w:tc>
          <w:tcPr>
            <w:tcW w:w="0" w:type="auto"/>
          </w:tcPr>
          <w:p w14:paraId="65659E26"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2.2.2</w:t>
            </w:r>
          </w:p>
          <w:p w14:paraId="067111A4"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ABE8164"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976B7BD"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Internal audits, meetings, and collation of data were documented as taking place; however, corrective actions were not consistently documented where indicated to address service improvements, and there was a lack of evidence showing progress and sign off when achieved.</w:t>
            </w:r>
          </w:p>
          <w:p w14:paraId="1A73A268" w14:textId="77777777" w:rsidR="00EB7645" w:rsidRPr="00BE00C7" w:rsidRDefault="00000000" w:rsidP="00BE00C7">
            <w:pPr>
              <w:pStyle w:val="OutcomeDescription"/>
              <w:spacing w:before="120" w:after="120"/>
              <w:rPr>
                <w:rFonts w:cs="Arial"/>
                <w:lang w:eastAsia="en-NZ"/>
              </w:rPr>
            </w:pPr>
          </w:p>
        </w:tc>
        <w:tc>
          <w:tcPr>
            <w:tcW w:w="0" w:type="auto"/>
          </w:tcPr>
          <w:p w14:paraId="612A33F7" w14:textId="77777777" w:rsidR="00EB7645" w:rsidRPr="00BE00C7" w:rsidRDefault="00000000" w:rsidP="00BE00C7">
            <w:pPr>
              <w:pStyle w:val="OutcomeDescription"/>
              <w:spacing w:before="120" w:after="120"/>
              <w:rPr>
                <w:rFonts w:cs="Arial"/>
                <w:lang w:eastAsia="en-NZ"/>
              </w:rPr>
            </w:pPr>
            <w:r w:rsidRPr="00BE00C7">
              <w:rPr>
                <w:rFonts w:cs="Arial"/>
                <w:lang w:eastAsia="en-NZ"/>
              </w:rPr>
              <w:t>Audits are being completed as per the schedule; however, they are not signed off as being complete and corrective actions are not consistently documented when required.</w:t>
            </w:r>
          </w:p>
          <w:p w14:paraId="2B186FCF" w14:textId="77777777" w:rsidR="00EB7645" w:rsidRPr="00BE00C7" w:rsidRDefault="00000000" w:rsidP="00BE00C7">
            <w:pPr>
              <w:pStyle w:val="OutcomeDescription"/>
              <w:spacing w:before="120" w:after="120"/>
              <w:rPr>
                <w:rFonts w:cs="Arial"/>
                <w:lang w:eastAsia="en-NZ"/>
              </w:rPr>
            </w:pPr>
          </w:p>
          <w:p w14:paraId="6386334F" w14:textId="77777777" w:rsidR="00EB7645" w:rsidRPr="00BE00C7" w:rsidRDefault="00000000" w:rsidP="00BE00C7">
            <w:pPr>
              <w:pStyle w:val="OutcomeDescription"/>
              <w:spacing w:before="120" w:after="120"/>
              <w:rPr>
                <w:rFonts w:cs="Arial"/>
                <w:lang w:eastAsia="en-NZ"/>
              </w:rPr>
            </w:pPr>
          </w:p>
        </w:tc>
        <w:tc>
          <w:tcPr>
            <w:tcW w:w="0" w:type="auto"/>
          </w:tcPr>
          <w:p w14:paraId="2E6B591C"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audits are signed off when complete and corrective actions are documented and implemented where required.</w:t>
            </w:r>
          </w:p>
          <w:p w14:paraId="674640DD" w14:textId="77777777" w:rsidR="00EB7645" w:rsidRPr="00BE00C7" w:rsidRDefault="00000000" w:rsidP="00BE00C7">
            <w:pPr>
              <w:pStyle w:val="OutcomeDescription"/>
              <w:spacing w:before="120" w:after="120"/>
              <w:rPr>
                <w:rFonts w:cs="Arial"/>
                <w:lang w:eastAsia="en-NZ"/>
              </w:rPr>
            </w:pPr>
          </w:p>
          <w:p w14:paraId="0D33593F"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824933" w14:paraId="79CF325F" w14:textId="77777777">
        <w:tc>
          <w:tcPr>
            <w:tcW w:w="0" w:type="auto"/>
          </w:tcPr>
          <w:p w14:paraId="68EE11A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1028CDDA"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 xml:space="preserve">(b) A suitably qualified, skilled, and experienced health care or support worker undertakes </w:t>
            </w:r>
            <w:r w:rsidRPr="00BE00C7">
              <w:rPr>
                <w:rFonts w:cs="Arial"/>
                <w:lang w:eastAsia="en-NZ"/>
              </w:rPr>
              <w:lastRenderedPageBreak/>
              <w:t>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086DD9EC" w14:textId="77777777" w:rsidR="00EB7645" w:rsidRPr="00BE00C7" w:rsidRDefault="00000000" w:rsidP="00BE00C7">
            <w:pPr>
              <w:pStyle w:val="OutcomeDescription"/>
              <w:spacing w:before="120" w:after="120"/>
              <w:rPr>
                <w:rFonts w:cs="Arial"/>
                <w:lang w:eastAsia="en-NZ"/>
              </w:rPr>
            </w:pPr>
          </w:p>
        </w:tc>
        <w:tc>
          <w:tcPr>
            <w:tcW w:w="0" w:type="auto"/>
          </w:tcPr>
          <w:p w14:paraId="794DEF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DE147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are responsible for the development of the support plan. Assessment tools including cultural assessments were completed to identify key risk areas. Alerts are indicated on the resident care plan and include (but not limited to) high falls risk, weight loss, wandering, choking and pressure injury risks. The registered nurses interviewed understand their responsibility in relation </w:t>
            </w:r>
            <w:r w:rsidRPr="00BE00C7">
              <w:rPr>
                <w:rFonts w:cs="Arial"/>
                <w:lang w:eastAsia="en-NZ"/>
              </w:rPr>
              <w:lastRenderedPageBreak/>
              <w:t>to assessment and care planning. There are comprehensive policies in place related to assessment and support planning; however, not all resident care plans reviewed provided sufficient information related to assessed risks, interventions, and care planning to demonstrate compliance. The two care plans for residents in the dementia community did not provide interventions for the management of behaviour over 24 hours.</w:t>
            </w:r>
          </w:p>
          <w:p w14:paraId="0686381F" w14:textId="77777777" w:rsidR="00EB7645" w:rsidRPr="00BE00C7" w:rsidRDefault="00000000" w:rsidP="00BE00C7">
            <w:pPr>
              <w:pStyle w:val="OutcomeDescription"/>
              <w:spacing w:before="120" w:after="120"/>
              <w:rPr>
                <w:rFonts w:cs="Arial"/>
                <w:lang w:eastAsia="en-NZ"/>
              </w:rPr>
            </w:pPr>
            <w:r w:rsidRPr="00BE00C7">
              <w:rPr>
                <w:rFonts w:cs="Arial"/>
                <w:lang w:eastAsia="en-NZ"/>
              </w:rPr>
              <w:t>Caregivers are knowledgeable about the care needs of the residents and the families/whanau interviewed were complimentary of the care provided. Progress notes and monitoring records evidence care delivery to the residents reflective of their needs as described by staff during interviews and confirmed by residents, family/whānau interviewed. The findings related to care planning relates to documentation only.</w:t>
            </w:r>
          </w:p>
          <w:p w14:paraId="6623B30F" w14:textId="77777777" w:rsidR="00EB7645" w:rsidRPr="00BE00C7" w:rsidRDefault="00000000" w:rsidP="00BE00C7">
            <w:pPr>
              <w:pStyle w:val="OutcomeDescription"/>
              <w:spacing w:before="120" w:after="120"/>
              <w:rPr>
                <w:rFonts w:cs="Arial"/>
                <w:lang w:eastAsia="en-NZ"/>
              </w:rPr>
            </w:pPr>
          </w:p>
        </w:tc>
        <w:tc>
          <w:tcPr>
            <w:tcW w:w="0" w:type="auto"/>
          </w:tcPr>
          <w:p w14:paraId="029930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There were no detailed interventions documented to manage diabetes for three residents (one rest home, one dementia and one hospital)</w:t>
            </w:r>
          </w:p>
          <w:p w14:paraId="49DFAC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There were no interventions documented around pain management for a hospital </w:t>
            </w:r>
            <w:r w:rsidRPr="00BE00C7">
              <w:rPr>
                <w:rFonts w:cs="Arial"/>
                <w:lang w:eastAsia="en-NZ"/>
              </w:rPr>
              <w:lastRenderedPageBreak/>
              <w:t>resident on regular narcotic analgesia.</w:t>
            </w:r>
          </w:p>
          <w:p w14:paraId="24F80D9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Falls management interventions were not documented for two hospital level residents. </w:t>
            </w:r>
          </w:p>
          <w:p w14:paraId="5B2DCF70" w14:textId="77777777" w:rsidR="00EB7645" w:rsidRPr="00BE00C7" w:rsidRDefault="00000000" w:rsidP="00BE00C7">
            <w:pPr>
              <w:pStyle w:val="OutcomeDescription"/>
              <w:spacing w:before="120" w:after="120"/>
              <w:rPr>
                <w:rFonts w:cs="Arial"/>
                <w:lang w:eastAsia="en-NZ"/>
              </w:rPr>
            </w:pPr>
            <w:r w:rsidRPr="00BE00C7">
              <w:rPr>
                <w:rFonts w:cs="Arial"/>
                <w:lang w:eastAsia="en-NZ"/>
              </w:rPr>
              <w:t>(iv). There were insufficient interventions documented around activities for a younger resident with a disability.</w:t>
            </w:r>
          </w:p>
          <w:p w14:paraId="077BF2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(v). There were insufficient interventions documented for one hospital resident with sleep apnoea. </w:t>
            </w:r>
          </w:p>
          <w:p w14:paraId="390E1BED" w14:textId="77777777" w:rsidR="00EB7645" w:rsidRPr="00BE00C7" w:rsidRDefault="00000000" w:rsidP="00BE00C7">
            <w:pPr>
              <w:pStyle w:val="OutcomeDescription"/>
              <w:spacing w:before="120" w:after="120"/>
              <w:rPr>
                <w:rFonts w:cs="Arial"/>
                <w:lang w:eastAsia="en-NZ"/>
              </w:rPr>
            </w:pPr>
            <w:r w:rsidRPr="00BE00C7">
              <w:rPr>
                <w:rFonts w:cs="Arial"/>
                <w:lang w:eastAsia="en-NZ"/>
              </w:rPr>
              <w:t>(vi). Two of two care plans reviewed for residents in the dementia unit did not include a 24-hour reflection of close to normal routine for the resident with detailed interventions to assist caregivers in strategies for distraction, de-escalation, and management of challenging resident behaviours.</w:t>
            </w:r>
          </w:p>
          <w:p w14:paraId="6D521EC6" w14:textId="77777777" w:rsidR="00EB7645" w:rsidRPr="00BE00C7" w:rsidRDefault="00000000" w:rsidP="00BE00C7">
            <w:pPr>
              <w:pStyle w:val="OutcomeDescription"/>
              <w:spacing w:before="120" w:after="120"/>
              <w:rPr>
                <w:rFonts w:cs="Arial"/>
                <w:lang w:eastAsia="en-NZ"/>
              </w:rPr>
            </w:pPr>
          </w:p>
        </w:tc>
        <w:tc>
          <w:tcPr>
            <w:tcW w:w="0" w:type="auto"/>
          </w:tcPr>
          <w:p w14:paraId="02737D4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(v). Ensure care plan documentation reflects the residents’ needs and interventions to provide adequate guidance for care staff related to management of resident needs.</w:t>
            </w:r>
          </w:p>
          <w:p w14:paraId="239AD8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(vi) Ensure that all care plans reflect 24-hour management of the resident behaviours.</w:t>
            </w:r>
          </w:p>
          <w:p w14:paraId="065F45D7" w14:textId="77777777" w:rsidR="00EB7645" w:rsidRPr="00BE00C7" w:rsidRDefault="00000000" w:rsidP="00BE00C7">
            <w:pPr>
              <w:pStyle w:val="OutcomeDescription"/>
              <w:spacing w:before="120" w:after="120"/>
              <w:rPr>
                <w:rFonts w:cs="Arial"/>
                <w:lang w:eastAsia="en-NZ"/>
              </w:rPr>
            </w:pPr>
          </w:p>
          <w:p w14:paraId="10070EC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824933" w14:paraId="5E71AC49" w14:textId="77777777">
        <w:tc>
          <w:tcPr>
            <w:tcW w:w="0" w:type="auto"/>
          </w:tcPr>
          <w:p w14:paraId="1CCC624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67E3B3C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medication management system shall be implemented </w:t>
            </w:r>
            <w:r w:rsidRPr="00BE00C7">
              <w:rPr>
                <w:rFonts w:cs="Arial"/>
                <w:lang w:eastAsia="en-NZ"/>
              </w:rPr>
              <w:lastRenderedPageBreak/>
              <w:t>appropriate to the scope of the service.</w:t>
            </w:r>
          </w:p>
        </w:tc>
        <w:tc>
          <w:tcPr>
            <w:tcW w:w="0" w:type="auto"/>
          </w:tcPr>
          <w:p w14:paraId="2574E60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0A8B93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enrolled nurses and medication competent caregivers are responsible for the administration of medications. Those responsible for </w:t>
            </w:r>
            <w:r w:rsidRPr="00BE00C7">
              <w:rPr>
                <w:rFonts w:cs="Arial"/>
                <w:lang w:eastAsia="en-NZ"/>
              </w:rPr>
              <w:lastRenderedPageBreak/>
              <w:t>medication administration have all completed medication competencies and education related to medication management. There is a policy and process on safe medicine management including reconciliation, storage, and documentation requirements. Review of medication rooms indicate that the room temperatures for two (Te Whare Awhina and Kauri) of the medication rooms were not checked and recorded consistently. The medication fridge temperature monitoring for Te Whare Awhina was not monitored and recorded as scheduled. Observation of the medication round confirmed that creams and eye drops in use in the medication trolley were all not dated on opening. Review of the controlled drug register confirms that the weekly stock check has not been completed weekly over the last 12 months. Review of the medication charts and progress notes indicated that staff were always documenting the outcome or effectiveness of pro re nata (PRN) medications when they were administered. Staff have received training related to medicine management and audits have been completed as scheduled.</w:t>
            </w:r>
          </w:p>
          <w:p w14:paraId="33D62855" w14:textId="77777777" w:rsidR="00EB7645" w:rsidRPr="00BE00C7" w:rsidRDefault="00000000" w:rsidP="00BE00C7">
            <w:pPr>
              <w:pStyle w:val="OutcomeDescription"/>
              <w:spacing w:before="120" w:after="120"/>
              <w:rPr>
                <w:rFonts w:cs="Arial"/>
                <w:lang w:eastAsia="en-NZ"/>
              </w:rPr>
            </w:pPr>
          </w:p>
        </w:tc>
        <w:tc>
          <w:tcPr>
            <w:tcW w:w="0" w:type="auto"/>
          </w:tcPr>
          <w:p w14:paraId="39D604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Eye drops and creams in use have not been consistently dated on opening.</w:t>
            </w:r>
          </w:p>
          <w:p w14:paraId="6288770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(ii). Weekly stock take for controlled drugs has not been completed consistently.</w:t>
            </w:r>
          </w:p>
          <w:p w14:paraId="284A38F5" w14:textId="77777777" w:rsidR="00EB7645" w:rsidRPr="00BE00C7" w:rsidRDefault="00000000" w:rsidP="00BE00C7">
            <w:pPr>
              <w:pStyle w:val="OutcomeDescription"/>
              <w:spacing w:before="120" w:after="120"/>
              <w:rPr>
                <w:rFonts w:cs="Arial"/>
                <w:lang w:eastAsia="en-NZ"/>
              </w:rPr>
            </w:pPr>
            <w:r w:rsidRPr="00BE00C7">
              <w:rPr>
                <w:rFonts w:cs="Arial"/>
                <w:lang w:eastAsia="en-NZ"/>
              </w:rPr>
              <w:t>(iii). Two of three medication room temperatures are not monitored and recorded consistently.</w:t>
            </w:r>
          </w:p>
          <w:p w14:paraId="4277CF71" w14:textId="77777777" w:rsidR="00EB7645" w:rsidRPr="00BE00C7" w:rsidRDefault="00000000" w:rsidP="00BE00C7">
            <w:pPr>
              <w:pStyle w:val="OutcomeDescription"/>
              <w:spacing w:before="120" w:after="120"/>
              <w:rPr>
                <w:rFonts w:cs="Arial"/>
                <w:lang w:eastAsia="en-NZ"/>
              </w:rPr>
            </w:pPr>
            <w:r w:rsidRPr="00BE00C7">
              <w:rPr>
                <w:rFonts w:cs="Arial"/>
                <w:lang w:eastAsia="en-NZ"/>
              </w:rPr>
              <w:t>(iv). One of two medication fridge temperatures are not monitored and recorded consistently</w:t>
            </w:r>
          </w:p>
          <w:p w14:paraId="095E03FC" w14:textId="77777777" w:rsidR="00EB7645" w:rsidRPr="00BE00C7" w:rsidRDefault="00000000" w:rsidP="00BE00C7">
            <w:pPr>
              <w:pStyle w:val="OutcomeDescription"/>
              <w:spacing w:before="120" w:after="120"/>
              <w:rPr>
                <w:rFonts w:cs="Arial"/>
                <w:lang w:eastAsia="en-NZ"/>
              </w:rPr>
            </w:pPr>
          </w:p>
        </w:tc>
        <w:tc>
          <w:tcPr>
            <w:tcW w:w="0" w:type="auto"/>
          </w:tcPr>
          <w:p w14:paraId="76CB9D8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Ensure all eye drops and creams are dated on opening. </w:t>
            </w:r>
          </w:p>
          <w:p w14:paraId="7C6753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(ii). Ensure weekly stock take of controlled drugs is completed. </w:t>
            </w:r>
          </w:p>
          <w:p w14:paraId="22EB1D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(iii)-(iv). Ensure temperature monitoring of medication rooms and fridge is completed consistently. </w:t>
            </w:r>
          </w:p>
          <w:p w14:paraId="30C56BA3" w14:textId="77777777" w:rsidR="00EB7645" w:rsidRPr="00BE00C7" w:rsidRDefault="00000000" w:rsidP="00BE00C7">
            <w:pPr>
              <w:pStyle w:val="OutcomeDescription"/>
              <w:spacing w:before="120" w:after="120"/>
              <w:rPr>
                <w:rFonts w:cs="Arial"/>
                <w:lang w:eastAsia="en-NZ"/>
              </w:rPr>
            </w:pPr>
          </w:p>
          <w:p w14:paraId="20BF1ABE"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49EB4E60"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32A9B41" w14:textId="77777777" w:rsidR="00460D43" w:rsidRDefault="00000000">
      <w:pPr>
        <w:pStyle w:val="Heading1"/>
        <w:rPr>
          <w:rFonts w:cs="Arial"/>
        </w:rPr>
      </w:pPr>
      <w:r>
        <w:rPr>
          <w:rFonts w:cs="Arial"/>
        </w:rPr>
        <w:lastRenderedPageBreak/>
        <w:t>Specific results for criterion where a continuous improvement has been recorded</w:t>
      </w:r>
    </w:p>
    <w:p w14:paraId="7492F968"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5770118"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171C85E"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24933" w14:paraId="4AB661A6" w14:textId="77777777">
        <w:tc>
          <w:tcPr>
            <w:tcW w:w="0" w:type="auto"/>
          </w:tcPr>
          <w:p w14:paraId="05207F0A"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1CCF96C"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F899633"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FB3D" w14:textId="77777777" w:rsidR="009B7D85" w:rsidRDefault="009B7D85">
      <w:r>
        <w:separator/>
      </w:r>
    </w:p>
  </w:endnote>
  <w:endnote w:type="continuationSeparator" w:id="0">
    <w:p w14:paraId="4DD10A99" w14:textId="77777777" w:rsidR="009B7D85" w:rsidRDefault="009B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8E02" w14:textId="77777777" w:rsidR="000B00BC" w:rsidRDefault="00000000">
    <w:pPr>
      <w:pStyle w:val="Footer"/>
    </w:pPr>
  </w:p>
  <w:p w14:paraId="6421A689" w14:textId="77777777" w:rsidR="005A4A55" w:rsidRDefault="00000000"/>
  <w:p w14:paraId="79FEBE5E"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16E6"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Merrivale Rest Home</w:t>
    </w:r>
    <w:bookmarkEnd w:id="59"/>
    <w:r>
      <w:rPr>
        <w:rFonts w:cs="Arial"/>
        <w:sz w:val="16"/>
        <w:szCs w:val="20"/>
      </w:rPr>
      <w:tab/>
      <w:t xml:space="preserve">Date of Audit: </w:t>
    </w:r>
    <w:bookmarkStart w:id="60" w:name="AuditStartDate1"/>
    <w:r>
      <w:rPr>
        <w:rFonts w:cs="Arial"/>
        <w:sz w:val="16"/>
        <w:szCs w:val="20"/>
      </w:rPr>
      <w:t>5 December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8A92176"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0DF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FE94" w14:textId="77777777" w:rsidR="009B7D85" w:rsidRDefault="009B7D85">
      <w:r>
        <w:separator/>
      </w:r>
    </w:p>
  </w:footnote>
  <w:footnote w:type="continuationSeparator" w:id="0">
    <w:p w14:paraId="203D9717" w14:textId="77777777" w:rsidR="009B7D85" w:rsidRDefault="009B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3468" w14:textId="77777777" w:rsidR="000B00BC" w:rsidRDefault="00000000">
    <w:pPr>
      <w:pStyle w:val="Header"/>
    </w:pPr>
  </w:p>
  <w:p w14:paraId="75F84083"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1DAB" w14:textId="77777777" w:rsidR="000B00BC" w:rsidRDefault="00000000">
    <w:pPr>
      <w:pStyle w:val="Header"/>
    </w:pPr>
  </w:p>
  <w:p w14:paraId="3C6711D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E534"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0C617CA">
      <w:start w:val="1"/>
      <w:numFmt w:val="decimal"/>
      <w:lvlText w:val="%1."/>
      <w:lvlJc w:val="left"/>
      <w:pPr>
        <w:ind w:left="360" w:hanging="360"/>
      </w:pPr>
    </w:lvl>
    <w:lvl w:ilvl="1" w:tplc="EF58CCF8" w:tentative="1">
      <w:start w:val="1"/>
      <w:numFmt w:val="lowerLetter"/>
      <w:lvlText w:val="%2."/>
      <w:lvlJc w:val="left"/>
      <w:pPr>
        <w:ind w:left="1080" w:hanging="360"/>
      </w:pPr>
    </w:lvl>
    <w:lvl w:ilvl="2" w:tplc="E9061F0E" w:tentative="1">
      <w:start w:val="1"/>
      <w:numFmt w:val="lowerRoman"/>
      <w:lvlText w:val="%3."/>
      <w:lvlJc w:val="right"/>
      <w:pPr>
        <w:ind w:left="1800" w:hanging="180"/>
      </w:pPr>
    </w:lvl>
    <w:lvl w:ilvl="3" w:tplc="AFFE4850" w:tentative="1">
      <w:start w:val="1"/>
      <w:numFmt w:val="decimal"/>
      <w:lvlText w:val="%4."/>
      <w:lvlJc w:val="left"/>
      <w:pPr>
        <w:ind w:left="2520" w:hanging="360"/>
      </w:pPr>
    </w:lvl>
    <w:lvl w:ilvl="4" w:tplc="A3AA3188" w:tentative="1">
      <w:start w:val="1"/>
      <w:numFmt w:val="lowerLetter"/>
      <w:lvlText w:val="%5."/>
      <w:lvlJc w:val="left"/>
      <w:pPr>
        <w:ind w:left="3240" w:hanging="360"/>
      </w:pPr>
    </w:lvl>
    <w:lvl w:ilvl="5" w:tplc="AD1ECAB2" w:tentative="1">
      <w:start w:val="1"/>
      <w:numFmt w:val="lowerRoman"/>
      <w:lvlText w:val="%6."/>
      <w:lvlJc w:val="right"/>
      <w:pPr>
        <w:ind w:left="3960" w:hanging="180"/>
      </w:pPr>
    </w:lvl>
    <w:lvl w:ilvl="6" w:tplc="85BC27E8" w:tentative="1">
      <w:start w:val="1"/>
      <w:numFmt w:val="decimal"/>
      <w:lvlText w:val="%7."/>
      <w:lvlJc w:val="left"/>
      <w:pPr>
        <w:ind w:left="4680" w:hanging="360"/>
      </w:pPr>
    </w:lvl>
    <w:lvl w:ilvl="7" w:tplc="4160633C" w:tentative="1">
      <w:start w:val="1"/>
      <w:numFmt w:val="lowerLetter"/>
      <w:lvlText w:val="%8."/>
      <w:lvlJc w:val="left"/>
      <w:pPr>
        <w:ind w:left="5400" w:hanging="360"/>
      </w:pPr>
    </w:lvl>
    <w:lvl w:ilvl="8" w:tplc="6C60010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C0042A">
      <w:start w:val="1"/>
      <w:numFmt w:val="bullet"/>
      <w:lvlText w:val=""/>
      <w:lvlJc w:val="left"/>
      <w:pPr>
        <w:ind w:left="720" w:hanging="360"/>
      </w:pPr>
      <w:rPr>
        <w:rFonts w:ascii="Symbol" w:hAnsi="Symbol" w:hint="default"/>
      </w:rPr>
    </w:lvl>
    <w:lvl w:ilvl="1" w:tplc="FBC202A6" w:tentative="1">
      <w:start w:val="1"/>
      <w:numFmt w:val="bullet"/>
      <w:lvlText w:val="o"/>
      <w:lvlJc w:val="left"/>
      <w:pPr>
        <w:ind w:left="1440" w:hanging="360"/>
      </w:pPr>
      <w:rPr>
        <w:rFonts w:ascii="Courier New" w:hAnsi="Courier New" w:cs="Courier New" w:hint="default"/>
      </w:rPr>
    </w:lvl>
    <w:lvl w:ilvl="2" w:tplc="01D48048" w:tentative="1">
      <w:start w:val="1"/>
      <w:numFmt w:val="bullet"/>
      <w:lvlText w:val=""/>
      <w:lvlJc w:val="left"/>
      <w:pPr>
        <w:ind w:left="2160" w:hanging="360"/>
      </w:pPr>
      <w:rPr>
        <w:rFonts w:ascii="Wingdings" w:hAnsi="Wingdings" w:hint="default"/>
      </w:rPr>
    </w:lvl>
    <w:lvl w:ilvl="3" w:tplc="D1CC0A1A" w:tentative="1">
      <w:start w:val="1"/>
      <w:numFmt w:val="bullet"/>
      <w:lvlText w:val=""/>
      <w:lvlJc w:val="left"/>
      <w:pPr>
        <w:ind w:left="2880" w:hanging="360"/>
      </w:pPr>
      <w:rPr>
        <w:rFonts w:ascii="Symbol" w:hAnsi="Symbol" w:hint="default"/>
      </w:rPr>
    </w:lvl>
    <w:lvl w:ilvl="4" w:tplc="E10C2ACA" w:tentative="1">
      <w:start w:val="1"/>
      <w:numFmt w:val="bullet"/>
      <w:lvlText w:val="o"/>
      <w:lvlJc w:val="left"/>
      <w:pPr>
        <w:ind w:left="3600" w:hanging="360"/>
      </w:pPr>
      <w:rPr>
        <w:rFonts w:ascii="Courier New" w:hAnsi="Courier New" w:cs="Courier New" w:hint="default"/>
      </w:rPr>
    </w:lvl>
    <w:lvl w:ilvl="5" w:tplc="15C22EE8" w:tentative="1">
      <w:start w:val="1"/>
      <w:numFmt w:val="bullet"/>
      <w:lvlText w:val=""/>
      <w:lvlJc w:val="left"/>
      <w:pPr>
        <w:ind w:left="4320" w:hanging="360"/>
      </w:pPr>
      <w:rPr>
        <w:rFonts w:ascii="Wingdings" w:hAnsi="Wingdings" w:hint="default"/>
      </w:rPr>
    </w:lvl>
    <w:lvl w:ilvl="6" w:tplc="D9343C90" w:tentative="1">
      <w:start w:val="1"/>
      <w:numFmt w:val="bullet"/>
      <w:lvlText w:val=""/>
      <w:lvlJc w:val="left"/>
      <w:pPr>
        <w:ind w:left="5040" w:hanging="360"/>
      </w:pPr>
      <w:rPr>
        <w:rFonts w:ascii="Symbol" w:hAnsi="Symbol" w:hint="default"/>
      </w:rPr>
    </w:lvl>
    <w:lvl w:ilvl="7" w:tplc="F4C27496" w:tentative="1">
      <w:start w:val="1"/>
      <w:numFmt w:val="bullet"/>
      <w:lvlText w:val="o"/>
      <w:lvlJc w:val="left"/>
      <w:pPr>
        <w:ind w:left="5760" w:hanging="360"/>
      </w:pPr>
      <w:rPr>
        <w:rFonts w:ascii="Courier New" w:hAnsi="Courier New" w:cs="Courier New" w:hint="default"/>
      </w:rPr>
    </w:lvl>
    <w:lvl w:ilvl="8" w:tplc="4296F086" w:tentative="1">
      <w:start w:val="1"/>
      <w:numFmt w:val="bullet"/>
      <w:lvlText w:val=""/>
      <w:lvlJc w:val="left"/>
      <w:pPr>
        <w:ind w:left="6480" w:hanging="360"/>
      </w:pPr>
      <w:rPr>
        <w:rFonts w:ascii="Wingdings" w:hAnsi="Wingdings" w:hint="default"/>
      </w:rPr>
    </w:lvl>
  </w:abstractNum>
  <w:num w:numId="1" w16cid:durableId="1625649494">
    <w:abstractNumId w:val="1"/>
  </w:num>
  <w:num w:numId="2" w16cid:durableId="73728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933"/>
    <w:rsid w:val="004C3C7C"/>
    <w:rsid w:val="004F3155"/>
    <w:rsid w:val="007A5893"/>
    <w:rsid w:val="00824933"/>
    <w:rsid w:val="009B7D85"/>
    <w:rsid w:val="00A96D4F"/>
    <w:rsid w:val="00C927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A8DF"/>
  <w15:docId w15:val="{AD1B2086-2784-4693-A5BA-039CE887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15864</Words>
  <Characters>90428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2024-01-15T01:01:00Z</dcterms:created>
  <dcterms:modified xsi:type="dcterms:W3CDTF">2024-01-15T01:08:00Z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