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1266" w14:textId="77777777" w:rsidR="00460D43" w:rsidRDefault="00000000">
      <w:pPr>
        <w:pStyle w:val="Heading1"/>
        <w:rPr>
          <w:rFonts w:cs="Arial"/>
        </w:rPr>
      </w:pPr>
      <w:bookmarkStart w:id="0" w:name="PRMS_RIName"/>
      <w:r>
        <w:rPr>
          <w:rFonts w:cs="Arial"/>
        </w:rPr>
        <w:t>CHT Healthcare Trust - Hayman Care Home</w:t>
      </w:r>
      <w:bookmarkEnd w:id="0"/>
    </w:p>
    <w:p w14:paraId="7030CF82" w14:textId="77777777" w:rsidR="00460D43" w:rsidRDefault="00000000">
      <w:pPr>
        <w:pStyle w:val="Heading2"/>
        <w:spacing w:after="0"/>
        <w:rPr>
          <w:rFonts w:cs="Arial"/>
        </w:rPr>
      </w:pPr>
      <w:r>
        <w:rPr>
          <w:rFonts w:cs="Arial"/>
        </w:rPr>
        <w:t>Introduction</w:t>
      </w:r>
    </w:p>
    <w:p w14:paraId="1B95A331"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6A2571B"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Manatū Hauora (the Ministry of Health).</w:t>
      </w:r>
    </w:p>
    <w:p w14:paraId="2CF48B84"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C98FF3A" w14:textId="77777777" w:rsidR="00460D43" w:rsidRDefault="00000000"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5484175B" w14:textId="77777777" w:rsidR="00460D43" w:rsidRDefault="00000000">
      <w:pPr>
        <w:spacing w:before="240" w:after="240"/>
        <w:rPr>
          <w:rFonts w:cs="Arial"/>
          <w:lang w:eastAsia="en-NZ"/>
        </w:rPr>
      </w:pPr>
      <w:r>
        <w:rPr>
          <w:rFonts w:cs="Arial"/>
          <w:lang w:eastAsia="en-NZ"/>
        </w:rPr>
        <w:t>The specifics of this audit included:</w:t>
      </w:r>
    </w:p>
    <w:p w14:paraId="6A80DC3E"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C8E1CB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22F0DC1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Hayman Care Home</w:t>
      </w:r>
      <w:bookmarkEnd w:id="5"/>
    </w:p>
    <w:p w14:paraId="0D394EE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Psychogeriatric services; Hospital services - Medical services; Hospital services - Geriatric services (excl. psychogeriatric); Rest home care (excluding dementia care); Residential disability services - Physical; Dementia care</w:t>
      </w:r>
      <w:bookmarkEnd w:id="6"/>
    </w:p>
    <w:p w14:paraId="6A95C6B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August 2023</w:t>
      </w:r>
      <w:bookmarkEnd w:id="7"/>
      <w:r w:rsidRPr="009418D4">
        <w:rPr>
          <w:rFonts w:cs="Arial"/>
        </w:rPr>
        <w:tab/>
        <w:t xml:space="preserve">End date: </w:t>
      </w:r>
      <w:bookmarkStart w:id="8" w:name="AuditEndDate"/>
      <w:r>
        <w:rPr>
          <w:rFonts w:cs="Arial"/>
        </w:rPr>
        <w:t>30 August 2023</w:t>
      </w:r>
      <w:bookmarkEnd w:id="8"/>
    </w:p>
    <w:p w14:paraId="0EF64F6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A50D6DF" w14:textId="77777777" w:rsidR="00F26FB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100</w:t>
      </w:r>
      <w:bookmarkEnd w:id="10"/>
    </w:p>
    <w:p w14:paraId="2A4FE22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5A4EF41" w14:textId="77777777" w:rsidR="00460D43" w:rsidRDefault="00000000">
      <w:pPr>
        <w:pStyle w:val="Heading1"/>
        <w:rPr>
          <w:rFonts w:cs="Arial"/>
        </w:rPr>
      </w:pPr>
      <w:r>
        <w:rPr>
          <w:rFonts w:cs="Arial"/>
        </w:rPr>
        <w:lastRenderedPageBreak/>
        <w:t>Executive summary of the audit</w:t>
      </w:r>
    </w:p>
    <w:p w14:paraId="337B63B6" w14:textId="77777777" w:rsidR="00460D43" w:rsidRDefault="00000000">
      <w:pPr>
        <w:pStyle w:val="Heading2"/>
        <w:rPr>
          <w:rFonts w:cs="Arial"/>
        </w:rPr>
      </w:pPr>
      <w:r>
        <w:rPr>
          <w:rFonts w:cs="Arial"/>
        </w:rPr>
        <w:t>Introduction</w:t>
      </w:r>
    </w:p>
    <w:p w14:paraId="1FAD0174"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B1D8BC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tātou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88BD9E"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DF2C31"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3AF2CD2"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2571FA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66E9D8"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B520C45" w14:textId="0B3B68C2" w:rsidR="00460D43" w:rsidRDefault="00000000">
      <w:pPr>
        <w:spacing w:after="240"/>
        <w:rPr>
          <w:rFonts w:cs="Arial"/>
          <w:b/>
        </w:rPr>
      </w:pPr>
    </w:p>
    <w:p w14:paraId="40CBB168" w14:textId="77777777" w:rsidR="00460D43" w:rsidRDefault="00000000">
      <w:pPr>
        <w:pStyle w:val="Heading2"/>
        <w:spacing w:after="0"/>
        <w:rPr>
          <w:rFonts w:cs="Arial"/>
        </w:rPr>
      </w:pPr>
      <w:r>
        <w:rPr>
          <w:rFonts w:cs="Arial"/>
        </w:rPr>
        <w:t>General overview of the audit</w:t>
      </w:r>
    </w:p>
    <w:p w14:paraId="6161C875" w14:textId="77777777" w:rsidR="00E536CC" w:rsidRDefault="00000000">
      <w:pPr>
        <w:spacing w:before="240" w:line="276" w:lineRule="auto"/>
        <w:rPr>
          <w:rFonts w:eastAsia="Calibri"/>
        </w:rPr>
      </w:pPr>
      <w:bookmarkStart w:id="13" w:name="GeneralOverview"/>
      <w:r w:rsidRPr="00A4268A">
        <w:rPr>
          <w:rFonts w:eastAsia="Calibri"/>
        </w:rPr>
        <w:t>Hayman Hospital is part of the Bupa group. The service is certified to provide hospital (medical and geriatric), psychogeriatric, residential disability (intellectual, physical) and dementia level care for up to 110 residents. On the days of the audit, there were 100 residents receiving care.</w:t>
      </w:r>
    </w:p>
    <w:p w14:paraId="7F541CFF" w14:textId="77777777" w:rsidR="00F26FBF" w:rsidRPr="00A4268A" w:rsidRDefault="00000000">
      <w:pPr>
        <w:spacing w:before="240" w:line="276" w:lineRule="auto"/>
        <w:rPr>
          <w:rFonts w:eastAsia="Calibri"/>
        </w:rPr>
      </w:pPr>
      <w:r w:rsidRPr="00A4268A">
        <w:rPr>
          <w:rFonts w:eastAsia="Calibri"/>
        </w:rPr>
        <w:t>This provisional audit was undertaken to establish the level of preparedness of a prospective provider to provide a health and disability service and to assess the level of conformity of the current provider prior to the facility being purchased. A certification audit was completed with the service on 29 August 2023 and the consequent audit report was utilised as part of this provisional audit. The certification audit was conducted against the Ngā Paerewa Health and Disability Service Standard 2021 and the contracts with Te Whatu Ora Health New Zealand -Counties Manukau and Whaikaha - Ministry of Disabled People. The audit process included the review of policies and procedures, review of residents’ and staff files, observations and interviews with residents, family members, managers, staff, and the general practitioner.</w:t>
      </w:r>
    </w:p>
    <w:p w14:paraId="58E96370" w14:textId="77777777" w:rsidR="00F26FBF" w:rsidRPr="00A4268A" w:rsidRDefault="00000000">
      <w:pPr>
        <w:spacing w:before="240" w:line="276" w:lineRule="auto"/>
        <w:rPr>
          <w:rFonts w:eastAsia="Calibri"/>
        </w:rPr>
      </w:pPr>
      <w:r w:rsidRPr="00A4268A">
        <w:rPr>
          <w:rFonts w:eastAsia="Calibri"/>
        </w:rPr>
        <w:lastRenderedPageBreak/>
        <w:t>The prospective purchaser is very experienced in the age care sector. The prospective purchaser, CHT Healthcare Trust has extensive experience in the aged care industry, and currently oversee sixteen aged care facilities on the North Island; three in the Bay of Plenty, one in Waikato, and twelve situated around Auckland. CHT has a documented plan to transition to their quality assurance programme, systems, and processes to provide a seamless transition with little disruption for residents and staff. There will be no changes to the existing management, staff, rosters, or the environment.</w:t>
      </w:r>
    </w:p>
    <w:p w14:paraId="0C98A2D2" w14:textId="77777777" w:rsidR="00F26FBF" w:rsidRPr="00A4268A" w:rsidRDefault="00000000">
      <w:pPr>
        <w:spacing w:before="240" w:line="276" w:lineRule="auto"/>
        <w:rPr>
          <w:rFonts w:eastAsia="Calibri"/>
        </w:rPr>
      </w:pPr>
      <w:r w:rsidRPr="00A4268A">
        <w:rPr>
          <w:rFonts w:eastAsia="Calibri"/>
        </w:rPr>
        <w:t xml:space="preserve">The certification audit identified no improvements required and was awarded a continuous improvement rating for improving clinical practice. The areas audited meet the requirements of Ngā Paerewa Health and Disability Services Standard (NZS8134:2021). </w:t>
      </w:r>
    </w:p>
    <w:bookmarkEnd w:id="13"/>
    <w:p w14:paraId="56AB11AD" w14:textId="77777777" w:rsidR="00F26FBF" w:rsidRPr="00A4268A" w:rsidRDefault="00F26FBF">
      <w:pPr>
        <w:spacing w:before="240" w:line="276" w:lineRule="auto"/>
        <w:rPr>
          <w:rFonts w:eastAsia="Calibri"/>
        </w:rPr>
      </w:pPr>
    </w:p>
    <w:p w14:paraId="7BD20D4F" w14:textId="77777777" w:rsidR="00460D43" w:rsidRDefault="00000000"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p w14:paraId="217B8942" w14:textId="77777777" w:rsidR="00460D43" w:rsidRDefault="00000000">
      <w:pPr>
        <w:spacing w:before="240" w:line="276" w:lineRule="auto"/>
        <w:rPr>
          <w:rFonts w:eastAsia="Calibri"/>
        </w:rPr>
      </w:pPr>
      <w:bookmarkStart w:id="14" w:name="ConsumerRights"/>
      <w:r w:rsidRPr="00A4268A">
        <w:rPr>
          <w:rFonts w:eastAsia="Calibri"/>
        </w:rPr>
        <w:t>Bupa Hayman provides an environment that supports resident rights and safe care. Staff demonstrated an understanding of residents' rights and obligations. There is a Māori health plan. The service works to provide high-quality and effective services and care for residents.</w:t>
      </w:r>
    </w:p>
    <w:p w14:paraId="1B4D7E8C" w14:textId="77777777" w:rsidR="00F26FBF" w:rsidRPr="00A4268A" w:rsidRDefault="00000000">
      <w:pPr>
        <w:spacing w:before="240" w:line="276" w:lineRule="auto"/>
        <w:rPr>
          <w:rFonts w:eastAsia="Calibri"/>
        </w:rPr>
      </w:pPr>
      <w:r w:rsidRPr="00A4268A">
        <w:rPr>
          <w:rFonts w:eastAsia="Calibri"/>
        </w:rPr>
        <w:t>Residents receive services in a manner that considers their dignity, privacy, and independence. Hayman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family/whānau are kept informed. The rights of the resident and/or their family to make a complaint is understood, respected, and upheld by the service. Complaints processes are implemented, and complaints and concerns are actively managed and well-documented.</w:t>
      </w:r>
    </w:p>
    <w:bookmarkEnd w:id="14"/>
    <w:p w14:paraId="06FC84F9" w14:textId="77777777" w:rsidR="00F26FBF" w:rsidRPr="00A4268A" w:rsidRDefault="00F26FBF">
      <w:pPr>
        <w:spacing w:before="240" w:line="276" w:lineRule="auto"/>
        <w:rPr>
          <w:rFonts w:eastAsia="Calibri"/>
        </w:rPr>
      </w:pPr>
    </w:p>
    <w:p w14:paraId="2085FC35" w14:textId="77777777" w:rsidR="00460D43" w:rsidRDefault="00000000" w:rsidP="000E6E02">
      <w:pPr>
        <w:pStyle w:val="Heading2"/>
        <w:spacing w:before="0"/>
        <w:rPr>
          <w:rFonts w:cs="Arial"/>
        </w:rPr>
      </w:pPr>
      <w:r w:rsidRPr="00FB778F">
        <w:rPr>
          <w:rFonts w:cs="Arial"/>
        </w:rPr>
        <w:t xml:space="preserve">Hunga mahi me te hanganga │ Workforce and structure </w:t>
      </w:r>
    </w:p>
    <w:p w14:paraId="2DAFC6E1" w14:textId="77777777" w:rsidR="00460D43" w:rsidRDefault="00000000">
      <w:pPr>
        <w:spacing w:before="240" w:line="276" w:lineRule="auto"/>
        <w:rPr>
          <w:rFonts w:eastAsia="Calibri"/>
        </w:rPr>
      </w:pPr>
      <w:bookmarkStart w:id="15"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4B6D813A" w14:textId="77777777" w:rsidR="00F26FBF" w:rsidRPr="00A4268A" w:rsidRDefault="00000000">
      <w:pPr>
        <w:spacing w:before="240" w:line="276" w:lineRule="auto"/>
        <w:rPr>
          <w:rFonts w:eastAsia="Calibri"/>
        </w:rPr>
      </w:pPr>
      <w:r w:rsidRPr="00A4268A">
        <w:rPr>
          <w:rFonts w:eastAsia="Calibri"/>
        </w:rPr>
        <w:t>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Residents and family/whānau reported that staffing levels are adequate to meet the needs of the residents.</w:t>
      </w:r>
    </w:p>
    <w:p w14:paraId="43035F98" w14:textId="77777777" w:rsidR="00F26FBF"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5"/>
    <w:p w14:paraId="737715AB" w14:textId="77777777" w:rsidR="00F26FBF" w:rsidRPr="00A4268A" w:rsidRDefault="00F26FBF">
      <w:pPr>
        <w:spacing w:before="240" w:line="276" w:lineRule="auto"/>
        <w:rPr>
          <w:rFonts w:eastAsia="Calibri"/>
        </w:rPr>
      </w:pPr>
    </w:p>
    <w:p w14:paraId="3A873DF4"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9CB2294" w14:textId="77777777" w:rsidR="00E536CC" w:rsidRPr="005E14A4" w:rsidRDefault="00000000" w:rsidP="00621629">
      <w:pPr>
        <w:spacing w:before="240" w:line="276" w:lineRule="auto"/>
        <w:rPr>
          <w:rFonts w:eastAsia="Calibri"/>
        </w:rPr>
      </w:pPr>
      <w:bookmarkStart w:id="16" w:name="ContinuumOfServiceDelivery"/>
      <w:r w:rsidRPr="00A4268A">
        <w:rPr>
          <w:rFonts w:eastAsia="Calibri"/>
        </w:rPr>
        <w:t xml:space="preserve">Residents are assessed before entry to the service to confirm their level of care. The nursing team is responsible for the assessment, development, and evaluation of care plans. Care plans were individualised and based on the residents’ assessed needs. Interventions were appropriate and evaluated promptly. </w:t>
      </w:r>
    </w:p>
    <w:p w14:paraId="50FA389E" w14:textId="77777777" w:rsidR="00F26FBF" w:rsidRPr="00A4268A" w:rsidRDefault="00000000" w:rsidP="00621629">
      <w:pPr>
        <w:spacing w:before="240" w:line="276" w:lineRule="auto"/>
        <w:rPr>
          <w:rFonts w:eastAsia="Calibri"/>
        </w:rPr>
      </w:pPr>
      <w:r w:rsidRPr="00A4268A">
        <w:rPr>
          <w:rFonts w:eastAsia="Calibri"/>
        </w:rPr>
        <w:t xml:space="preserve">There are planned activities that are developed to address the needs and interests of the residents as individuals and in group settings. Activity plans are completed in consultation with family/whānau, residents, and staff. Residents and family/whānau expressed satisfaction with the activities programme in place. </w:t>
      </w:r>
    </w:p>
    <w:p w14:paraId="2A5AEFB9" w14:textId="77777777" w:rsidR="00F26FBF" w:rsidRPr="00A4268A" w:rsidRDefault="00000000" w:rsidP="00621629">
      <w:pPr>
        <w:spacing w:before="240" w:line="276" w:lineRule="auto"/>
        <w:rPr>
          <w:rFonts w:eastAsia="Calibri"/>
        </w:rPr>
      </w:pPr>
      <w:r w:rsidRPr="00A4268A">
        <w:rPr>
          <w:rFonts w:eastAsia="Calibri"/>
        </w:rPr>
        <w:t>There is a medicine management system in place. The organisation uses an electronic system for prescribing and administration of medications. The general practitioner, community mental health team and psychogeriatrician are responsible for all medication reviews. Staff involved in medication administration are assessed as competent to do so.</w:t>
      </w:r>
    </w:p>
    <w:p w14:paraId="7DAB5C60" w14:textId="77777777" w:rsidR="00F26FBF" w:rsidRPr="00A4268A" w:rsidRDefault="00000000"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Nutritious snacks are available for residents 24 hours.</w:t>
      </w:r>
    </w:p>
    <w:p w14:paraId="3203DCB7" w14:textId="77777777" w:rsidR="00F26FBF" w:rsidRPr="00A4268A" w:rsidRDefault="00000000" w:rsidP="00621629">
      <w:pPr>
        <w:spacing w:before="240" w:line="276" w:lineRule="auto"/>
        <w:rPr>
          <w:rFonts w:eastAsia="Calibri"/>
        </w:rPr>
      </w:pPr>
      <w:r w:rsidRPr="00A4268A">
        <w:rPr>
          <w:rFonts w:eastAsia="Calibri"/>
        </w:rPr>
        <w:lastRenderedPageBreak/>
        <w:t>Residents are referred or transferred to other health services as required.</w:t>
      </w:r>
    </w:p>
    <w:p w14:paraId="59372C79" w14:textId="77777777" w:rsidR="00F26FBF" w:rsidRPr="00A4268A" w:rsidRDefault="00F26FBF" w:rsidP="00621629">
      <w:pPr>
        <w:spacing w:before="240" w:line="276" w:lineRule="auto"/>
        <w:rPr>
          <w:rFonts w:eastAsia="Calibri"/>
        </w:rPr>
      </w:pPr>
    </w:p>
    <w:bookmarkEnd w:id="16"/>
    <w:p w14:paraId="34B20F8D" w14:textId="77777777" w:rsidR="00F26FBF" w:rsidRPr="00A4268A" w:rsidRDefault="00F26FBF" w:rsidP="00621629">
      <w:pPr>
        <w:spacing w:before="240" w:line="276" w:lineRule="auto"/>
        <w:rPr>
          <w:rFonts w:eastAsia="Calibri"/>
        </w:rPr>
      </w:pPr>
    </w:p>
    <w:p w14:paraId="2E0B55C9"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037EC35" w14:textId="77777777" w:rsidR="00460D43" w:rsidRDefault="00000000">
      <w:pPr>
        <w:spacing w:before="240" w:line="276" w:lineRule="auto"/>
        <w:rPr>
          <w:rFonts w:eastAsia="Calibri"/>
        </w:rPr>
      </w:pPr>
      <w:bookmarkStart w:id="17" w:name="SafeAndAppropriateEnvironment"/>
      <w:r w:rsidRPr="00A4268A">
        <w:rPr>
          <w:rFonts w:eastAsia="Calibri"/>
        </w:rPr>
        <w:t>The facility meets the needs of residents and was clean and well-maintained. A preventative maintenance programme is being implemented. There is a current building warrant of fitness in place. Clinical equipment has been tested as required. External areas are accessible, safe and provide shade and seating, and meet the needs of people with disabilities. The facility vehicle has a current registration and warrant of fitness.</w:t>
      </w:r>
    </w:p>
    <w:p w14:paraId="1C6D75A3" w14:textId="77777777" w:rsidR="00F26FBF" w:rsidRPr="00A4268A" w:rsidRDefault="00000000">
      <w:pPr>
        <w:spacing w:before="240" w:line="276" w:lineRule="auto"/>
        <w:rPr>
          <w:rFonts w:eastAsia="Calibri"/>
        </w:rPr>
      </w:pPr>
      <w:r w:rsidRPr="00A4268A">
        <w:rPr>
          <w:rFonts w:eastAsia="Calibri"/>
        </w:rPr>
        <w:t>There are appropriate emergency equipment and supplies available. There is an approved evacuation scheme and fire drills are conducted six-monthly. There is a staff member on duty on each shift who holds a current first aid certificate. Staff, residents and family/whānau understood emergency and security arrangements. Hazards are identified with appropriate interventions implemented. Residents reported a timely staff response to call bells. The dementia units and psychogeriatric unit is secure by keypad entry. Security is maintained.</w:t>
      </w:r>
    </w:p>
    <w:bookmarkEnd w:id="17"/>
    <w:p w14:paraId="2E46B386" w14:textId="77777777" w:rsidR="00F26FBF" w:rsidRPr="00A4268A" w:rsidRDefault="00F26FBF">
      <w:pPr>
        <w:spacing w:before="240" w:line="276" w:lineRule="auto"/>
        <w:rPr>
          <w:rFonts w:eastAsia="Calibri"/>
        </w:rPr>
      </w:pPr>
    </w:p>
    <w:p w14:paraId="6961F63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6AE51B12" w14:textId="77777777" w:rsidR="00460D43" w:rsidRDefault="00000000">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Infection control practices support tikanga guidelines.</w:t>
      </w:r>
    </w:p>
    <w:p w14:paraId="724C7407" w14:textId="77777777" w:rsidR="00F26FBF" w:rsidRPr="00A4268A" w:rsidRDefault="00000000">
      <w:pPr>
        <w:spacing w:before="240" w:line="276" w:lineRule="auto"/>
        <w:rPr>
          <w:rFonts w:eastAsia="Calibri"/>
        </w:rPr>
      </w:pPr>
      <w:r w:rsidRPr="00A4268A">
        <w:rPr>
          <w:rFonts w:eastAsia="Calibri"/>
        </w:rPr>
        <w:lastRenderedPageBreak/>
        <w:t>Antimicrobial usage is monitored and reported on.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occurs.</w:t>
      </w:r>
    </w:p>
    <w:p w14:paraId="7A0C1F5C" w14:textId="77777777" w:rsidR="00F26FBF" w:rsidRPr="00A4268A" w:rsidRDefault="00000000">
      <w:pPr>
        <w:spacing w:before="240" w:line="276" w:lineRule="auto"/>
        <w:rPr>
          <w:rFonts w:eastAsia="Calibri"/>
        </w:rPr>
      </w:pPr>
      <w:r w:rsidRPr="00A4268A">
        <w:rPr>
          <w:rFonts w:eastAsia="Calibri"/>
        </w:rPr>
        <w:t>The service has a robust pandemic and outbreak management plan in place. There is a sufficient supply of protective equipment. The internal audit system monitors for a safe environment. Three outbreaks have been documented and reported since the previous audit. These have been managed well.</w:t>
      </w:r>
    </w:p>
    <w:p w14:paraId="3E1BFF23" w14:textId="77777777" w:rsidR="00F26FBF" w:rsidRPr="00A4268A" w:rsidRDefault="00000000">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the cleaning and laundry services are implemented, with appropriate monitoring systems in place to evaluate the effectiveness of these services.</w:t>
      </w:r>
    </w:p>
    <w:bookmarkEnd w:id="18"/>
    <w:p w14:paraId="5317BF26" w14:textId="77777777" w:rsidR="00F26FBF" w:rsidRPr="00A4268A" w:rsidRDefault="00F26FBF">
      <w:pPr>
        <w:spacing w:before="240" w:line="276" w:lineRule="auto"/>
        <w:rPr>
          <w:rFonts w:eastAsia="Calibri"/>
        </w:rPr>
      </w:pPr>
    </w:p>
    <w:p w14:paraId="510D020D" w14:textId="77777777" w:rsidR="00460D43" w:rsidRDefault="00000000" w:rsidP="000E6E02">
      <w:pPr>
        <w:pStyle w:val="Heading2"/>
        <w:spacing w:before="0"/>
        <w:rPr>
          <w:rFonts w:cs="Arial"/>
        </w:rPr>
      </w:pPr>
      <w:r w:rsidRPr="00FB778F">
        <w:rPr>
          <w:rFonts w:cs="Arial"/>
        </w:rPr>
        <w:t>Here taratahi │ Restraint and seclusion</w:t>
      </w:r>
    </w:p>
    <w:p w14:paraId="3E31C087" w14:textId="77777777" w:rsidR="00460D43" w:rsidRDefault="00000000">
      <w:pPr>
        <w:spacing w:before="240" w:line="276" w:lineRule="auto"/>
        <w:rPr>
          <w:rFonts w:eastAsia="Calibri"/>
        </w:rPr>
      </w:pPr>
      <w:bookmarkStart w:id="19" w:name="InfectionPreventionAndControl"/>
      <w:r w:rsidRPr="00A4268A">
        <w:rPr>
          <w:rFonts w:eastAsia="Calibri"/>
        </w:rPr>
        <w:t xml:space="preserve">The service aims for a restraint-free environment. This is supported by the governing body and policies and procedures. There were no residents using restraints at the time of audit. Staff demonstrated a sound knowledge and understanding of providing the least restrictive practice, de-escalation techniques and alternative interventions. </w:t>
      </w:r>
    </w:p>
    <w:bookmarkEnd w:id="19"/>
    <w:p w14:paraId="15B3CE5E" w14:textId="77777777" w:rsidR="00F26FBF" w:rsidRPr="00A4268A" w:rsidRDefault="00F26FBF">
      <w:pPr>
        <w:spacing w:before="240" w:line="276" w:lineRule="auto"/>
        <w:rPr>
          <w:rFonts w:eastAsia="Calibri"/>
        </w:rPr>
      </w:pPr>
    </w:p>
    <w:p w14:paraId="2E009F07" w14:textId="77777777" w:rsidR="00460D43" w:rsidRDefault="00000000" w:rsidP="000E6E02">
      <w:pPr>
        <w:pStyle w:val="Heading2"/>
        <w:spacing w:before="0"/>
        <w:rPr>
          <w:rFonts w:cs="Arial"/>
        </w:rPr>
      </w:pPr>
      <w:r>
        <w:rPr>
          <w:rFonts w:cs="Arial"/>
        </w:rPr>
        <w:lastRenderedPageBreak/>
        <w:t>Summary of attainment</w:t>
      </w:r>
    </w:p>
    <w:p w14:paraId="68E18FD4" w14:textId="77777777" w:rsidR="00460D43" w:rsidRDefault="0000000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6FBF" w14:paraId="716E74BE" w14:textId="77777777">
        <w:tc>
          <w:tcPr>
            <w:tcW w:w="1384" w:type="dxa"/>
            <w:vAlign w:val="center"/>
          </w:tcPr>
          <w:p w14:paraId="3057B260"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F62D81B" w14:textId="77777777" w:rsidR="00460D43" w:rsidRDefault="00000000">
            <w:pPr>
              <w:keepNext/>
              <w:spacing w:before="60" w:after="60"/>
              <w:jc w:val="center"/>
              <w:rPr>
                <w:rFonts w:cs="Arial"/>
                <w:b/>
                <w:sz w:val="20"/>
                <w:szCs w:val="20"/>
              </w:rPr>
            </w:pPr>
            <w:r>
              <w:rPr>
                <w:rFonts w:cs="Arial"/>
                <w:b/>
                <w:sz w:val="20"/>
                <w:szCs w:val="20"/>
              </w:rPr>
              <w:t>Continuous Improvement</w:t>
            </w:r>
          </w:p>
          <w:p w14:paraId="7E09455E"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4B724E1" w14:textId="77777777" w:rsidR="00460D43" w:rsidRDefault="00000000">
            <w:pPr>
              <w:keepNext/>
              <w:spacing w:before="60" w:after="60"/>
              <w:jc w:val="center"/>
              <w:rPr>
                <w:rFonts w:cs="Arial"/>
                <w:b/>
                <w:sz w:val="20"/>
                <w:szCs w:val="20"/>
              </w:rPr>
            </w:pPr>
            <w:r>
              <w:rPr>
                <w:rFonts w:cs="Arial"/>
                <w:b/>
                <w:sz w:val="20"/>
                <w:szCs w:val="20"/>
              </w:rPr>
              <w:t>Fully Attained</w:t>
            </w:r>
          </w:p>
          <w:p w14:paraId="410E9DC9"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68C7FDE3"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B63CD72"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ECD8268"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4D108A26"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E90C0C1"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23F63A2"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4DE2E8B"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AAC6B8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3A5FC7F"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1D487E7" w14:textId="77777777" w:rsidR="00460D43" w:rsidRDefault="00000000">
            <w:pPr>
              <w:keepNext/>
              <w:spacing w:before="60" w:after="60"/>
              <w:jc w:val="center"/>
              <w:rPr>
                <w:rFonts w:cs="Arial"/>
                <w:b/>
                <w:sz w:val="20"/>
                <w:szCs w:val="20"/>
              </w:rPr>
            </w:pPr>
            <w:r>
              <w:rPr>
                <w:rFonts w:cs="Arial"/>
                <w:b/>
                <w:sz w:val="20"/>
                <w:szCs w:val="20"/>
              </w:rPr>
              <w:t>(PA Critical)</w:t>
            </w:r>
          </w:p>
        </w:tc>
      </w:tr>
      <w:tr w:rsidR="00F26FBF" w14:paraId="2A0EAD6D" w14:textId="77777777">
        <w:tc>
          <w:tcPr>
            <w:tcW w:w="1384" w:type="dxa"/>
            <w:vAlign w:val="center"/>
          </w:tcPr>
          <w:p w14:paraId="35819655"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77117B7" w14:textId="77777777" w:rsidR="00460D43" w:rsidRDefault="0000000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8A7A357" w14:textId="77777777" w:rsidR="00460D43" w:rsidRDefault="00000000"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323234F8" w14:textId="77777777" w:rsidR="00460D43" w:rsidRDefault="0000000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B26EB4E" w14:textId="77777777" w:rsidR="00460D43" w:rsidRDefault="0000000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2F1DE7AE" w14:textId="77777777" w:rsidR="00460D43" w:rsidRDefault="0000000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94DB79C" w14:textId="77777777" w:rsidR="00460D43" w:rsidRDefault="0000000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5899465" w14:textId="77777777" w:rsidR="00460D43" w:rsidRDefault="0000000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26FBF" w14:paraId="358A69DA" w14:textId="77777777">
        <w:tc>
          <w:tcPr>
            <w:tcW w:w="1384" w:type="dxa"/>
            <w:vAlign w:val="center"/>
          </w:tcPr>
          <w:p w14:paraId="101FF40F"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4E2A589" w14:textId="77777777" w:rsidR="00460D43" w:rsidRDefault="00000000">
            <w:pPr>
              <w:spacing w:before="60" w:after="60"/>
              <w:jc w:val="center"/>
              <w:rPr>
                <w:rFonts w:cs="Arial"/>
                <w:sz w:val="20"/>
                <w:szCs w:val="20"/>
                <w:lang w:eastAsia="en-NZ"/>
              </w:rPr>
            </w:pPr>
            <w:bookmarkStart w:id="27" w:name="TotalCritCI"/>
            <w:r>
              <w:rPr>
                <w:rFonts w:cs="Arial"/>
                <w:sz w:val="20"/>
                <w:szCs w:val="20"/>
                <w:lang w:eastAsia="en-NZ"/>
              </w:rPr>
              <w:t>2</w:t>
            </w:r>
            <w:bookmarkEnd w:id="27"/>
          </w:p>
        </w:tc>
        <w:tc>
          <w:tcPr>
            <w:tcW w:w="1843" w:type="dxa"/>
            <w:vAlign w:val="center"/>
          </w:tcPr>
          <w:p w14:paraId="75F55A8C" w14:textId="77777777" w:rsidR="00460D43" w:rsidRDefault="00000000" w:rsidP="00A4268A">
            <w:pPr>
              <w:spacing w:before="60" w:after="60"/>
              <w:jc w:val="center"/>
              <w:rPr>
                <w:rFonts w:cs="Arial"/>
                <w:sz w:val="20"/>
                <w:szCs w:val="20"/>
                <w:lang w:eastAsia="en-NZ"/>
              </w:rPr>
            </w:pPr>
            <w:bookmarkStart w:id="28" w:name="TotalCritFA"/>
            <w:r>
              <w:rPr>
                <w:rFonts w:cs="Arial"/>
                <w:sz w:val="20"/>
                <w:szCs w:val="20"/>
                <w:lang w:eastAsia="en-NZ"/>
              </w:rPr>
              <w:t>166</w:t>
            </w:r>
            <w:bookmarkEnd w:id="28"/>
          </w:p>
        </w:tc>
        <w:tc>
          <w:tcPr>
            <w:tcW w:w="1843" w:type="dxa"/>
            <w:vAlign w:val="center"/>
          </w:tcPr>
          <w:p w14:paraId="609FAEA2" w14:textId="77777777" w:rsidR="00460D43" w:rsidRDefault="0000000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8FB6DC4" w14:textId="77777777" w:rsidR="00460D43" w:rsidRDefault="0000000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10AEEE25" w14:textId="77777777" w:rsidR="00460D43" w:rsidRDefault="0000000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21F2B12C" w14:textId="77777777" w:rsidR="00460D43" w:rsidRDefault="0000000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683B382" w14:textId="77777777" w:rsidR="00460D43" w:rsidRDefault="0000000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A0BB221"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6FBF" w14:paraId="4436E535" w14:textId="77777777">
        <w:tc>
          <w:tcPr>
            <w:tcW w:w="1384" w:type="dxa"/>
            <w:vAlign w:val="center"/>
          </w:tcPr>
          <w:p w14:paraId="4DBD5EF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4F15F21"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ADB6BAC"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EBE9AE5" w14:textId="77777777" w:rsidR="00460D43" w:rsidRDefault="00000000">
            <w:pPr>
              <w:keepNext/>
              <w:spacing w:before="60" w:after="60"/>
              <w:jc w:val="center"/>
              <w:rPr>
                <w:rFonts w:cs="Arial"/>
                <w:b/>
                <w:sz w:val="20"/>
                <w:szCs w:val="20"/>
              </w:rPr>
            </w:pPr>
            <w:r>
              <w:rPr>
                <w:rFonts w:cs="Arial"/>
                <w:b/>
                <w:sz w:val="20"/>
                <w:szCs w:val="20"/>
              </w:rPr>
              <w:t>Unattained Low Risk</w:t>
            </w:r>
          </w:p>
          <w:p w14:paraId="7149354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208EE3C1" w14:textId="77777777" w:rsidR="00460D43" w:rsidRDefault="00000000">
            <w:pPr>
              <w:keepNext/>
              <w:spacing w:before="60" w:after="60"/>
              <w:jc w:val="center"/>
              <w:rPr>
                <w:rFonts w:cs="Arial"/>
                <w:b/>
                <w:sz w:val="20"/>
                <w:szCs w:val="20"/>
              </w:rPr>
            </w:pPr>
            <w:r>
              <w:rPr>
                <w:rFonts w:cs="Arial"/>
                <w:b/>
                <w:sz w:val="20"/>
                <w:szCs w:val="20"/>
              </w:rPr>
              <w:t>Unattained Moderate Risk</w:t>
            </w:r>
          </w:p>
          <w:p w14:paraId="24C424AD"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3BFD838" w14:textId="77777777" w:rsidR="00460D43" w:rsidRDefault="00000000">
            <w:pPr>
              <w:keepNext/>
              <w:spacing w:before="60" w:after="60"/>
              <w:jc w:val="center"/>
              <w:rPr>
                <w:rFonts w:cs="Arial"/>
                <w:b/>
                <w:sz w:val="20"/>
                <w:szCs w:val="20"/>
              </w:rPr>
            </w:pPr>
            <w:r>
              <w:rPr>
                <w:rFonts w:cs="Arial"/>
                <w:b/>
                <w:sz w:val="20"/>
                <w:szCs w:val="20"/>
              </w:rPr>
              <w:t>Unattained High Risk</w:t>
            </w:r>
          </w:p>
          <w:p w14:paraId="41D687E1"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E278AAB" w14:textId="77777777" w:rsidR="00460D43" w:rsidRDefault="00000000">
            <w:pPr>
              <w:keepNext/>
              <w:spacing w:before="60" w:after="60"/>
              <w:jc w:val="center"/>
              <w:rPr>
                <w:rFonts w:cs="Arial"/>
                <w:b/>
                <w:sz w:val="20"/>
                <w:szCs w:val="20"/>
              </w:rPr>
            </w:pPr>
            <w:r>
              <w:rPr>
                <w:rFonts w:cs="Arial"/>
                <w:b/>
                <w:sz w:val="20"/>
                <w:szCs w:val="20"/>
              </w:rPr>
              <w:t>Unattained Critical Risk</w:t>
            </w:r>
          </w:p>
          <w:p w14:paraId="2DFFAA59" w14:textId="77777777" w:rsidR="00460D43" w:rsidRDefault="00000000">
            <w:pPr>
              <w:keepNext/>
              <w:spacing w:before="60" w:after="60"/>
              <w:jc w:val="center"/>
              <w:rPr>
                <w:rFonts w:cs="Arial"/>
                <w:b/>
                <w:sz w:val="20"/>
                <w:szCs w:val="20"/>
              </w:rPr>
            </w:pPr>
            <w:r>
              <w:rPr>
                <w:rFonts w:cs="Arial"/>
                <w:b/>
                <w:sz w:val="20"/>
                <w:szCs w:val="20"/>
              </w:rPr>
              <w:t>(UA Critical)</w:t>
            </w:r>
          </w:p>
        </w:tc>
      </w:tr>
      <w:tr w:rsidR="00F26FBF" w14:paraId="52E7D343" w14:textId="77777777">
        <w:tc>
          <w:tcPr>
            <w:tcW w:w="1384" w:type="dxa"/>
            <w:vAlign w:val="center"/>
          </w:tcPr>
          <w:p w14:paraId="09040A0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B019E55" w14:textId="77777777" w:rsidR="00460D43" w:rsidRDefault="0000000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8242362" w14:textId="77777777" w:rsidR="00460D43" w:rsidRDefault="0000000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6D6E2DDB" w14:textId="77777777" w:rsidR="00460D43" w:rsidRDefault="0000000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6E220CC" w14:textId="77777777" w:rsidR="00460D43" w:rsidRDefault="0000000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C10FDDD" w14:textId="77777777" w:rsidR="00460D43" w:rsidRDefault="0000000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26FBF" w14:paraId="271A8E42" w14:textId="77777777">
        <w:tc>
          <w:tcPr>
            <w:tcW w:w="1384" w:type="dxa"/>
            <w:vAlign w:val="center"/>
          </w:tcPr>
          <w:p w14:paraId="22A0923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516693B" w14:textId="77777777" w:rsidR="00460D43" w:rsidRDefault="0000000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7CFABB7" w14:textId="77777777" w:rsidR="00460D43" w:rsidRDefault="0000000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4FB5690" w14:textId="77777777" w:rsidR="00460D43" w:rsidRDefault="0000000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93485F0" w14:textId="77777777" w:rsidR="00460D43" w:rsidRDefault="0000000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F0327CC" w14:textId="77777777" w:rsidR="00460D43" w:rsidRDefault="0000000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0D048F4" w14:textId="77777777" w:rsidR="00460D43" w:rsidRDefault="00000000">
      <w:pPr>
        <w:pStyle w:val="Heading1"/>
        <w:rPr>
          <w:rFonts w:cs="Arial"/>
        </w:rPr>
      </w:pPr>
      <w:r>
        <w:rPr>
          <w:rFonts w:cs="Arial"/>
        </w:rPr>
        <w:lastRenderedPageBreak/>
        <w:t xml:space="preserve">Attainment against the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18B7D5A" w14:textId="77777777" w:rsidR="00460D43" w:rsidRDefault="0000000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F54AED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5EC3B94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F26FBF" w14:paraId="52839AB3" w14:textId="77777777">
        <w:tc>
          <w:tcPr>
            <w:tcW w:w="0" w:type="auto"/>
          </w:tcPr>
          <w:p w14:paraId="15A7D6D3"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E9240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19314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F26FBF" w14:paraId="77D51A57" w14:textId="77777777">
        <w:tc>
          <w:tcPr>
            <w:tcW w:w="0" w:type="auto"/>
          </w:tcPr>
          <w:p w14:paraId="1DD2AA2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35D788CB"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8A7A4AC" w14:textId="77777777" w:rsidR="00EB7645" w:rsidRPr="00BE00C7" w:rsidRDefault="00000000" w:rsidP="00BE00C7">
            <w:pPr>
              <w:pStyle w:val="OutcomeDescription"/>
              <w:spacing w:before="120" w:after="120"/>
              <w:rPr>
                <w:rFonts w:cs="Arial"/>
                <w:lang w:eastAsia="en-NZ"/>
              </w:rPr>
            </w:pPr>
          </w:p>
        </w:tc>
        <w:tc>
          <w:tcPr>
            <w:tcW w:w="0" w:type="auto"/>
          </w:tcPr>
          <w:p w14:paraId="426514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D25C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w:t>
            </w:r>
          </w:p>
          <w:p w14:paraId="33398767"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has developed a te ao Māori strategy to introduce and implement the te ao Māori related standards with a Māori health consultant. Materials and care programmes that address the 2021 Health and Disability Services Standard have been put in place. Bupa care home managers have attended workshops (Mauri Tū, Mauri Ora) designed to identify problems in relation to Te Tiriti o Waitangi and scoping of opportunities to improve health equity for Māori. The most recent workshop for managers relating to Māori health, tikanga Māori and equity in Māori health outcomes was held In March of this year.</w:t>
            </w:r>
          </w:p>
          <w:p w14:paraId="410C43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confirmed that they support increasing Māori capacity by employing Māori staff members when they do apply for employment opportunities at Bupa Hayman. At the time of the audit, there were Māori staff members in various roles throughout the facility. Bupa Hayman has links to the local Manurewa Marae, kaumātua and Māori wardens for community support. The care home has contacts noted on the Tikanga flip charts.</w:t>
            </w:r>
          </w:p>
          <w:p w14:paraId="0E7CB70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planning, their activities, and their dietary needs. Clinical staff described their commitment to supporting Māori residents and their whānau by identifying what is important to them, their individual values and beliefs and enabling self-determination and authority in decision-making that supports their health and wellbeing.</w:t>
            </w:r>
          </w:p>
          <w:p w14:paraId="61858983"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management team (one care home manager, and one clinical manager) identified the service and organisation are focused on delivering person-centred care, which includes operating in ways that are culturally safe. The service has provided several training sessions on cultural safety. Training encompassed Te Tiriti o Waitangi based on the guidelines of cultural safety in nursing education and practice.</w:t>
            </w:r>
          </w:p>
          <w:p w14:paraId="5AF952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owner knows and understands the consumer rights and has a good understanding of Te Tiriti o Waitangi, recognising barriers for Māori and supporting Māori. The prospective owner has completed cultural training. </w:t>
            </w:r>
          </w:p>
          <w:p w14:paraId="29ECADD2" w14:textId="77777777" w:rsidR="00EB7645" w:rsidRPr="00BE00C7" w:rsidRDefault="00000000" w:rsidP="00BE00C7">
            <w:pPr>
              <w:pStyle w:val="OutcomeDescription"/>
              <w:spacing w:before="120" w:after="120"/>
              <w:rPr>
                <w:rFonts w:cs="Arial"/>
                <w:lang w:eastAsia="en-NZ"/>
              </w:rPr>
            </w:pPr>
          </w:p>
        </w:tc>
      </w:tr>
      <w:tr w:rsidR="00F26FBF" w14:paraId="0B684284" w14:textId="77777777">
        <w:tc>
          <w:tcPr>
            <w:tcW w:w="0" w:type="auto"/>
          </w:tcPr>
          <w:p w14:paraId="45607FA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20D1F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C7B6D90" w14:textId="77777777" w:rsidR="00EB7645" w:rsidRPr="00BE00C7" w:rsidRDefault="00000000" w:rsidP="00BE00C7">
            <w:pPr>
              <w:pStyle w:val="OutcomeDescription"/>
              <w:spacing w:before="120" w:after="120"/>
              <w:rPr>
                <w:rFonts w:cs="Arial"/>
                <w:lang w:eastAsia="en-NZ"/>
              </w:rPr>
            </w:pPr>
          </w:p>
        </w:tc>
        <w:tc>
          <w:tcPr>
            <w:tcW w:w="0" w:type="auto"/>
          </w:tcPr>
          <w:p w14:paraId="56272CC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ED33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whānau are encouraged to be present to assist with identification of all needs including cultural beliefs. On admission all residents’ ethnicities are captured. Individual cultural beliefs are documented for all residents in their care plan and activities plan. Cultural awareness training introduced the staff to components of the Fonofale of Pacific health model. There are residents at Bupa Hayman who identify as Pasifika. </w:t>
            </w:r>
          </w:p>
          <w:p w14:paraId="21F07A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organisation developed a comprehensive Te Mana Ola: Pathways to Pacific Peoples Health Equity plan that sets the key direction and long-term priorities to achieve equity in Pacific health and wellbeing outcomes. Bupa partners with a Pacific organisation and/or individual to provide guidance. The service links with Pacific groups in the local community facilitated by current staff members. The service is able to access pamphlets and information on the service in most Pacific languages, and these are displayed at the entrance to the facility. The care home manager described how they encourage and support any staff that identify as Pasifika through the </w:t>
            </w:r>
            <w:r w:rsidRPr="00BE00C7">
              <w:rPr>
                <w:rFonts w:cs="Arial"/>
                <w:lang w:eastAsia="en-NZ"/>
              </w:rPr>
              <w:lastRenderedPageBreak/>
              <w:t xml:space="preserve">employment process. There are currently staff that identify as Pasifika. On interview, Pacific staff members confirmed they were welcomed and supported by management to attain qualifications, including psychogeriatric unit standards. </w:t>
            </w:r>
          </w:p>
          <w:p w14:paraId="2197870B"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care home manager, clinical manager, twenty staff members (eleven caregivers, five registered nurses (including two unit coordinators), one activities coordinator, one kitchen manager, one household manager and one maintenance officer), six residents (five hospital level including two younger persons with disabilities [YPD}, one rest home), nine family/whānau (five hospital including three whānau of YPD residents , two psychogeriatric and two dementia), and documentation reviewed identified that the service puts people using the services first, and family/whānau at the heart of their services.</w:t>
            </w:r>
          </w:p>
          <w:p w14:paraId="4D2479FA" w14:textId="77777777" w:rsidR="00EB7645" w:rsidRPr="00BE00C7" w:rsidRDefault="00000000" w:rsidP="00BE00C7">
            <w:pPr>
              <w:pStyle w:val="OutcomeDescription"/>
              <w:spacing w:before="120" w:after="120"/>
              <w:rPr>
                <w:rFonts w:cs="Arial"/>
                <w:lang w:eastAsia="en-NZ"/>
              </w:rPr>
            </w:pPr>
          </w:p>
        </w:tc>
      </w:tr>
      <w:tr w:rsidR="00F26FBF" w14:paraId="379C2E34" w14:textId="77777777">
        <w:tc>
          <w:tcPr>
            <w:tcW w:w="0" w:type="auto"/>
          </w:tcPr>
          <w:p w14:paraId="39CC7B8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4AAA4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1687762" w14:textId="77777777" w:rsidR="00EB7645" w:rsidRPr="00BE00C7" w:rsidRDefault="00000000" w:rsidP="00BE00C7">
            <w:pPr>
              <w:pStyle w:val="OutcomeDescription"/>
              <w:spacing w:before="120" w:after="120"/>
              <w:rPr>
                <w:rFonts w:cs="Arial"/>
                <w:lang w:eastAsia="en-NZ"/>
              </w:rPr>
            </w:pPr>
          </w:p>
        </w:tc>
        <w:tc>
          <w:tcPr>
            <w:tcW w:w="0" w:type="auto"/>
          </w:tcPr>
          <w:p w14:paraId="2FB8D7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12954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family/whānau. The Code of Health and Disability Services Consumers’ Rights is displayed in multiple locations in English and te reo Māori. The care home manager, clinical manager or unit coordinators discuss aspects of the Code with residents (where appropriate) and their family/whānau on admission. Information about the Nationwide Health and Disability Advocacy is available on the noticeboards in each wing and in the information packs provided. Other formats are available such as information in te reo Māori, and Pacific languages. Resident and relative meetings provide a forum for residents to discuss any concerns. </w:t>
            </w:r>
          </w:p>
          <w:p w14:paraId="098D730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w:t>
            </w:r>
            <w:r w:rsidRPr="00BE00C7">
              <w:rPr>
                <w:rFonts w:cs="Arial"/>
                <w:lang w:eastAsia="en-NZ"/>
              </w:rPr>
              <w:lastRenderedPageBreak/>
              <w:t>understanding the role of advocacy services. Advocacy services are linked to the complaints process.</w:t>
            </w:r>
          </w:p>
          <w:p w14:paraId="12834C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family/whānau interviewed stated they felt their rights were upheld and they were treated with dignity, respect, and kindness. The service recognises Māori mana Motuhake as reflected in the care plans. Care plans reflected residents were encouraged to make choices and be as independent as possible. Care staff confirmed this to be the case when interviewed. Interactions observed between staff and residents were respectful.</w:t>
            </w:r>
          </w:p>
          <w:p w14:paraId="522A26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owner knows and understands The Code and their responsibilities as a provider of health and disability services, evidenced through interview. </w:t>
            </w:r>
          </w:p>
          <w:p w14:paraId="3624AA0B" w14:textId="77777777" w:rsidR="00EB7645" w:rsidRPr="00BE00C7" w:rsidRDefault="00000000" w:rsidP="00BE00C7">
            <w:pPr>
              <w:pStyle w:val="OutcomeDescription"/>
              <w:spacing w:before="120" w:after="120"/>
              <w:rPr>
                <w:rFonts w:cs="Arial"/>
                <w:lang w:eastAsia="en-NZ"/>
              </w:rPr>
            </w:pPr>
          </w:p>
        </w:tc>
      </w:tr>
      <w:tr w:rsidR="00F26FBF" w14:paraId="7C2306A2" w14:textId="77777777">
        <w:tc>
          <w:tcPr>
            <w:tcW w:w="0" w:type="auto"/>
          </w:tcPr>
          <w:p w14:paraId="7DA5624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4CB8DC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AF19FBA" w14:textId="77777777" w:rsidR="00EB7645" w:rsidRPr="00BE00C7" w:rsidRDefault="00000000" w:rsidP="00BE00C7">
            <w:pPr>
              <w:pStyle w:val="OutcomeDescription"/>
              <w:spacing w:before="120" w:after="120"/>
              <w:rPr>
                <w:rFonts w:cs="Arial"/>
                <w:lang w:eastAsia="en-NZ"/>
              </w:rPr>
            </w:pPr>
          </w:p>
        </w:tc>
        <w:tc>
          <w:tcPr>
            <w:tcW w:w="0" w:type="auto"/>
          </w:tcPr>
          <w:p w14:paraId="52899D9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7000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family/whānau members to be involved in their care or other forms of support. The service responds to tāngata whaikaha needs and enable their participation in te ao Māori. Residents are encouraged to have control and choice over activities they participate in, as evidenced in resident care plans. </w:t>
            </w:r>
          </w:p>
          <w:p w14:paraId="57D6BD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64354F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w:t>
            </w:r>
            <w:r w:rsidRPr="00BE00C7">
              <w:rPr>
                <w:rFonts w:cs="Arial"/>
                <w:lang w:eastAsia="en-NZ"/>
              </w:rPr>
              <w:lastRenderedPageBreak/>
              <w:t xml:space="preserve">residents' care plans. Staff interviewed could describe professional boundaries, and practice this in line with policy. Spiritual needs are identified, church services are held, and spiritual support is available. </w:t>
            </w:r>
          </w:p>
          <w:p w14:paraId="6C2E70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family/whānau interviewed were positive about the service in relation to their values and beliefs being considered and met. Young people with disabilities are able to maintain their personal, gender, sexual, cultural, religious, and spiritual identity, as evidenced in interviews and care planning documentation. Privacy is ensured and independence is encouraged. The storage and security of health information policy is implemented. Orientation and ongoing education for staff covers the concepts of personal privacy and dignity. The 2022 and 2023 resident/family surveys identified a high level of satisfaction around privacy, dignity, and respect (including cultural needs). </w:t>
            </w:r>
          </w:p>
          <w:p w14:paraId="4C96B4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4C9788D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Matariki and Māori language week are celebrated at Bupa Hayman. Caregivers interviewed advised they are encouraged to use common te reo Māori phrases when speaking with Māori residents and for everyday greetings. </w:t>
            </w:r>
          </w:p>
          <w:p w14:paraId="6C686622" w14:textId="77777777" w:rsidR="00EB7645" w:rsidRPr="00BE00C7" w:rsidRDefault="00000000" w:rsidP="00BE00C7">
            <w:pPr>
              <w:pStyle w:val="OutcomeDescription"/>
              <w:spacing w:before="120" w:after="120"/>
              <w:rPr>
                <w:rFonts w:cs="Arial"/>
                <w:lang w:eastAsia="en-NZ"/>
              </w:rPr>
            </w:pPr>
          </w:p>
        </w:tc>
      </w:tr>
      <w:tr w:rsidR="00F26FBF" w14:paraId="1C4B79AE" w14:textId="77777777">
        <w:tc>
          <w:tcPr>
            <w:tcW w:w="0" w:type="auto"/>
          </w:tcPr>
          <w:p w14:paraId="66C25E6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49AD52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951BFC2" w14:textId="77777777" w:rsidR="00EB7645" w:rsidRPr="00BE00C7" w:rsidRDefault="00000000" w:rsidP="00BE00C7">
            <w:pPr>
              <w:pStyle w:val="OutcomeDescription"/>
              <w:spacing w:before="120" w:after="120"/>
              <w:rPr>
                <w:rFonts w:cs="Arial"/>
                <w:lang w:eastAsia="en-NZ"/>
              </w:rPr>
            </w:pPr>
          </w:p>
        </w:tc>
        <w:tc>
          <w:tcPr>
            <w:tcW w:w="0" w:type="auto"/>
          </w:tcPr>
          <w:p w14:paraId="703641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7CBF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Bupa Hayman policies prevent any form of discrimination, coercion, harassment, or any other exploitation. The organisation is inclusive of ethnicities, and cultural days are completed to celebrate diversity. A staff code of conduct is discussed during the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received code of conduct training through Bupa Learn platform. The staff engagement survey of 2023 evidence staff are participating in creating a positive workplace. Towards Māori Health Equity policy </w:t>
            </w:r>
            <w:r w:rsidRPr="00BE00C7">
              <w:rPr>
                <w:rFonts w:cs="Arial"/>
                <w:lang w:eastAsia="en-NZ"/>
              </w:rPr>
              <w:lastRenderedPageBreak/>
              <w:t>address institutional racism. There is a safe anonymous pathway for staff to report issues related to racism and harassment.</w:t>
            </w:r>
          </w:p>
          <w:p w14:paraId="08DA84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family/whānau interviewed confirmed that the staff are very caring, supportive, and respectful. </w:t>
            </w:r>
          </w:p>
          <w:p w14:paraId="42232A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5A298E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promotes a strengths-based and holistic model `Person First Care` to ensure wellbeing outcomes for their Māori residents is prioritised. Review of resident care plans identified goals of care included interventions to promote positive outcomes. On interview, care staff confirmed an understanding of holistic care for all residents. Cultural awareness training completed in April 2023 includes recognition of explicit and non- explicit bias and supports the recognition and reduction of bias in health care.</w:t>
            </w:r>
          </w:p>
          <w:p w14:paraId="074FD282" w14:textId="77777777" w:rsidR="00EB7645" w:rsidRPr="00BE00C7" w:rsidRDefault="00000000" w:rsidP="00BE00C7">
            <w:pPr>
              <w:pStyle w:val="OutcomeDescription"/>
              <w:spacing w:before="120" w:after="120"/>
              <w:rPr>
                <w:rFonts w:cs="Arial"/>
                <w:lang w:eastAsia="en-NZ"/>
              </w:rPr>
            </w:pPr>
          </w:p>
        </w:tc>
      </w:tr>
      <w:tr w:rsidR="00F26FBF" w14:paraId="5C262483" w14:textId="77777777">
        <w:tc>
          <w:tcPr>
            <w:tcW w:w="0" w:type="auto"/>
          </w:tcPr>
          <w:p w14:paraId="1687C16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1.6: Effective communication occurs</w:t>
            </w:r>
          </w:p>
          <w:p w14:paraId="711296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12F49C0" w14:textId="77777777" w:rsidR="00EB7645" w:rsidRPr="00BE00C7" w:rsidRDefault="00000000" w:rsidP="00BE00C7">
            <w:pPr>
              <w:pStyle w:val="OutcomeDescription"/>
              <w:spacing w:before="120" w:after="120"/>
              <w:rPr>
                <w:rFonts w:cs="Arial"/>
                <w:lang w:eastAsia="en-NZ"/>
              </w:rPr>
            </w:pPr>
          </w:p>
        </w:tc>
        <w:tc>
          <w:tcPr>
            <w:tcW w:w="0" w:type="auto"/>
          </w:tcPr>
          <w:p w14:paraId="3E2D358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6B29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Six-weekly resident and family/whānau meetings identify feedback from residents and consequent follow up by the service. </w:t>
            </w:r>
          </w:p>
          <w:p w14:paraId="151F1D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This is also documented on the family communication sheet that is held in the front of the resident’s file. Twelve accident/incident forms reviewed identified family/whānau are </w:t>
            </w:r>
            <w:r w:rsidRPr="00BE00C7">
              <w:rPr>
                <w:rFonts w:cs="Arial"/>
                <w:lang w:eastAsia="en-NZ"/>
              </w:rPr>
              <w:lastRenderedPageBreak/>
              <w:t xml:space="preserve">kept informed; this was confirmed through the interviews with family/whānau. </w:t>
            </w:r>
          </w:p>
          <w:p w14:paraId="65BF2243"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Some residents are not fluent in English. Staff on interview advised they have communication resources available when required and are trained to use hand and facial gestures in addition to word and frequently used phrase cards. Younger persons with disabilities confirm they are supported with their communication devices and Wi-Fi is available.</w:t>
            </w:r>
          </w:p>
          <w:p w14:paraId="70926091"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 to do so. The residents and family/whānau are informed prior to entry of the scope of services and any items that are not covered by the agreement.</w:t>
            </w:r>
          </w:p>
          <w:p w14:paraId="3A8FA1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Counties Manukau specialist services (eg, geriatric nurse specialist, mental health, wound nurse specialist, dietitian, speech, and language therapy). The management team hold weekly head of department meetings to enhance internal communication and facilitate a holistic approach to care. The registered nurses described an implemented process around providing residents and family/whānau with time for discussion around care, time to consider decisions, and opportunity for further discussion, if required.</w:t>
            </w:r>
          </w:p>
          <w:p w14:paraId="332130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resident advocate and resident representative (residing in facility) that support residents through meetings and to raise concerns. </w:t>
            </w:r>
          </w:p>
          <w:p w14:paraId="1B5D0F71" w14:textId="77777777" w:rsidR="00EB7645" w:rsidRPr="00BE00C7" w:rsidRDefault="00000000" w:rsidP="00BE00C7">
            <w:pPr>
              <w:pStyle w:val="OutcomeDescription"/>
              <w:spacing w:before="120" w:after="120"/>
              <w:rPr>
                <w:rFonts w:cs="Arial"/>
                <w:lang w:eastAsia="en-NZ"/>
              </w:rPr>
            </w:pPr>
          </w:p>
        </w:tc>
      </w:tr>
      <w:tr w:rsidR="00F26FBF" w14:paraId="3E3791AD" w14:textId="77777777">
        <w:tc>
          <w:tcPr>
            <w:tcW w:w="0" w:type="auto"/>
          </w:tcPr>
          <w:p w14:paraId="3E5393D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75BD9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w:t>
            </w:r>
            <w:r w:rsidRPr="00BE00C7">
              <w:rPr>
                <w:rFonts w:cs="Arial"/>
                <w:lang w:eastAsia="en-NZ"/>
              </w:rPr>
              <w:lastRenderedPageBreak/>
              <w:t>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9A0C7CB" w14:textId="77777777" w:rsidR="00EB7645" w:rsidRPr="00BE00C7" w:rsidRDefault="00000000" w:rsidP="00BE00C7">
            <w:pPr>
              <w:pStyle w:val="OutcomeDescription"/>
              <w:spacing w:before="120" w:after="120"/>
              <w:rPr>
                <w:rFonts w:cs="Arial"/>
                <w:lang w:eastAsia="en-NZ"/>
              </w:rPr>
            </w:pPr>
          </w:p>
        </w:tc>
        <w:tc>
          <w:tcPr>
            <w:tcW w:w="0" w:type="auto"/>
          </w:tcPr>
          <w:p w14:paraId="781D74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134C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Ten files reviewed included signed general consent forms. The residents and family/whānau interviewed could describe what informed consent was and knew they had the right to choose. There is an advance directive policy. </w:t>
            </w:r>
          </w:p>
          <w:p w14:paraId="0861F1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 the files reviewed, there were appropriately signed resuscitation plans and advance directives in place. The service follows relevant best practice tikanga guidelines and welcoming the involvement of family/whānau in decision making where the person receiving services wants them to be involved. Discussions with family/whānau confirmed that they are involved in the decision-making process, and in the planning of resident’s care. Admission agreements had been signed and sighted for all the files seen. Copies of enduring power of attorneys (EPOAs) were on resident files and were activated for all residents receiving psychogeriatric and dementia level of care. </w:t>
            </w:r>
          </w:p>
          <w:p w14:paraId="307972D8" w14:textId="77777777" w:rsidR="00EB7645" w:rsidRPr="00BE00C7" w:rsidRDefault="00000000" w:rsidP="00BE00C7">
            <w:pPr>
              <w:pStyle w:val="OutcomeDescription"/>
              <w:spacing w:before="120" w:after="120"/>
              <w:rPr>
                <w:rFonts w:cs="Arial"/>
                <w:lang w:eastAsia="en-NZ"/>
              </w:rPr>
            </w:pPr>
          </w:p>
        </w:tc>
      </w:tr>
      <w:tr w:rsidR="00F26FBF" w14:paraId="56AE2403" w14:textId="77777777">
        <w:tc>
          <w:tcPr>
            <w:tcW w:w="0" w:type="auto"/>
          </w:tcPr>
          <w:p w14:paraId="74DC5F1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45387C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3009235" w14:textId="77777777" w:rsidR="00EB7645" w:rsidRPr="00BE00C7" w:rsidRDefault="00000000" w:rsidP="00BE00C7">
            <w:pPr>
              <w:pStyle w:val="OutcomeDescription"/>
              <w:spacing w:before="120" w:after="120"/>
              <w:rPr>
                <w:rFonts w:cs="Arial"/>
                <w:lang w:eastAsia="en-NZ"/>
              </w:rPr>
            </w:pPr>
          </w:p>
        </w:tc>
        <w:tc>
          <w:tcPr>
            <w:tcW w:w="0" w:type="auto"/>
          </w:tcPr>
          <w:p w14:paraId="67F5B6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59A0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care home manager maintains a record of all complaints, both verbal and written, by using a complaint register. This register is in hard copy and electronically. There have been twenty-three complaints for 2022/2023 year to date. The complaints included an investigation, follow up, and reply to the complainants.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One complaint lodged in October 2021 through HDC remains open with no response from HDC to request further information. Another complaint lodged through HDC in January 2023 remains open, with further information requested and sent in May 2023. The service implemented a corrective action plan following their own internal investigation and included training in dementia care, and management of challenging behaviours.</w:t>
            </w:r>
          </w:p>
          <w:p w14:paraId="017ABF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on interview advised complaints logged were classified into themes (operational issues, quality of care, communication, customer rights) in the complaint register. Trends in themes are around communication.</w:t>
            </w:r>
          </w:p>
          <w:p w14:paraId="5D1FC1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family/whānau confirmed they were provided with information on the </w:t>
            </w:r>
            <w:r w:rsidRPr="00BE00C7">
              <w:rPr>
                <w:rFonts w:cs="Arial"/>
                <w:lang w:eastAsia="en-NZ"/>
              </w:rPr>
              <w:lastRenderedPageBreak/>
              <w:t xml:space="preserve">complaints process. Complaint forms are easily accessible at the entrance and in the wings of the facility. </w:t>
            </w:r>
          </w:p>
          <w:p w14:paraId="26487BE6" w14:textId="77777777" w:rsidR="00EB7645" w:rsidRPr="00BE00C7" w:rsidRDefault="00000000"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concern. Resident and family/whānau meetings are held six-weekly; chaired by the care home manager. The contact details for a resident advocate from advocacy services is posted in large print on resident noticeboards. Residents and family/whānau making a complaint can involve an independent support person in the process if they choose. The care home manager described the preference for face-to-face communication with people who identify as Māori. Residents and family/whānau interviewed confirm the management is open and transparent in their communication.</w:t>
            </w:r>
          </w:p>
          <w:p w14:paraId="45C5F754" w14:textId="77777777" w:rsidR="00EB7645" w:rsidRPr="00BE00C7" w:rsidRDefault="00000000" w:rsidP="00BE00C7">
            <w:pPr>
              <w:pStyle w:val="OutcomeDescription"/>
              <w:spacing w:before="120" w:after="120"/>
              <w:rPr>
                <w:rFonts w:cs="Arial"/>
                <w:lang w:eastAsia="en-NZ"/>
              </w:rPr>
            </w:pPr>
          </w:p>
        </w:tc>
      </w:tr>
      <w:tr w:rsidR="00F26FBF" w14:paraId="6FCAF851" w14:textId="77777777">
        <w:tc>
          <w:tcPr>
            <w:tcW w:w="0" w:type="auto"/>
          </w:tcPr>
          <w:p w14:paraId="71A8606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3873D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63D7895" w14:textId="77777777" w:rsidR="00EB7645" w:rsidRPr="00BE00C7" w:rsidRDefault="00000000" w:rsidP="00BE00C7">
            <w:pPr>
              <w:pStyle w:val="OutcomeDescription"/>
              <w:spacing w:before="120" w:after="120"/>
              <w:rPr>
                <w:rFonts w:cs="Arial"/>
                <w:lang w:eastAsia="en-NZ"/>
              </w:rPr>
            </w:pPr>
          </w:p>
        </w:tc>
        <w:tc>
          <w:tcPr>
            <w:tcW w:w="0" w:type="auto"/>
          </w:tcPr>
          <w:p w14:paraId="0F47BEB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6BB94F"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Hayman is located in Wiri, Auckland, and is a single storey building. The service is certified to provide care for hospital (medical and geriatric), residential disability (physical and intellectual), psychogeriatric and dementia levels of care for up to 110 residents. The facility is divided into 56 dual purpose beds (Kowhai and Pohutukawa); and 39 beds divided into two secure dementia units: one for ladies (Ataahua wahine 18 beds) and one for men (Tamatoa 21 beds); and 15 psychogeriatric beds (Aroha).</w:t>
            </w:r>
          </w:p>
          <w:p w14:paraId="15B0F533"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 of the audit there were 100 residents: two rest home residents and 47 hospital residents (including nine residents on a young persons’ disability (YPD-physical) contract. There were 39 residents (including two residents on a young persons’ disability (YPD-intellectual) across the two dementia units and 14 residents in the psychogeriatric (PG) unit. All other residents in the dual-purpose wing and secure dementia units were under the age-related residential care contract (ARRC). The PG residents were on the age residential hospital specialised services (ARHSS) contract.</w:t>
            </w:r>
          </w:p>
          <w:p w14:paraId="40BB75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person-centred philosophy of ‘Helping people live longer, healthier, happier lives and making a better world. We </w:t>
            </w:r>
            <w:r w:rsidRPr="00BE00C7">
              <w:rPr>
                <w:rFonts w:cs="Arial"/>
                <w:lang w:eastAsia="en-NZ"/>
              </w:rPr>
              <w:lastRenderedPageBreak/>
              <w:t xml:space="preserve">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Northern district reports to the national operations director. The Bupa Board and executive team have attended cultural training to ensure they are able to demonstrate expertise in Te Tiriti, health equity and cultural safety. </w:t>
            </w:r>
          </w:p>
          <w:p w14:paraId="72A21B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w:t>
            </w:r>
          </w:p>
          <w:p w14:paraId="500101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Bupa NZ Māori Health Strategy was developed in partnership with a Māori health consultant. The strategy aligns with the vision of Mana Hauora (Ministry of Health) for Pae ora (Healthy futures for Māori) which is underpinned by the principles of Te Tiriti o Waitangi for the health and disability system. Bupa NZ is committed to supporting the best health outcomes for Māori and guidance for their employees by developing cultural safety awareness around Māori health equity, and disparities in health outcomes, including in aged residential care. The Towards Māori Health Equity policy states Bupa is committed to achieving Māori health equity for residents in their care homes by responding to the individual and collectives needs of residents who identify as Māori, to ensure they live longer, healthier, happier lives.</w:t>
            </w:r>
          </w:p>
          <w:p w14:paraId="51AA0E8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engaged with a cultural advisor to work alongside the Bupa Leadership team. Bupa leadership team has undertaken the Te Kaa Māori immersion training programme. Additional training has been undertaken by the leadership team to ensure competence with Te Tiriti, health equity, and cultural safety through shared learning, presentations at leadership team meetings and completion of online modules. The cultural advisor collaborates with the Boards and senior management in business planning and service development to improve Māori and tāngata whaikaha health outcomes. Tāngata whaikaha provide feedback around all aspects of the service, through </w:t>
            </w:r>
            <w:r w:rsidRPr="00BE00C7">
              <w:rPr>
                <w:rFonts w:cs="Arial"/>
                <w:lang w:eastAsia="en-NZ"/>
              </w:rPr>
              <w:lastRenderedPageBreak/>
              <w:t xml:space="preserve">resident meetings and satisfaction surveys, which provides the opportunity to identify barriers and improve health outcomes. </w:t>
            </w:r>
          </w:p>
          <w:p w14:paraId="03FD4D15"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has a Clinical Governance committee (CGC), Risk and Governance committee (RGC), a Learning and development governance committee and a Work Health Safety Governance committee where analysis and reporting of relevant clinical and quality indicators is discussed in order to improve. The Clinical Services Director chairs the Clinical governance committee (CGC), with oversight from Bupa’s second line Clinical Governance and compliance team and the Chief Medical Officer. The clinical support improvement team (CSI) includes clinical specialists in restraint, infections and adverse event investigations and a customer engagement advisor, based in head office. The organisation benchmarks quality data with other NZ aged care providers. Each region has a clinical quality partner who support the on-site clinical team with education, trend review and management.</w:t>
            </w:r>
          </w:p>
          <w:p w14:paraId="2782DCE5" w14:textId="77777777" w:rsidR="00EB7645" w:rsidRPr="00BE00C7" w:rsidRDefault="00000000"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meeting.</w:t>
            </w:r>
          </w:p>
          <w:p w14:paraId="626114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 specific business goals) that are reviewed monthly in meetings, quality meetings and quality action forms that are completed for any quality improvements/initiatives during the year. </w:t>
            </w:r>
          </w:p>
          <w:p w14:paraId="416A03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(comprehensive nurse) has been employed in the role at Bupa Hayman since April 2021 and has extensive experience in management of aged care facilities. The clinical manager has completed courses on clinical leadership, has demonstrated formal professional proficiency and cultural competency. The care home manager is supported by a clinical manager (who has worked in the role for 18 months); two-unit coordinators (one a comprehensive nurse); a full complement of registered nurses; experienced care staff team; part time educator; the regional operational manager; and quality partner. </w:t>
            </w:r>
          </w:p>
          <w:p w14:paraId="1B0E8B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care home manager and the clinical manager have both completed more than eight hours of training related to managing an aged care facility and includes Bupa regional managers forums, Māori health plan, pandemic and infectious disease planning and infection control teleconferences.</w:t>
            </w:r>
          </w:p>
          <w:p w14:paraId="1803D8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buyers are CHT Healthcare Trust, who are an experienced aged care provider. The governance body of CHT Healthcare Trust consists of seven trustees. Each of the trustees contributes their own areas of expertise to the Board including legal, accounting, medical, human resources, marketing, and business management. The Chairperson of the Board is also an experienced director and chairs other organisational boards. There is a strategic plan which reflects collaboration with Māori, alignment with Manatū Hauora Ministry of Health strategies, and addresses barriers to equitable service delivery.</w:t>
            </w:r>
          </w:p>
          <w:p w14:paraId="66A3EE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CHT’s Māori Health Plan incorporates the principles of Te Tiriti o Waitangi including partnership in recognising all cultures as partners and valuing each culture for the contributions they bring. This is a governance document. Cultural advisors at the governance level ensure Māori have meaningful representation in order to have substantive input into organisational operational policies. </w:t>
            </w:r>
          </w:p>
          <w:p w14:paraId="3A0293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Board and executive team have attended cultural training to ensure they are able to demonstrate expertise in Te Tiriti, health equity and cultural safety.</w:t>
            </w:r>
          </w:p>
          <w:p w14:paraId="0FD303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transition plan with timeframes to implement their own policies and procedures. The prospective buyer has entered into a conditional sale and purchase agreement for the purchase of the Bupa Hayman. At the time of the audit, the proposed settlement date is 1 February 2024. The portfolio manager at Te Whatu Ora- Counties Manukau has been informed. There are no changes to key staff or management planned. </w:t>
            </w:r>
          </w:p>
          <w:p w14:paraId="2D3BF24B" w14:textId="77777777" w:rsidR="00EB7645" w:rsidRPr="00BE00C7" w:rsidRDefault="00000000" w:rsidP="00BE00C7">
            <w:pPr>
              <w:pStyle w:val="OutcomeDescription"/>
              <w:spacing w:before="120" w:after="120"/>
              <w:rPr>
                <w:rFonts w:cs="Arial"/>
                <w:lang w:eastAsia="en-NZ"/>
              </w:rPr>
            </w:pPr>
          </w:p>
        </w:tc>
      </w:tr>
      <w:tr w:rsidR="00F26FBF" w14:paraId="0A085603" w14:textId="77777777">
        <w:tc>
          <w:tcPr>
            <w:tcW w:w="0" w:type="auto"/>
          </w:tcPr>
          <w:p w14:paraId="58A529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34140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941A92E" w14:textId="77777777" w:rsidR="00EB7645" w:rsidRPr="00BE00C7" w:rsidRDefault="00000000" w:rsidP="00BE00C7">
            <w:pPr>
              <w:pStyle w:val="OutcomeDescription"/>
              <w:spacing w:before="120" w:after="120"/>
              <w:rPr>
                <w:rFonts w:cs="Arial"/>
                <w:lang w:eastAsia="en-NZ"/>
              </w:rPr>
            </w:pPr>
          </w:p>
        </w:tc>
        <w:tc>
          <w:tcPr>
            <w:tcW w:w="0" w:type="auto"/>
          </w:tcPr>
          <w:p w14:paraId="370407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9BDA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Hayman is implementing a quality and risk management programme. The quality and risk management systems include </w:t>
            </w:r>
            <w:r w:rsidRPr="00BE00C7">
              <w:rPr>
                <w:rFonts w:cs="Arial"/>
                <w:lang w:eastAsia="en-NZ"/>
              </w:rPr>
              <w:lastRenderedPageBreak/>
              <w:t>performance monitoring through internal audits and through the collection of clinical indicator data.</w:t>
            </w:r>
          </w:p>
          <w:p w14:paraId="661B08B1"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quality and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are added to meeting minutes and held in folders in the staffroom. Corrective actions are discussed at quality meetings to ensure any outstanding matters are addressed with sign off when completed. Benchmarking occurs on a national level against other Bupa facilities. The service has implemented improvement plans and include a project to create a positive workplace culture; the progress is still being monitored. Another project included the management of suprapubic catheters and the management and reduction of urinary tract infections (UTI). The service has been awarded a continuous improvement rating for the successful implementation and positive outcomes related to the project.</w:t>
            </w:r>
          </w:p>
          <w:p w14:paraId="362949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and family satisfaction surveys are managed by head office who rings and surveys family/whānau. An independent contractor is sent to survey residents using direct questioning and an electronic tablet. YPD residents interviewed confirm they participate in satisfaction surveys and confirm satisfaction with choices, decision making, access to technology, aids, equipment, and services. The last year and most recent March and June 2023 resident and family/whānau satisfaction surveys have been correlated and analysed at head office and indicate that residents have reported high levels of satisfaction with the service provided. Results have been communicated to residents in the six-weekly resident and family/whānau meetings, and monthly newsletter (sighted). </w:t>
            </w:r>
          </w:p>
          <w:p w14:paraId="68E6BD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w:t>
            </w:r>
            <w:r w:rsidRPr="00BE00C7">
              <w:rPr>
                <w:rFonts w:cs="Arial"/>
                <w:lang w:eastAsia="en-NZ"/>
              </w:rPr>
              <w:lastRenderedPageBreak/>
              <w:t xml:space="preserve">standards. New policies or changes to policy are communicated and staff sign as acknowledgement. </w:t>
            </w:r>
          </w:p>
          <w:p w14:paraId="76F025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service reviews the progress toward the goal at regular intervals. A health and safety team meets bimonthly. All have attended external health and safety training. Hazard identification forms and an up-to-date hazard register were reviewed (sighted). Health and safety policies are implemented and monitored by the health and safety committee. The noticeboards in the staffroom and nurses’ stations keep staff informed on health and safety issues. The service completes an annual ACC self-assessment internal audit. In the event of a staff accident or incident, a debrief process is documented on the accident/incident form. There were no serious work-related staff injuries. </w:t>
            </w:r>
          </w:p>
          <w:p w14:paraId="75E3D6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using RiskMan are completed for each incident/accident, with immediate action noted and any follow-up action(s) required, evidenced in twelve accident/incident forms reviewed (witnessed and unwitnessed falls, pressure injuries, challenging behaviours, bruises, and acute infections). Incident and accident data is collated monthly and analysed. The RiskMan system generates a report that goes to each operational team/governance team and also generates alerts depending on the risk level. Results are discussed in the quality and staff meetings and at handover. Each event involving a resident reflected a clinical assessment and a timely follow up by a registered nurse. Family/whānau are notified following incidents. Opportunities to minimise future risks are identified by the clinical manager and unit coordinators. </w:t>
            </w:r>
          </w:p>
          <w:p w14:paraId="40B99F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care home manager and clinical manager evidenced awareness of their requirement to notify relevant authorities in relation to essential notifications. There have been Section 31 notifications submitted for unexpected death (December 2021); three for suspected deep tissue injuries; one for stage III pressure injury; seven for unstageable pressure injuries; and one for RN shortages (August 2022). There have been three outbreaks since the previous audit which were appropriately notified. </w:t>
            </w:r>
          </w:p>
          <w:p w14:paraId="2C3A74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have completed cultural training to ensure the service can deliver high quality care for Māori.</w:t>
            </w:r>
          </w:p>
          <w:p w14:paraId="59835F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will transition to CHT’s established quality and risk management programme at Hayman. It is anticipated this will have minimal impact on staff and residents as all systems and policies currently in use relate to, and comply with, the Ngā Paerewa Health and Disability Service Standards 2021 and the service’s contracts with Te Whatu Ora- Counties Manukau. </w:t>
            </w:r>
          </w:p>
          <w:p w14:paraId="1FF4B674" w14:textId="77777777" w:rsidR="00EB7645" w:rsidRPr="00BE00C7" w:rsidRDefault="00000000" w:rsidP="00BE00C7">
            <w:pPr>
              <w:pStyle w:val="OutcomeDescription"/>
              <w:spacing w:before="120" w:after="120"/>
              <w:rPr>
                <w:rFonts w:cs="Arial"/>
                <w:lang w:eastAsia="en-NZ"/>
              </w:rPr>
            </w:pPr>
          </w:p>
        </w:tc>
      </w:tr>
      <w:tr w:rsidR="00F26FBF" w14:paraId="3FD4E440" w14:textId="77777777">
        <w:tc>
          <w:tcPr>
            <w:tcW w:w="0" w:type="auto"/>
          </w:tcPr>
          <w:p w14:paraId="7CD86A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58295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DB77AC1" w14:textId="77777777" w:rsidR="00EB7645" w:rsidRPr="00BE00C7" w:rsidRDefault="00000000" w:rsidP="00BE00C7">
            <w:pPr>
              <w:pStyle w:val="OutcomeDescription"/>
              <w:spacing w:before="120" w:after="120"/>
              <w:rPr>
                <w:rFonts w:cs="Arial"/>
                <w:lang w:eastAsia="en-NZ"/>
              </w:rPr>
            </w:pPr>
          </w:p>
        </w:tc>
        <w:tc>
          <w:tcPr>
            <w:tcW w:w="0" w:type="auto"/>
          </w:tcPr>
          <w:p w14:paraId="12ED2B1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99BC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rosters reviewed met contractual obligations related to staffing. The registered nurses, and a selection of caregivers hold current first aid certificates. There is a first aid trained staff member on duty 24/7. There is an RN on duty at all times and supported by medication competent caregivers. Interviews with staff confirmed that their workload is manageable, and that management is supportive. The number of caregivers allocated to each unit is sufficient to meet the care needs of the residents. Staff and residents are informed when there are changes to staffing levels, evidenced in staff interviews and resident meeting minutes. </w:t>
            </w:r>
          </w:p>
          <w:p w14:paraId="37DAF9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clinical manager, and unit coordinators are available Monday to Friday. On-call cover for all Bupa facilities in the region is covered by a six-week rotation of one care home and one clinical manager each week.</w:t>
            </w:r>
          </w:p>
          <w:p w14:paraId="66A537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essentials and clinical topics), which includes cultural awareness training. Staff have attended cultural safety training, Māori health and Tikanga, which included Te Tiriti O Waitangi and how this applies to everyday practice in April 2023. Training sessions around dementia, and behaviours of concern are held regularly. Training related to younger residents with disabilities are incorporated into all scheduled topics.</w:t>
            </w:r>
          </w:p>
          <w:p w14:paraId="6B3E8F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service supports and encourages caregivers to obtain a New Zealand Qualification Authority (NZQA) qualification. Fifty-four caregivers are employed. The Bupa orientation programme qualifies new caregivers at a level two NZQA. Of the 54 caregivers at Bupa Hayman, 45 have achieved a level 3 NZQA qualification or higher. Twenty-four of the caregivers work across the psychogeriatric (PG) unit and dementia unit at any times; 21 of whom have attained the PG and dementia specific standards according to the ARHSS clause D 17.11 and ARRC clause E4.5.f, and the remaining two are enrolled and in progress and are within the 18-month timeframe for completion. </w:t>
            </w:r>
          </w:p>
          <w:p w14:paraId="5A26F7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restraint, hand hygiene, moving and handling, and correct use of personal protective equipment. Additional RN specific competencies include subcutaneous fluids, syringe driver, and interRAI assessment competency. Six of thirteen registered nurses (including the clinical manager and unit coordinators) are all interRAI trained. All RNs are encouraged to attend the Bupa qualified staff forum each year and to commence and complete a professional development recognition programme (PDRP). External training opportunities for care staff include training through Te Whatu Ora – Counties Manukau, and hospice. A record of completion is maintained on an electronic register. </w:t>
            </w:r>
          </w:p>
          <w:p w14:paraId="23E0068A" w14:textId="77777777" w:rsidR="00EB7645" w:rsidRPr="00BE00C7" w:rsidRDefault="00000000" w:rsidP="00BE00C7">
            <w:pPr>
              <w:pStyle w:val="OutcomeDescription"/>
              <w:spacing w:before="120" w:after="120"/>
              <w:rPr>
                <w:rFonts w:cs="Arial"/>
                <w:lang w:eastAsia="en-NZ"/>
              </w:rPr>
            </w:pPr>
            <w:r w:rsidRPr="00BE00C7">
              <w:rPr>
                <w:rFonts w:cs="Arial"/>
                <w:lang w:eastAsia="en-NZ"/>
              </w:rPr>
              <w:t>Agency staff are used if necessary.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in regard to meeting specific competencies. Staff wellness is encouraged through participation in health and wellbeing activities of the ‘take five’ Bupa wellness programme. Staff welfare is promoted through provision of regular cultural themes and shared meals at staff meetings. Signage supporting the Employee Assistance Programme (EAP) were posted in visible staff locations. Facility meetings provide a forum to share quality health information.</w:t>
            </w:r>
          </w:p>
          <w:p w14:paraId="64678F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prospective purchaser’s representative (area manager) provided information, including the transition plan which shows there are no immediate plans to make any staff changes. They plan to provide all staff with education and training, continuing NZQA training through Careerforce, and implementing the CHT compulsory education plan following take over. </w:t>
            </w:r>
          </w:p>
          <w:p w14:paraId="74000536" w14:textId="77777777" w:rsidR="00EB7645" w:rsidRPr="00BE00C7" w:rsidRDefault="00000000" w:rsidP="00BE00C7">
            <w:pPr>
              <w:pStyle w:val="OutcomeDescription"/>
              <w:spacing w:before="120" w:after="120"/>
              <w:rPr>
                <w:rFonts w:cs="Arial"/>
                <w:lang w:eastAsia="en-NZ"/>
              </w:rPr>
            </w:pPr>
          </w:p>
        </w:tc>
      </w:tr>
      <w:tr w:rsidR="00F26FBF" w14:paraId="7CD3E916" w14:textId="77777777">
        <w:tc>
          <w:tcPr>
            <w:tcW w:w="0" w:type="auto"/>
          </w:tcPr>
          <w:p w14:paraId="654539F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CEE82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BAD8F1D" w14:textId="77777777" w:rsidR="00EB7645" w:rsidRPr="00BE00C7" w:rsidRDefault="00000000" w:rsidP="00BE00C7">
            <w:pPr>
              <w:pStyle w:val="OutcomeDescription"/>
              <w:spacing w:before="120" w:after="120"/>
              <w:rPr>
                <w:rFonts w:cs="Arial"/>
                <w:lang w:eastAsia="en-NZ"/>
              </w:rPr>
            </w:pPr>
          </w:p>
        </w:tc>
        <w:tc>
          <w:tcPr>
            <w:tcW w:w="0" w:type="auto"/>
          </w:tcPr>
          <w:p w14:paraId="0C582F0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E1174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Bupa recruitment office advertise for and screen potential staff, including collection of ethnicity data. Bupa has commenced the process of formally collecting ethnicity data on existing staff. Once they pass screening, suitable applicants are interviewed by the Bupa Hayman care home manager. Eleven staff files reviewed (four RN, including one clinical manager, four caregivers, one household manager, one activities coordinator, and one kitchen manager)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6EBD21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68AD60A1"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All staff who had been employed for over one year have an annual appraisal completed.</w:t>
            </w:r>
          </w:p>
          <w:p w14:paraId="5E60F8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to Māori. </w:t>
            </w:r>
          </w:p>
          <w:p w14:paraId="4933A5A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Volunteers are currently utilised where appropriate, and an orientation programme and policy for volunteers is in place. Information held about staff is kept secure and confidential. Following any staff incident/accident, evidence of debriefing and follow-up action taken are documented. Wellbeing support is provided to staff.</w:t>
            </w:r>
          </w:p>
          <w:p w14:paraId="5D67EC6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purchasers will transition to their established human resources processes, including recruitment, selection, orientation, staff training and development. </w:t>
            </w:r>
          </w:p>
          <w:p w14:paraId="76E65190" w14:textId="77777777" w:rsidR="00EB7645" w:rsidRPr="00BE00C7" w:rsidRDefault="00000000" w:rsidP="00BE00C7">
            <w:pPr>
              <w:pStyle w:val="OutcomeDescription"/>
              <w:spacing w:before="120" w:after="120"/>
              <w:rPr>
                <w:rFonts w:cs="Arial"/>
                <w:lang w:eastAsia="en-NZ"/>
              </w:rPr>
            </w:pPr>
          </w:p>
        </w:tc>
      </w:tr>
      <w:tr w:rsidR="00F26FBF" w14:paraId="572E1A29" w14:textId="77777777">
        <w:tc>
          <w:tcPr>
            <w:tcW w:w="0" w:type="auto"/>
          </w:tcPr>
          <w:p w14:paraId="68A1E0D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2.5: Information</w:t>
            </w:r>
          </w:p>
          <w:p w14:paraId="253C39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2678AD7" w14:textId="77777777" w:rsidR="00EB7645" w:rsidRPr="00BE00C7" w:rsidRDefault="00000000" w:rsidP="00BE00C7">
            <w:pPr>
              <w:pStyle w:val="OutcomeDescription"/>
              <w:spacing w:before="120" w:after="120"/>
              <w:rPr>
                <w:rFonts w:cs="Arial"/>
                <w:lang w:eastAsia="en-NZ"/>
              </w:rPr>
            </w:pPr>
          </w:p>
        </w:tc>
        <w:tc>
          <w:tcPr>
            <w:tcW w:w="0" w:type="auto"/>
          </w:tcPr>
          <w:p w14:paraId="29461F4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2A404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information is regularly backed-up using cloud-based technology and password protected. Plans are in place to implement the VCare electronic resident management system later in the year. There is a documented Bupa business continuity plan in case of information systems failure.</w:t>
            </w:r>
          </w:p>
          <w:p w14:paraId="29F0D6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1750D75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care home manager is the privacy officer and there is a policy to provide guidance on the request of health information. The service is not responsible for National Health Index registration.</w:t>
            </w:r>
          </w:p>
          <w:p w14:paraId="1362FA6E" w14:textId="77777777" w:rsidR="00EB7645" w:rsidRPr="00BE00C7" w:rsidRDefault="00000000" w:rsidP="00BE00C7">
            <w:pPr>
              <w:pStyle w:val="OutcomeDescription"/>
              <w:spacing w:before="120" w:after="120"/>
              <w:rPr>
                <w:rFonts w:cs="Arial"/>
                <w:lang w:eastAsia="en-NZ"/>
              </w:rPr>
            </w:pPr>
          </w:p>
        </w:tc>
      </w:tr>
      <w:tr w:rsidR="00F26FBF" w14:paraId="78A2AB3C" w14:textId="77777777">
        <w:tc>
          <w:tcPr>
            <w:tcW w:w="0" w:type="auto"/>
          </w:tcPr>
          <w:p w14:paraId="1EAE8CA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2957DD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AE225B4" w14:textId="77777777" w:rsidR="00EB7645" w:rsidRPr="00BE00C7" w:rsidRDefault="00000000" w:rsidP="00BE00C7">
            <w:pPr>
              <w:pStyle w:val="OutcomeDescription"/>
              <w:spacing w:before="120" w:after="120"/>
              <w:rPr>
                <w:rFonts w:cs="Arial"/>
                <w:lang w:eastAsia="en-NZ"/>
              </w:rPr>
            </w:pPr>
          </w:p>
        </w:tc>
        <w:tc>
          <w:tcPr>
            <w:tcW w:w="0" w:type="auto"/>
          </w:tcPr>
          <w:p w14:paraId="40CD2A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F3C8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policy for the management of inquiries and entry to service is in place. The admission pack contains all the information about entry to the service. Assessments and entry screening processes were documented and communicated to the EPOA and family/ whānau of </w:t>
            </w:r>
            <w:r w:rsidRPr="00BE00C7">
              <w:rPr>
                <w:rFonts w:cs="Arial"/>
                <w:lang w:eastAsia="en-NZ"/>
              </w:rPr>
              <w:lastRenderedPageBreak/>
              <w:t>choice, where appropriate, local communities, and referral agencies. Completed Needs Assessment and Service Coordination (NASC) authorisation forms for psychogeriatric, young people with disabilities (YPD), rest home, dementia, and hospital level of care residents were sighted. Residents in the secure dementia, and psychogeriatric units were admitted with consent from EPOAs, and documents sighted verified that EPOAs consented referrals to specialist services.</w:t>
            </w:r>
          </w:p>
          <w:p w14:paraId="386BDF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timeframes and signed on entry. Family/whānau were updated where there was a delay in entry to the service. This was observed on the days of the audit and in the inquiry records sampled. Residents and family/whānau interviewed confirmed that they were consulted and received ongoing sufficient information regarding the services provided.</w:t>
            </w:r>
          </w:p>
          <w:p w14:paraId="1D5CC4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reported that all potential residents who are declined entry are recorded. When an entry is declined, relatives are informed of the reason for this and made aware of other options or alternative services available. The resident and family/whānau is referred to the referral agency to ensure the person will be admitted to the appropriate service provider.</w:t>
            </w:r>
          </w:p>
          <w:p w14:paraId="0AE065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including specific data for entry and decline rates for Māori, is implemented.</w:t>
            </w:r>
          </w:p>
          <w:p w14:paraId="5D951D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existing engagements with local Māori communities, health practitioners, traditional Māori healers, and organisations to support Māori individuals and whānau. The care home manager stated that Māori health practitioners and traditional Māori healers for residents and family/whānau who may benefit from these interventions, are consulted when required. </w:t>
            </w:r>
          </w:p>
          <w:p w14:paraId="3C8FEDCD" w14:textId="77777777" w:rsidR="00EB7645" w:rsidRPr="00BE00C7" w:rsidRDefault="00000000" w:rsidP="00BE00C7">
            <w:pPr>
              <w:pStyle w:val="OutcomeDescription"/>
              <w:spacing w:before="120" w:after="120"/>
              <w:rPr>
                <w:rFonts w:cs="Arial"/>
                <w:lang w:eastAsia="en-NZ"/>
              </w:rPr>
            </w:pPr>
          </w:p>
        </w:tc>
      </w:tr>
      <w:tr w:rsidR="00F26FBF" w14:paraId="148623BB" w14:textId="77777777">
        <w:tc>
          <w:tcPr>
            <w:tcW w:w="0" w:type="auto"/>
          </w:tcPr>
          <w:p w14:paraId="13900DD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870B4E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6D7A3D5" w14:textId="77777777" w:rsidR="00EB7645" w:rsidRPr="00BE00C7" w:rsidRDefault="00000000" w:rsidP="00BE00C7">
            <w:pPr>
              <w:pStyle w:val="OutcomeDescription"/>
              <w:spacing w:before="120" w:after="120"/>
              <w:rPr>
                <w:rFonts w:cs="Arial"/>
                <w:lang w:eastAsia="en-NZ"/>
              </w:rPr>
            </w:pPr>
          </w:p>
        </w:tc>
        <w:tc>
          <w:tcPr>
            <w:tcW w:w="0" w:type="auto"/>
          </w:tcPr>
          <w:p w14:paraId="09B4ED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095B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total of ten files sampled identified that initial assessments and initial care plans were resident centred, and these were completed in a timely manner. The files reviewed included (two psychogeriatric, two rest home, three dementia and three hospital level of care, which included a YPD). InterRAI assessments were completed within 21 </w:t>
            </w:r>
            <w:r w:rsidRPr="00BE00C7">
              <w:rPr>
                <w:rFonts w:cs="Arial"/>
                <w:lang w:eastAsia="en-NZ"/>
              </w:rPr>
              <w:lastRenderedPageBreak/>
              <w:t>days of admission and all outcome scores were identified on the long-term care plans. Nutritional requirements forms were updated following interRAI assessments. The service uses assessment tools that include consideration of residents’ lived experiences, cultural needs, values, and beliefs. Nursing care is undertaken by appropriately trained and skilled staff, including the nursing team and care staff. Resident, family/whānau and EPOA, mental health services, psychogeriatrician and GP involvement is encouraged in the plan of care.</w:t>
            </w:r>
          </w:p>
          <w:p w14:paraId="6B02DA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has completed the residents’ medical admission within the required timeframes and conducts medical reviews promptly. Completed medical records were sighted in all files sampled. The GP was complimentary of the standard of nursing, communication, and resident centred care. The psychogeriatrician and mental health services are readily available as required. Residents’ files sampled identified service integration with other members of the health team. Multidisciplinary team (MDT) meetings were completed six-monthly. There is a contracted podiatrist who visits the service six-weekly, and a contracted physiotherapist who attends for twenty hours per week. Notations were clearly written, informative and relevant.</w:t>
            </w:r>
          </w:p>
          <w:p w14:paraId="677C81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(CM) reported that sufficient and appropriate information is shared between the staff at each handover, which was observed during the audit. The handover is comprehensive and completed prior to each shift. Interviewed staff stated that they were updated daily regarding each resident’s condition. Interventions were resident focussed and provide detail to guide staff in the management of each resident`s care.</w:t>
            </w:r>
          </w:p>
          <w:p w14:paraId="2E6EBC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Any incident involving a resident reflected a clinical assessment and a timely follow up by registered nurses. Family/whānau were notified following incidents. Opportunities to minimise future risks were identified by the CM in consultation with the registered nurses, and care staff. </w:t>
            </w:r>
          </w:p>
          <w:p w14:paraId="6930A4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seven active wounds at the time of the audit, including two hospital acquired unstageable pressure injuries, and a facility acquired suspected deep tissue injury (SDTI). Wound management </w:t>
            </w:r>
            <w:r w:rsidRPr="00BE00C7">
              <w:rPr>
                <w:rFonts w:cs="Arial"/>
                <w:lang w:eastAsia="en-NZ"/>
              </w:rPr>
              <w:lastRenderedPageBreak/>
              <w:t>plans were implemented with regular evaluation completed and wound care nurse specialists were consulted when required.</w:t>
            </w:r>
          </w:p>
          <w:p w14:paraId="0A34C58A"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progress was different from expected, the service, in collaboration with the resident or EPOA and family/whānau responded by initiating changes to the care plan. A range of equipment and resources were available, suited to the level of care provided and in accordance with the residents’ needs. The EPOA and family/whānau and residents interviewed confirmed their involvement in the evaluation of progress and any resulting changes.</w:t>
            </w:r>
          </w:p>
          <w:p w14:paraId="258AE8A5"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resident’s care was evaluated on each shift and reported in the progress notes by the care staff. Short-term care plans were developed for short-term problems or in the event of any significant change, with appropriate interventions formulated to guide staff. The short-term care plans were reviewed weekly or earlier if clinically indicated by the degree of risk noted during the assessment process. These were added to the long-term care plan if the condition did not resolve in three weeks. Any change in condition is reported to the unit coordinators, and care home manager and this was evidenced in the records sampled. Interviews verified residents and EPOA and family/whānau were included and informed of all changes.</w:t>
            </w:r>
          </w:p>
          <w:p w14:paraId="5D0BCD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following monitoring charts were being consistently completed as per Bupa policy requirements to assess and monitor residents: fluid balance charts; turn charts; bowel charts; neurological observations forms; blood glucose; and restraint monitoring charts.</w:t>
            </w:r>
          </w:p>
          <w:p w14:paraId="3E77C9D1" w14:textId="48C224C2" w:rsidR="00EB7645" w:rsidRPr="00BE00C7" w:rsidRDefault="00000000" w:rsidP="0027112D">
            <w:pPr>
              <w:pStyle w:val="OutcomeDescription"/>
              <w:spacing w:before="120" w:after="120"/>
              <w:rPr>
                <w:rFonts w:cs="Arial"/>
                <w:lang w:eastAsia="en-NZ"/>
              </w:rPr>
            </w:pPr>
            <w:r w:rsidRPr="00BE00C7">
              <w:rPr>
                <w:rFonts w:cs="Arial"/>
                <w:lang w:eastAsia="en-NZ"/>
              </w:rPr>
              <w:t xml:space="preserve">The Māori health and wellbeing assessments support kaupapa Māori perspectives to permeate the assessment process. The Māori health care plan in place reflects the partnership and support of residents, whānau, and the extended whānau as applicable to identify their own pae ora outcomes in their care and support wellbeing. Tikanga principles were included within the Māori health care plan. Any barriers that prevent tāngata whaikaha and whānau from independently accessing information or services were identified and strategies to manage these documented. The staff confirmed they understood the process to support residents and whānau. There were residents who identify as Māori at the time of the audit. The cultural safety assessment process validates Māori healing methodologies, such as karakia, rongoā, and spiritual assistance. Cultural </w:t>
            </w:r>
            <w:r w:rsidRPr="00BE00C7">
              <w:rPr>
                <w:rFonts w:cs="Arial"/>
                <w:lang w:eastAsia="en-NZ"/>
              </w:rPr>
              <w:lastRenderedPageBreak/>
              <w:t>assessments were completed by the nursing team who have completed cultural safety training in consultation with the residents, family/whānau and EPOA.</w:t>
            </w:r>
          </w:p>
        </w:tc>
      </w:tr>
      <w:tr w:rsidR="00F26FBF" w14:paraId="5E808528" w14:textId="77777777">
        <w:tc>
          <w:tcPr>
            <w:tcW w:w="0" w:type="auto"/>
          </w:tcPr>
          <w:p w14:paraId="7915776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79191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3692CC39" w14:textId="77777777" w:rsidR="00EB7645" w:rsidRPr="00BE00C7" w:rsidRDefault="00000000" w:rsidP="00BE00C7">
            <w:pPr>
              <w:pStyle w:val="OutcomeDescription"/>
              <w:spacing w:before="120" w:after="120"/>
              <w:rPr>
                <w:rFonts w:cs="Arial"/>
                <w:lang w:eastAsia="en-NZ"/>
              </w:rPr>
            </w:pPr>
          </w:p>
        </w:tc>
        <w:tc>
          <w:tcPr>
            <w:tcW w:w="0" w:type="auto"/>
          </w:tcPr>
          <w:p w14:paraId="38B178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63FAA2"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are conducted by one activities coordinator, two diversional therapists and one activities assistant to provide activities over seven days in each area. The activities were based on assessment and reflected the residents’ social, cultural, spiritual, physical, cognitive needs/abilities, past hobbies, interests, and enjoyments. These were completed within two weeks of admission in consultation with the family and residents. Each resident had a map of life developed detailing the past and present activities, career, and family. The service has a contracted physiotherapist who assists with the exercises, mobility, and walking programme. A monthly planner is developed, and each resident is given a copy of the planner. Daily activities were noted on noticeboards to remind residents and staff. There is a resident advocate to take forward any resident issues at the facility.</w:t>
            </w:r>
          </w:p>
          <w:p w14:paraId="1592C0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programme is formulated by the activities team in consultation with the management team, registered nurses, EPOAs, residents, and care staff. The activities were varied and appropriate for residents assessed as requiring dementia, psychogeriatric, rest home, and hospital level of care. Activities of choice for YPD residents were developed as required and reflect recreation, leisure, cultural and community events consistent with their interests and preferences. The care plans reviewed described management strategies that can be used to minimise, distract, or de-escalate behaviours that challenge over a 24-hour period. Activity progress notes and activity participating register were completed daily. The residents were observed participating in a variety of activities on the audit days that were appropriate to their group settings. The planned activities and community connections were suitable for the residents. The activities coordinator interviewed reported that activities were provided separately in each area. Activities sighted on the respective planners included group exercises; tai chi; massage; multicultural cooking; waiata; floor games; table games; sensory; outdoor walks; daffodil day; van outings; and music therapy. The service promotes access to EPOA and family/whānau and friends. There were regular </w:t>
            </w:r>
            <w:r w:rsidRPr="00BE00C7">
              <w:rPr>
                <w:rFonts w:cs="Arial"/>
                <w:lang w:eastAsia="en-NZ"/>
              </w:rPr>
              <w:lastRenderedPageBreak/>
              <w:t xml:space="preserve">outings and drives, at least once a week for all residents (as appropriate). Resident meetings (bimonthly) provide a forum for feedback relating to activities. </w:t>
            </w:r>
          </w:p>
          <w:p w14:paraId="39F7F8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family/whānau to participate in te ao Māori is facilitated through community engagements with community traditional leaders, a visiting Māori cultural group, and by celebrating religious, cultural festivals and Māori language week.</w:t>
            </w:r>
          </w:p>
          <w:p w14:paraId="78FAE1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EPOA and whānau/family and residents reported overall satisfaction with the level and variety of activities provided. </w:t>
            </w:r>
          </w:p>
          <w:p w14:paraId="4BB449D0" w14:textId="77777777" w:rsidR="00EB7645" w:rsidRPr="00BE00C7" w:rsidRDefault="00000000" w:rsidP="00BE00C7">
            <w:pPr>
              <w:pStyle w:val="OutcomeDescription"/>
              <w:spacing w:before="120" w:after="120"/>
              <w:rPr>
                <w:rFonts w:cs="Arial"/>
                <w:lang w:eastAsia="en-NZ"/>
              </w:rPr>
            </w:pPr>
          </w:p>
        </w:tc>
      </w:tr>
      <w:tr w:rsidR="00F26FBF" w14:paraId="38DC5D86" w14:textId="77777777">
        <w:tc>
          <w:tcPr>
            <w:tcW w:w="0" w:type="auto"/>
          </w:tcPr>
          <w:p w14:paraId="03812C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0D874E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AD7796C" w14:textId="77777777" w:rsidR="00EB7645" w:rsidRPr="00BE00C7" w:rsidRDefault="00000000" w:rsidP="00BE00C7">
            <w:pPr>
              <w:pStyle w:val="OutcomeDescription"/>
              <w:spacing w:before="120" w:after="120"/>
              <w:rPr>
                <w:rFonts w:cs="Arial"/>
                <w:lang w:eastAsia="en-NZ"/>
              </w:rPr>
            </w:pPr>
          </w:p>
        </w:tc>
        <w:tc>
          <w:tcPr>
            <w:tcW w:w="0" w:type="auto"/>
          </w:tcPr>
          <w:p w14:paraId="5759D9F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0B6E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dispensing, administration, review, and reconciliation. Administration records were maintained. Medications were supplied to the facility from a contracted pharmacy. The GP has completed three-monthly medication reviews. Anti-psychotic medication management plans were developed and reviewed as required by the GP and psychogeriatrician. A total of 20 medicine charts were reviewed and evidenced that indications for use were noted for pro re nata (PRN) medications, including over-the-counter medications and supplements on the medication charts. Allergies were indicated, and all photos uploaded on the electronic medication management system were current. Eye drops were dated on opening. The effectiveness of PRN medications was consistently documented in the electronic medication management system and progress notes.</w:t>
            </w:r>
          </w:p>
          <w:p w14:paraId="2AAAB1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reconciliation was conducted by the nursing team when a resident is transferred back to the service from the hospital or any external appointments. The nursing team checked medicines against the prescription, and these were updated in the electronic medication management system. Medication competencies were current, and these were completed in the last 12 months for all staff administering medicines. Medication incidents were completed in the event of a drug error and corrective actions were acted upon. There were no </w:t>
            </w:r>
            <w:r w:rsidRPr="00BE00C7">
              <w:rPr>
                <w:rFonts w:cs="Arial"/>
                <w:lang w:eastAsia="en-NZ"/>
              </w:rPr>
              <w:lastRenderedPageBreak/>
              <w:t>expired or unwanted medicines. Expired medicines were being returned to the pharmacy promptly. Monitoring of medicine fridges and medication rooms temperatures was being conducted regularly and deviations from normal were reported and attended to promptly. Records were sighted.</w:t>
            </w:r>
          </w:p>
          <w:p w14:paraId="7168083C"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observed to be administered safely and correctly. Medications were stored safely and securely in the trolley, locked treatment rooms and cupboards. Young persons with disabilities are supported to self-administrate their medications; however, there were no residents self-administering medications on the day of the audit. There was a self-medication policy in place when required. There were no standing orders in use.</w:t>
            </w:r>
          </w:p>
          <w:p w14:paraId="3F10E1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clearly outlines that all residents and their family/whānau, are supported to understand their medications. The GP reported that when requested by Māori residents or family/whānau, appropriate support for Māori treatment and advice will be provided. This was reiterated in interviews with the CM, registered nurses, family/ whānau, and residents who identify as Māori.</w:t>
            </w:r>
          </w:p>
          <w:p w14:paraId="05A227C5" w14:textId="77777777" w:rsidR="00EB7645" w:rsidRPr="00BE00C7" w:rsidRDefault="00000000" w:rsidP="00BE00C7">
            <w:pPr>
              <w:pStyle w:val="OutcomeDescription"/>
              <w:spacing w:before="120" w:after="120"/>
              <w:rPr>
                <w:rFonts w:cs="Arial"/>
                <w:lang w:eastAsia="en-NZ"/>
              </w:rPr>
            </w:pPr>
          </w:p>
        </w:tc>
      </w:tr>
      <w:tr w:rsidR="00F26FBF" w14:paraId="79FF6478" w14:textId="77777777">
        <w:tc>
          <w:tcPr>
            <w:tcW w:w="0" w:type="auto"/>
          </w:tcPr>
          <w:p w14:paraId="78FCB6E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12023C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AC58652" w14:textId="77777777" w:rsidR="00EB7645" w:rsidRPr="00BE00C7" w:rsidRDefault="00000000" w:rsidP="00BE00C7">
            <w:pPr>
              <w:pStyle w:val="OutcomeDescription"/>
              <w:spacing w:before="120" w:after="120"/>
              <w:rPr>
                <w:rFonts w:cs="Arial"/>
                <w:lang w:eastAsia="en-NZ"/>
              </w:rPr>
            </w:pPr>
          </w:p>
        </w:tc>
        <w:tc>
          <w:tcPr>
            <w:tcW w:w="0" w:type="auto"/>
          </w:tcPr>
          <w:p w14:paraId="06BEF75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22BE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The kitchen manager reported that all food and baking is prepared and cooked on site. Food is prepared in line with recognised nutritional guidelines for older people. The verified food control plan expires 22 September 2023. The menu was reviewed by a registered dietitian on 25 March 2023. Kitchen staff have current food handling certificates.</w:t>
            </w:r>
          </w:p>
          <w:p w14:paraId="3AE9D008" w14:textId="77777777" w:rsidR="00EB7645" w:rsidRPr="00BE00C7" w:rsidRDefault="00000000"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The residents have a nutrition profile developed on admission which identifies dietary requirements, likes, and dislikes. All alternatives are catered for as required. The residents’ weights are monitored regularly, and supplements are provided to residents with identified weight loss issues. Snacks and drinks are available for residents throughout the day and night when required.</w:t>
            </w:r>
          </w:p>
          <w:p w14:paraId="36DE85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kitchen and pantry were observed to be clean, tidy, and well-stocked. Regular cleaning is undertaken, and all services comply with current legislation and guidelines. Labels and dates were on all containers. Thermometer calibrations were completed every three months. Records of temperature monitoring of food, chiller, fridges, and freezers are maintained. All food is delivered to the respective wings in scan boxes. All decanted food had records of use by dates recorded on the containers and no expired items were sighted. Family/whānau and residents interviewed indicated satisfaction with the food service. </w:t>
            </w:r>
          </w:p>
          <w:p w14:paraId="11B505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This includes menu options that are culturally specific to te ao Māori, including ‘boil ups,’ hāngi, Māori bread, taro, and mussel fritters, and these are offered to residents who identify as Māori when required. A continuous improvement rating is awarded for the menu development.</w:t>
            </w:r>
          </w:p>
          <w:p w14:paraId="689367BB" w14:textId="77777777" w:rsidR="00EB7645" w:rsidRPr="00BE00C7" w:rsidRDefault="00000000" w:rsidP="00BE00C7">
            <w:pPr>
              <w:pStyle w:val="OutcomeDescription"/>
              <w:spacing w:before="120" w:after="120"/>
              <w:rPr>
                <w:rFonts w:cs="Arial"/>
                <w:lang w:eastAsia="en-NZ"/>
              </w:rPr>
            </w:pPr>
          </w:p>
        </w:tc>
      </w:tr>
      <w:tr w:rsidR="00F26FBF" w14:paraId="0F1E718B" w14:textId="77777777">
        <w:tc>
          <w:tcPr>
            <w:tcW w:w="0" w:type="auto"/>
          </w:tcPr>
          <w:p w14:paraId="55BE53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18C50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F08B6E2" w14:textId="77777777" w:rsidR="00EB7645" w:rsidRPr="00BE00C7" w:rsidRDefault="00000000" w:rsidP="00BE00C7">
            <w:pPr>
              <w:pStyle w:val="OutcomeDescription"/>
              <w:spacing w:before="120" w:after="120"/>
              <w:rPr>
                <w:rFonts w:cs="Arial"/>
                <w:lang w:eastAsia="en-NZ"/>
              </w:rPr>
            </w:pPr>
          </w:p>
        </w:tc>
        <w:tc>
          <w:tcPr>
            <w:tcW w:w="0" w:type="auto"/>
          </w:tcPr>
          <w:p w14:paraId="0C5CFDC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8197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exit plan and transfer from services. Discharges are overseen by the clinical team who manage the process until exit. All this is conducted in consultation with the resident, family/whānau, and other external agencies. Risks are identified and managed as required. </w:t>
            </w:r>
          </w:p>
          <w:p w14:paraId="148C0D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discharge or transition plan is developed in conjunction with the residents and family/whānau (where appropriate) and documented on the residents’ file. Referrals to other allied health providers were completed with the safety of the resident identified. </w:t>
            </w:r>
          </w:p>
          <w:p w14:paraId="5BFD7A3B" w14:textId="77777777" w:rsidR="00EB7645" w:rsidRPr="00BE00C7" w:rsidRDefault="00000000" w:rsidP="00BE00C7">
            <w:pPr>
              <w:pStyle w:val="OutcomeDescription"/>
              <w:spacing w:before="120" w:after="120"/>
              <w:rPr>
                <w:rFonts w:cs="Arial"/>
                <w:lang w:eastAsia="en-NZ"/>
              </w:rPr>
            </w:pPr>
            <w:r w:rsidRPr="00BE00C7">
              <w:rPr>
                <w:rFonts w:cs="Arial"/>
                <w:lang w:eastAsia="en-NZ"/>
              </w:rPr>
              <w:t>Evidence of residents who had been referred to other specialist services (eg, speech and language therapists, gerontology nurse specialists, and physiotherapists), were sighted in the files reviewed. Residents and family/whānau are involved in all exits or discharges to and from the service and there was sufficient evidence in the residents’ records to confirm this.</w:t>
            </w:r>
          </w:p>
          <w:p w14:paraId="26470F30" w14:textId="77777777" w:rsidR="00EB7645" w:rsidRPr="00BE00C7" w:rsidRDefault="00000000" w:rsidP="00BE00C7">
            <w:pPr>
              <w:pStyle w:val="OutcomeDescription"/>
              <w:spacing w:before="120" w:after="120"/>
              <w:rPr>
                <w:rFonts w:cs="Arial"/>
                <w:lang w:eastAsia="en-NZ"/>
              </w:rPr>
            </w:pPr>
          </w:p>
        </w:tc>
      </w:tr>
      <w:tr w:rsidR="00F26FBF" w14:paraId="574A2ACB" w14:textId="77777777">
        <w:tc>
          <w:tcPr>
            <w:tcW w:w="0" w:type="auto"/>
          </w:tcPr>
          <w:p w14:paraId="1DF691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1736CC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C44E885" w14:textId="77777777" w:rsidR="00EB7645" w:rsidRPr="00BE00C7" w:rsidRDefault="00000000" w:rsidP="00BE00C7">
            <w:pPr>
              <w:pStyle w:val="OutcomeDescription"/>
              <w:spacing w:before="120" w:after="120"/>
              <w:rPr>
                <w:rFonts w:cs="Arial"/>
                <w:lang w:eastAsia="en-NZ"/>
              </w:rPr>
            </w:pPr>
          </w:p>
        </w:tc>
        <w:tc>
          <w:tcPr>
            <w:tcW w:w="0" w:type="auto"/>
          </w:tcPr>
          <w:p w14:paraId="6A98F2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AC92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that expires on 16 March 2024. The physical environment supports the independence of the residents. Corridors have safety rails and promote safe mobility with the use of mobility aids. Residents were observed moving freely in their respective wings with mobility aids. There are comfortable looking lounges for communal gatherings and activities at the facility. Quiet spaces for residents and their family/whānau to utilise are available inside and outside in courtyard seating areas.</w:t>
            </w:r>
          </w:p>
          <w:p w14:paraId="5F8272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planned maintenance schedule includes electrical testing and tagging of electrical equipment, resident equipment checks, and calibrations of the weighing scales and clinical equipment. The scales were checked annually. Hot water temperatures were monitored weekly, and the reviewed records were within the recommended ranges. Reactive maintenance is carried out by the maintenance officer and certified tradespeople where required. The service employs a maintenance person who works four days per week and a contracted gardener. The environmental temperature is monitored and there were implemented processes to manage significant temperature changes.</w:t>
            </w:r>
          </w:p>
          <w:p w14:paraId="2A7F9D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divided into five different wings: Kowhai and Pohutukawa (56 dual purpose beds); psychogeriatric (15 beds); ladies’ dementia– Ataahua Wahine (18 beds); and men’s dementia – Tamatoa (21 beds). All rooms are single occupancy. </w:t>
            </w:r>
          </w:p>
          <w:p w14:paraId="7CC27D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communal toilets and shower facilities have a system that indicates if it is engaged or vacant. All the washing areas have free-flowing soap and paper towels in the toilet areas. </w:t>
            </w:r>
          </w:p>
          <w:p w14:paraId="4C535C8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areas are easily accessible to the residents and meet the mobility and equipment needs of people receiving services. The furnishings and seating are appropriate for the consumer group. Residents interviewed reported they were able to move around the facility and staff assisted them when required. Activities take place in the large Pacific lounge, dementia, and psychogeriatric wings, respectively.</w:t>
            </w:r>
          </w:p>
          <w:p w14:paraId="35115F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rooms are personalised according to the residents’ preferences. Resident rooms, showers, and toilets are of a suitable size to accommodate mobility equipment. All rooms have external </w:t>
            </w:r>
            <w:r w:rsidRPr="00BE00C7">
              <w:rPr>
                <w:rFonts w:cs="Arial"/>
                <w:lang w:eastAsia="en-NZ"/>
              </w:rPr>
              <w:lastRenderedPageBreak/>
              <w:t>windows to provide natural light and have appropriate ventilation and heating.</w:t>
            </w:r>
          </w:p>
          <w:p w14:paraId="769968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grounds and external areas were well maintained. External areas are independently accessible to residents. All outdoor areas have seating and shade. There is safe access to all communal areas. The dementia and psychogeriatric areas were secure.</w:t>
            </w:r>
          </w:p>
          <w:p w14:paraId="765198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home manager reported that when there is a planned development for new buildings, there shall be consultation and co-design of the environments, to ensure that they reflect the aspirations and identity of Māori. The prospective buyer stated that there are no immediate planned changes for the existing building structure.</w:t>
            </w:r>
          </w:p>
          <w:p w14:paraId="335176DF" w14:textId="77777777" w:rsidR="00EB7645" w:rsidRPr="00BE00C7" w:rsidRDefault="00000000" w:rsidP="00BE00C7">
            <w:pPr>
              <w:pStyle w:val="OutcomeDescription"/>
              <w:spacing w:before="120" w:after="120"/>
              <w:rPr>
                <w:rFonts w:cs="Arial"/>
                <w:lang w:eastAsia="en-NZ"/>
              </w:rPr>
            </w:pPr>
          </w:p>
        </w:tc>
      </w:tr>
      <w:tr w:rsidR="00F26FBF" w14:paraId="06EC967E" w14:textId="77777777">
        <w:tc>
          <w:tcPr>
            <w:tcW w:w="0" w:type="auto"/>
          </w:tcPr>
          <w:p w14:paraId="5358892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692B4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5216F5A" w14:textId="77777777" w:rsidR="00EB7645" w:rsidRPr="00BE00C7" w:rsidRDefault="00000000" w:rsidP="00BE00C7">
            <w:pPr>
              <w:pStyle w:val="OutcomeDescription"/>
              <w:spacing w:before="120" w:after="120"/>
              <w:rPr>
                <w:rFonts w:cs="Arial"/>
                <w:lang w:eastAsia="en-NZ"/>
              </w:rPr>
            </w:pPr>
          </w:p>
        </w:tc>
        <w:tc>
          <w:tcPr>
            <w:tcW w:w="0" w:type="auto"/>
          </w:tcPr>
          <w:p w14:paraId="2EB9A5C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31A04E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displayed and easily accessible by staff. Civil defence planning guides direct the facility in their preparation for disasters and describe the procedures to be followed in the event of a fire or other emergency. A fire evacuation plan in place was approved by the New Zealand Fire Service and was current. The services emergency plan considers residents disabilities and mobility requirements in an emergency. A trial evacuation drill was performed on 31 July 2023. The drills are conducted every six-months, and these are added to the annual training programme. The staff orientation programme includes fire and security training.</w:t>
            </w:r>
          </w:p>
          <w:p w14:paraId="383B1F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adequate fire exit doors, and the main car park area is the designated assembly points. All required fire equipment is checked within the required timeframes by an external contractor. A civil defence plan was in place. There were adequate supplies in the event of a civil defence emergency, including food, water, candles, torches, continent products, and a gas BBQ to meet the requirements for 110 residents, including rostered staff. There is no generator on site; however, one can be hired if required. Emergency lighting is available and is regularly tested. The registered nurses, enrolled nurse, and a selection of caregivers hold current first aid certificates. There is a first aid trained staff member on duty 24/7. Staff interviewed confirmed their awareness of the emergency procedures.</w:t>
            </w:r>
          </w:p>
          <w:p w14:paraId="4F43E9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has a working call bell system in place that is used by the residents, family/whānau, and staff members to summon assistance. All residents have access to a call bell, and these are checked monthly by the maintenance officer. Call bell audits were completed as per the audit schedule. Residents and family/whānau confirmed that staff respond to calls promptly.</w:t>
            </w:r>
          </w:p>
          <w:p w14:paraId="7B53C618"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Doors are locked at predetermined times in the evenings. Entry to the secure dementia and specialised dementia units are by keypad only. Family/whānau and residents know the process of alerting staff when in need of access to the facility after hours.</w:t>
            </w:r>
          </w:p>
          <w:p w14:paraId="57E373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service. Visitors and contractors are required to sign in and out of visitors’ registers and wear masks within the facility at all times.</w:t>
            </w:r>
          </w:p>
          <w:p w14:paraId="4BD35EE7" w14:textId="77777777" w:rsidR="00EB7645" w:rsidRPr="00BE00C7" w:rsidRDefault="00000000" w:rsidP="00BE00C7">
            <w:pPr>
              <w:pStyle w:val="OutcomeDescription"/>
              <w:spacing w:before="120" w:after="120"/>
              <w:rPr>
                <w:rFonts w:cs="Arial"/>
                <w:lang w:eastAsia="en-NZ"/>
              </w:rPr>
            </w:pPr>
          </w:p>
        </w:tc>
      </w:tr>
      <w:tr w:rsidR="00F26FBF" w14:paraId="4C302B8D" w14:textId="77777777">
        <w:tc>
          <w:tcPr>
            <w:tcW w:w="0" w:type="auto"/>
          </w:tcPr>
          <w:p w14:paraId="3D5619B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2B2484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3077CB9" w14:textId="77777777" w:rsidR="00EB7645" w:rsidRPr="00BE00C7" w:rsidRDefault="00000000" w:rsidP="00BE00C7">
            <w:pPr>
              <w:pStyle w:val="OutcomeDescription"/>
              <w:spacing w:before="120" w:after="120"/>
              <w:rPr>
                <w:rFonts w:cs="Arial"/>
                <w:lang w:eastAsia="en-NZ"/>
              </w:rPr>
            </w:pPr>
          </w:p>
        </w:tc>
        <w:tc>
          <w:tcPr>
            <w:tcW w:w="0" w:type="auto"/>
          </w:tcPr>
          <w:p w14:paraId="41488D4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7611F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undertakes the role of infection control coordinator to oversee infection control and prevention across the service. The job description outlines the responsibility of the role. The organisational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Board level. Documentation review evidenced recent outbreaks were escalated to the executive team within 24 hours. Bupa has monthly and sometimes weekly infection control teleconferences for information, education, discussion, and Covid-19 updates, should matters arise in between scheduled meeting times. Infection rates are presented and discussed at quality and staff meetings. Infection prevention and control is part of the strategic and quality plans. </w:t>
            </w:r>
          </w:p>
          <w:p w14:paraId="040941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Te Whatu Ora – Counties Manukau, in addition to expertise at Bupa head office. </w:t>
            </w:r>
          </w:p>
          <w:p w14:paraId="721776C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Visitors are asked not to visit if unwell. Visitors and contractors and all staff are still required to wear masks. There are hand sanitisers strategically placed around the facility. </w:t>
            </w:r>
          </w:p>
          <w:p w14:paraId="093499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prospective purchaser will transition to the established CHT infection control programme.</w:t>
            </w:r>
          </w:p>
          <w:p w14:paraId="41E01270" w14:textId="77777777" w:rsidR="00EB7645" w:rsidRPr="00BE00C7" w:rsidRDefault="00000000" w:rsidP="00BE00C7">
            <w:pPr>
              <w:pStyle w:val="OutcomeDescription"/>
              <w:spacing w:before="120" w:after="120"/>
              <w:rPr>
                <w:rFonts w:cs="Arial"/>
                <w:lang w:eastAsia="en-NZ"/>
              </w:rPr>
            </w:pPr>
          </w:p>
        </w:tc>
      </w:tr>
      <w:tr w:rsidR="00F26FBF" w14:paraId="059A94FD" w14:textId="77777777">
        <w:tc>
          <w:tcPr>
            <w:tcW w:w="0" w:type="auto"/>
          </w:tcPr>
          <w:p w14:paraId="6F03AA6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AACCD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24C7F9A" w14:textId="77777777" w:rsidR="00EB7645" w:rsidRPr="00BE00C7" w:rsidRDefault="00000000" w:rsidP="00BE00C7">
            <w:pPr>
              <w:pStyle w:val="OutcomeDescription"/>
              <w:spacing w:before="120" w:after="120"/>
              <w:rPr>
                <w:rFonts w:cs="Arial"/>
                <w:lang w:eastAsia="en-NZ"/>
              </w:rPr>
            </w:pPr>
          </w:p>
        </w:tc>
        <w:tc>
          <w:tcPr>
            <w:tcW w:w="0" w:type="auto"/>
          </w:tcPr>
          <w:p w14:paraId="5BC80A3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3BCC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infection control coordinator is the clinical manager and supported by the Bupa infection control lead. Te Whatu Ora- Counties Manukau, and the Bupa infection control lead provide guidance on pandemic management. The infection control coordinator is supported by the National Infection Control Coordinator who leads monthly meetings. The service has a Covid-19, outbreak, and pandemic response plan. </w:t>
            </w:r>
          </w:p>
          <w:p w14:paraId="2510B9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has completed courses in the basics of infection control, online study, and other training through Te Whatu Ora - Counties Manukau. There is good external support from the GP, laboratory, clinical support improvement team and the Bupa infection control lead. There are outbreak kits readily available, and a personal protective equipment (PPE) cupboard. The PPE stock is regularly checked against expiry dates. There are supplies of extra PPE equipment available and accessible. The Bupa infection control lead and the infection control coordinator have input into the procurement of good quality PPE, medical and wound care products.</w:t>
            </w:r>
          </w:p>
          <w:p w14:paraId="0DA205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 Policies are available to staff. Aseptic techniques are promoted through hand hygiene and promotion of creating an environment to prevent contamination from pathogens to prevent healthcare-associated infections. Sterile single-use packs are used for catheterisation and wound care. </w:t>
            </w:r>
          </w:p>
          <w:p w14:paraId="1BC0D9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w:t>
            </w:r>
            <w:r w:rsidRPr="00BE00C7">
              <w:rPr>
                <w:rFonts w:cs="Arial"/>
                <w:lang w:eastAsia="en-NZ"/>
              </w:rPr>
              <w:lastRenderedPageBreak/>
              <w:t xml:space="preserve">disinfected between use. The service infection control policies acknowledge importance of te reo Māori information around infection control and provides this for Māori residents, acknowledging the spirit of Te Tiriti. Infection control practices include laundry and cleaning practices that reflect Māori participation and consultation in infection prevention, to promote culturally safe practice. Staff interviewed could describe safe cultural practice guidelines in relation to infection prevention and control. </w:t>
            </w:r>
          </w:p>
          <w:p w14:paraId="505E1B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Reusable medical equipment is cleaned and disinfected after use and prior to next use. Cleaning and environmental audits are completed four-monthly, and the cleaning audits reviewed for this audit include evidence that these procedures are carried out. </w:t>
            </w:r>
          </w:p>
          <w:p w14:paraId="454AEE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pandemic response (including Covid-19) and staff were informed of any changes by noticeboards, handovers, toolbox talks, text message and emails. Staff have completed hand hygiene and personal protective equipment competencies. Resident education occurs as part of the daily cares. Residents and family/whānau were kept informed and updated on Covid-19 policies and procedures through emails.</w:t>
            </w:r>
          </w:p>
          <w:p w14:paraId="66A423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plans to change the current environment, however, the prospective purchaser will consult with the infection control coordinator if this occurs. The prospective purchaser plans to implement their established infection control programme. </w:t>
            </w:r>
          </w:p>
          <w:p w14:paraId="41F8ECA0" w14:textId="77777777" w:rsidR="00EB7645" w:rsidRPr="00BE00C7" w:rsidRDefault="00000000" w:rsidP="00BE00C7">
            <w:pPr>
              <w:pStyle w:val="OutcomeDescription"/>
              <w:spacing w:before="120" w:after="120"/>
              <w:rPr>
                <w:rFonts w:cs="Arial"/>
                <w:lang w:eastAsia="en-NZ"/>
              </w:rPr>
            </w:pPr>
          </w:p>
        </w:tc>
      </w:tr>
      <w:tr w:rsidR="00F26FBF" w14:paraId="3A87B297" w14:textId="77777777">
        <w:tc>
          <w:tcPr>
            <w:tcW w:w="0" w:type="auto"/>
          </w:tcPr>
          <w:p w14:paraId="16525FB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12FA7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lastRenderedPageBreak/>
              <w:t>prescribing and implement an AMS programme that is appropriate to the needs, size, and scope of our services.</w:t>
            </w:r>
          </w:p>
          <w:p w14:paraId="4C390102" w14:textId="77777777" w:rsidR="00EB7645" w:rsidRPr="00BE00C7" w:rsidRDefault="00000000" w:rsidP="00BE00C7">
            <w:pPr>
              <w:pStyle w:val="OutcomeDescription"/>
              <w:spacing w:before="120" w:after="120"/>
              <w:rPr>
                <w:rFonts w:cs="Arial"/>
                <w:lang w:eastAsia="en-NZ"/>
              </w:rPr>
            </w:pPr>
          </w:p>
        </w:tc>
        <w:tc>
          <w:tcPr>
            <w:tcW w:w="0" w:type="auto"/>
          </w:tcPr>
          <w:p w14:paraId="41E8962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D503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anti-microbial use policy and procedure. The IP and AMS programmes are endorsed through the Clinical Governance Committee, and Bupa’s consultant geriatrician has oversight of the AMS programme. The IP and AMS programmes are reviewed annually. The service and organisation monitor compliance of antibiotic and antimicrobial use through evaluation and monitoring of medication prescribing charts, prescriptions, and medical notes. </w:t>
            </w:r>
            <w:r w:rsidRPr="00BE00C7">
              <w:rPr>
                <w:rFonts w:cs="Arial"/>
                <w:lang w:eastAsia="en-NZ"/>
              </w:rPr>
              <w:lastRenderedPageBreak/>
              <w:t xml:space="preserve">Antibiotic use and prescribing follow the New Zealand antimicrobial stewardship guidelines. The antimicrobial policy is appropriate for the size, scope, and complexity of the resident cohort. Infection rates are monitored monthly and reported in a monthly quality report and presented at meetings. The infection control nurse is responsible for collating and analysing the electronic medication management system with pharmacy support, and generate a list of short course medication use, including antimicrobial and antiviral use. The monitoring and analysis of the quality and quantity of antimicrobial prescribing occurs monthly. </w:t>
            </w:r>
          </w:p>
          <w:p w14:paraId="10EB7B9C" w14:textId="77777777" w:rsidR="00EB7645" w:rsidRPr="00BE00C7" w:rsidRDefault="00000000"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w:t>
            </w:r>
          </w:p>
          <w:p w14:paraId="34F1C7B8" w14:textId="77777777" w:rsidR="00EB7645" w:rsidRPr="00BE00C7" w:rsidRDefault="00000000" w:rsidP="00BE00C7">
            <w:pPr>
              <w:pStyle w:val="OutcomeDescription"/>
              <w:spacing w:before="120" w:after="120"/>
              <w:rPr>
                <w:rFonts w:cs="Arial"/>
                <w:lang w:eastAsia="en-NZ"/>
              </w:rPr>
            </w:pPr>
          </w:p>
        </w:tc>
      </w:tr>
      <w:tr w:rsidR="00F26FBF" w14:paraId="35B39767" w14:textId="77777777">
        <w:tc>
          <w:tcPr>
            <w:tcW w:w="0" w:type="auto"/>
          </w:tcPr>
          <w:p w14:paraId="02DB0F0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8DCD7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3B4C3C3C" w14:textId="77777777" w:rsidR="00EB7645" w:rsidRPr="00BE00C7" w:rsidRDefault="00000000" w:rsidP="00BE00C7">
            <w:pPr>
              <w:pStyle w:val="OutcomeDescription"/>
              <w:spacing w:before="120" w:after="120"/>
              <w:rPr>
                <w:rFonts w:cs="Arial"/>
                <w:lang w:eastAsia="en-NZ"/>
              </w:rPr>
            </w:pPr>
          </w:p>
        </w:tc>
        <w:tc>
          <w:tcPr>
            <w:tcW w:w="0" w:type="auto"/>
          </w:tcPr>
          <w:p w14:paraId="76AF8F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2038AD"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policy manual. Monthly infection data is collected for all infections based on signs, symptoms, and definition of infection. Infections are entered into the electronic RiskMan register on the electronic database and surveillance of all infections (including organisms) is collated onto a monthly infection summary. This data is monitored and analysed for trends, monthly and annually. Benchmarking occurs with other Bupa facilities. The service has commenced incorporating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Internal infection control audits are completed, with corrective actions for areas of improvement. The service receives regular notifications and alerts from Te Whatu Ora Health- Counties Manukau. The service evidence a reduction in UTIs (link CI 2.2.2).</w:t>
            </w:r>
          </w:p>
          <w:p w14:paraId="172B1A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Covid -19 outbreak (February 2022), a gastro enteritis outbreak in May 2023 and a Scabies outbreak in May 2023. All were appropriately managed with Te Whatu Ora -Counties Manukau and Public Health appropriately notified. There was daily communication with Bupa infection control lead, clinical director, aged </w:t>
            </w:r>
            <w:r w:rsidRPr="00BE00C7">
              <w:rPr>
                <w:rFonts w:cs="Arial"/>
                <w:lang w:eastAsia="en-NZ"/>
              </w:rPr>
              <w:lastRenderedPageBreak/>
              <w:t>care portfolio manager and the local Te Whatu Ora- Counties Manukau IPC nurse specialist. Daily outbreak management meetings and toolbox meetings (sighted) captured `lessons learned` to prevent, prepare for and respond to future infectious disease outbreaks. Outbreak logs were completed. Staff confirmed resources, including PPE, were plentiful.</w:t>
            </w:r>
          </w:p>
          <w:p w14:paraId="6B9E5F1C" w14:textId="77777777" w:rsidR="00EB7645" w:rsidRPr="00BE00C7" w:rsidRDefault="00000000" w:rsidP="00BE00C7">
            <w:pPr>
              <w:pStyle w:val="OutcomeDescription"/>
              <w:spacing w:before="120" w:after="120"/>
              <w:rPr>
                <w:rFonts w:cs="Arial"/>
                <w:lang w:eastAsia="en-NZ"/>
              </w:rPr>
            </w:pPr>
          </w:p>
        </w:tc>
      </w:tr>
      <w:tr w:rsidR="00F26FBF" w14:paraId="2D23893B" w14:textId="77777777">
        <w:tc>
          <w:tcPr>
            <w:tcW w:w="0" w:type="auto"/>
          </w:tcPr>
          <w:p w14:paraId="45C4295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117340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D8BDF43" w14:textId="77777777" w:rsidR="00EB7645" w:rsidRPr="00BE00C7" w:rsidRDefault="00000000" w:rsidP="00BE00C7">
            <w:pPr>
              <w:pStyle w:val="OutcomeDescription"/>
              <w:spacing w:before="120" w:after="120"/>
              <w:rPr>
                <w:rFonts w:cs="Arial"/>
                <w:lang w:eastAsia="en-NZ"/>
              </w:rPr>
            </w:pPr>
          </w:p>
        </w:tc>
        <w:tc>
          <w:tcPr>
            <w:tcW w:w="0" w:type="auto"/>
          </w:tcPr>
          <w:p w14:paraId="4A00CEA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C05AB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sanitizers) in each wing with personal protective equipment available, including face visors. Staff have completed chemical safety training. A chemical provider monitors the effectiveness of chemicals.</w:t>
            </w:r>
          </w:p>
          <w:p w14:paraId="2097C3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Laundry (linen and personals) is laundered off site at another Bupa facility nearby. The laundry area is spacious to receive linen seven days a week. The household manager interviewed confirm the linen is hygienically transported within a vehicle. Linen is distributed to the wings on covered trollies. There are areas for storage of clean and dirty laundry and a dirty to clean flow is evident. Material safety data sheets are available. There are dedicated laundry assistants seven days per week to receive and distribute linen. </w:t>
            </w:r>
          </w:p>
          <w:p w14:paraId="793D3D31"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in use, cleaners’ trolleys are attended at all times, and are locked away in the cleaners’ cupboard when not in use. All chemicals on the cleaner’s trolley were labelled. There was appropriate personal protective clothing readily available. The numerous linen cupboards were well stocked with good quality linen.</w:t>
            </w:r>
          </w:p>
          <w:p w14:paraId="3D6173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prospective purchaser has no plans to make changes to cleaning and laundry arrangements. </w:t>
            </w:r>
          </w:p>
          <w:p w14:paraId="5E9C4C2F" w14:textId="77777777" w:rsidR="00EB7645" w:rsidRPr="00BE00C7" w:rsidRDefault="00000000" w:rsidP="00BE00C7">
            <w:pPr>
              <w:pStyle w:val="OutcomeDescription"/>
              <w:spacing w:before="120" w:after="120"/>
              <w:rPr>
                <w:rFonts w:cs="Arial"/>
                <w:lang w:eastAsia="en-NZ"/>
              </w:rPr>
            </w:pPr>
          </w:p>
        </w:tc>
      </w:tr>
      <w:tr w:rsidR="00F26FBF" w14:paraId="6F74E90A" w14:textId="77777777">
        <w:tc>
          <w:tcPr>
            <w:tcW w:w="0" w:type="auto"/>
          </w:tcPr>
          <w:p w14:paraId="475474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DFF70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B8A56AE" w14:textId="77777777" w:rsidR="00EB7645" w:rsidRPr="00BE00C7" w:rsidRDefault="00000000" w:rsidP="00BE00C7">
            <w:pPr>
              <w:pStyle w:val="OutcomeDescription"/>
              <w:spacing w:before="120" w:after="120"/>
              <w:rPr>
                <w:rFonts w:cs="Arial"/>
                <w:lang w:eastAsia="en-NZ"/>
              </w:rPr>
            </w:pPr>
          </w:p>
        </w:tc>
        <w:tc>
          <w:tcPr>
            <w:tcW w:w="0" w:type="auto"/>
          </w:tcPr>
          <w:p w14:paraId="252C15B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492841"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restraint-free environment is the aim of the service. Policies and procedures meet the requirements of the standards. The regional restraint group is responsible for the Bupa restraint elimination strategy and for monitoring restraint use in the organisation. Restraint is discussed at the clinical governance and Board meeting.</w:t>
            </w:r>
          </w:p>
          <w:p w14:paraId="3C9A10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If a Māori resident requires restraint, prior to this decision cultural advice is sought alongside whānau to explore spiritual and cultural values. The interviewed unit coordinator (designated restraint coordinator) stated that the service is committed to a restraint-free environment in all its wings. They have strong strategies in place to eliminate the use of restraint. </w:t>
            </w:r>
          </w:p>
          <w:p w14:paraId="7D6DF1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 facility was restraint free. The use of restraint (if any) would be reported in the quality meetings. Staff have been trained in the least restrictive practice, safe restraint practice, alternative cultural-specific interventions, and de-escalation techniques. </w:t>
            </w:r>
          </w:p>
          <w:p w14:paraId="7DC5EB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committee is responsible for the approval of the use of restraints and the restraint processes. There are clear lines of accountability. All restraints must be approved, and the overall use of restraint is monitored and analysed. Family/whānau/EPOA and residents are involved in decision-making. </w:t>
            </w:r>
          </w:p>
          <w:p w14:paraId="2CDADF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prospective purchaser CHT have established robust policies in place around restraint minimisation. Restraint and challenging behaviours are included in the orientation and education planners. The prospective purchaser are knowledgeable around their requirements and responsibilities around restraint minimisation. </w:t>
            </w:r>
          </w:p>
          <w:p w14:paraId="63CAA04F" w14:textId="77777777" w:rsidR="00EB7645" w:rsidRPr="00BE00C7" w:rsidRDefault="00000000" w:rsidP="00BE00C7">
            <w:pPr>
              <w:pStyle w:val="OutcomeDescription"/>
              <w:spacing w:before="120" w:after="120"/>
              <w:rPr>
                <w:rFonts w:cs="Arial"/>
                <w:lang w:eastAsia="en-NZ"/>
              </w:rPr>
            </w:pPr>
          </w:p>
        </w:tc>
      </w:tr>
    </w:tbl>
    <w:p w14:paraId="731D0583" w14:textId="77777777" w:rsidR="00EB7645" w:rsidRPr="00BE00C7" w:rsidRDefault="00000000" w:rsidP="00BE00C7">
      <w:pPr>
        <w:pStyle w:val="OutcomeDescription"/>
        <w:spacing w:before="120" w:after="120"/>
        <w:rPr>
          <w:rFonts w:cs="Arial"/>
          <w:lang w:eastAsia="en-NZ"/>
        </w:rPr>
      </w:pPr>
      <w:bookmarkStart w:id="44" w:name="AuditSummaryAttainment"/>
      <w:bookmarkEnd w:id="44"/>
    </w:p>
    <w:p w14:paraId="3B696D8C" w14:textId="77777777" w:rsidR="00460D43" w:rsidRDefault="00000000">
      <w:pPr>
        <w:pStyle w:val="Heading1"/>
        <w:rPr>
          <w:rFonts w:cs="Arial"/>
        </w:rPr>
      </w:pPr>
      <w:r>
        <w:rPr>
          <w:rFonts w:cs="Arial"/>
        </w:rPr>
        <w:lastRenderedPageBreak/>
        <w:t>Specific results for criterion where corrective actions are required</w:t>
      </w:r>
    </w:p>
    <w:p w14:paraId="569C708B" w14:textId="77777777" w:rsidR="00460D43" w:rsidRDefault="0000000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A9678C9"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9A48D4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6FBF" w14:paraId="19ECDADC" w14:textId="77777777">
        <w:tc>
          <w:tcPr>
            <w:tcW w:w="0" w:type="auto"/>
          </w:tcPr>
          <w:p w14:paraId="08CC1FCE"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E94E62A" w14:textId="77777777" w:rsidR="00EB7645" w:rsidRPr="00BE00C7" w:rsidRDefault="00000000" w:rsidP="00BE00C7">
      <w:pPr>
        <w:pStyle w:val="OutcomeDescription"/>
        <w:spacing w:before="120" w:after="120"/>
        <w:rPr>
          <w:rFonts w:cs="Arial"/>
          <w:lang w:eastAsia="en-NZ"/>
        </w:rPr>
      </w:pPr>
      <w:bookmarkStart w:id="45" w:name="AuditSummaryCAMCriterion"/>
      <w:bookmarkEnd w:id="45"/>
    </w:p>
    <w:p w14:paraId="214EB499" w14:textId="77777777" w:rsidR="00460D43" w:rsidRDefault="00000000">
      <w:pPr>
        <w:pStyle w:val="Heading1"/>
        <w:rPr>
          <w:rFonts w:cs="Arial"/>
        </w:rPr>
      </w:pPr>
      <w:r>
        <w:rPr>
          <w:rFonts w:cs="Arial"/>
        </w:rPr>
        <w:lastRenderedPageBreak/>
        <w:t>Specific results for criterion where a continuous improvement has been recorded</w:t>
      </w:r>
    </w:p>
    <w:p w14:paraId="6373152A" w14:textId="77777777" w:rsidR="00460D43" w:rsidRDefault="0000000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0FFE651"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4338726"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335"/>
        <w:gridCol w:w="4791"/>
        <w:gridCol w:w="4810"/>
      </w:tblGrid>
      <w:tr w:rsidR="00F26FBF" w14:paraId="7999731A" w14:textId="77777777">
        <w:tc>
          <w:tcPr>
            <w:tcW w:w="0" w:type="auto"/>
          </w:tcPr>
          <w:p w14:paraId="47D4687D"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AB9594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A2D8C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96317E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r>
      <w:tr w:rsidR="00F26FBF" w14:paraId="4BB57709" w14:textId="77777777">
        <w:tc>
          <w:tcPr>
            <w:tcW w:w="0" w:type="auto"/>
          </w:tcPr>
          <w:p w14:paraId="0EE1996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7FC66F5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AAB1B0C"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11399AA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conducted a project where a review process has occurred, including analysis, and reporting of their findings. There is evidence of action taken based on the feedback of the clinical nurse specialist for geriatric services at the emergency department at Counties Manukau, related to high admissions from the service to the emergency department (ED) due to supra pubic catheter (SPC) blockages and urine tract infections (UTIs). The projects included working with the clinical nurse specialists (CNS) and implementing a best practice pathway for management and early identification of signs and symptoms, to recognise the clinical challenges related to the identified issues.</w:t>
            </w:r>
          </w:p>
          <w:p w14:paraId="69EF369C" w14:textId="77777777" w:rsidR="00EB7645" w:rsidRPr="00BE00C7" w:rsidRDefault="00000000" w:rsidP="00BE00C7">
            <w:pPr>
              <w:pStyle w:val="OutcomeDescription"/>
              <w:spacing w:before="120" w:after="120"/>
              <w:rPr>
                <w:rFonts w:cs="Arial"/>
                <w:lang w:eastAsia="en-NZ"/>
              </w:rPr>
            </w:pPr>
          </w:p>
        </w:tc>
        <w:tc>
          <w:tcPr>
            <w:tcW w:w="0" w:type="auto"/>
          </w:tcPr>
          <w:p w14:paraId="190EEA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feedback from the CNS interviewed and project documents reviewed evidence there were 13 residents identified with recurrent admissions in 2022 to ED with SPC blockages and higher incidences of residents from Bupa Hayman with UTIs referred through to ED. Twelve of the thirteen residents are still in the facility. Caregivers completed nutrition and hydration training. The service collaborated with the CNS in October 2022. Registered nurses received the relevant training and completed competencies in management of SPCs and early recognition of UTIs. The Health and Quality Commission approved algorithm was implemented. The data received from ED identified no admissions due to SPC blockages and a decrease of admissions related to UTIs. Progress was continuously monitored, and UTI benchmarking data and weekly RN review meetings confirmed that UTIs decreased to one a </w:t>
            </w:r>
            <w:r w:rsidRPr="00BE00C7">
              <w:rPr>
                <w:rFonts w:cs="Arial"/>
                <w:lang w:eastAsia="en-NZ"/>
              </w:rPr>
              <w:lastRenderedPageBreak/>
              <w:t>month for the period November 2022- August 2023. The outcomes proved to have positive outcomes for the residents with SPCs but also for all other residents at risk of developing UTIs. Residents and family/whānau interviewed were complimentary of the care at the service; this was also evident in the November 2022, March 2023, and June 2023 resident and family/whānau surveys related to the quality of care.</w:t>
            </w:r>
          </w:p>
          <w:p w14:paraId="6C386CDE" w14:textId="77777777" w:rsidR="00EB7645" w:rsidRPr="00BE00C7" w:rsidRDefault="00000000" w:rsidP="00BE00C7">
            <w:pPr>
              <w:pStyle w:val="OutcomeDescription"/>
              <w:spacing w:before="120" w:after="120"/>
              <w:rPr>
                <w:rFonts w:cs="Arial"/>
                <w:lang w:eastAsia="en-NZ"/>
              </w:rPr>
            </w:pPr>
          </w:p>
        </w:tc>
      </w:tr>
      <w:tr w:rsidR="00F26FBF" w14:paraId="47A40CD8" w14:textId="77777777">
        <w:tc>
          <w:tcPr>
            <w:tcW w:w="0" w:type="auto"/>
          </w:tcPr>
          <w:p w14:paraId="0BA46DD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3.5.1</w:t>
            </w:r>
          </w:p>
          <w:p w14:paraId="3E157A5D" w14:textId="77777777" w:rsidR="00EB7645" w:rsidRPr="00BE00C7" w:rsidRDefault="00000000"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5904054B" w14:textId="77777777" w:rsidR="00EB7645" w:rsidRPr="00BE00C7" w:rsidRDefault="00000000" w:rsidP="00BE00C7">
            <w:pPr>
              <w:pStyle w:val="OutcomeDescription"/>
              <w:spacing w:before="120" w:after="120"/>
              <w:rPr>
                <w:rFonts w:cs="Arial"/>
                <w:lang w:eastAsia="en-NZ"/>
              </w:rPr>
            </w:pPr>
            <w:r w:rsidRPr="00BE00C7">
              <w:rPr>
                <w:rFonts w:cs="Arial"/>
                <w:lang w:eastAsia="en-NZ"/>
              </w:rPr>
              <w:t>CI</w:t>
            </w:r>
          </w:p>
        </w:tc>
        <w:tc>
          <w:tcPr>
            <w:tcW w:w="0" w:type="auto"/>
          </w:tcPr>
          <w:p w14:paraId="0A4C01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conducted a number of quality improvement projects where a review process has occurred, including analysis, and reporting of their findings. There is evidence of action taken based on the feedback of the family/whānau satisfaction in 2021. The projects include reviewing of the improvements of the menu and the options provided at mealtimes, especially the main meal (dinner).</w:t>
            </w:r>
          </w:p>
          <w:p w14:paraId="20DC1A15" w14:textId="77777777" w:rsidR="00EB7645" w:rsidRPr="00BE00C7" w:rsidRDefault="00000000" w:rsidP="00BE00C7">
            <w:pPr>
              <w:pStyle w:val="OutcomeDescription"/>
              <w:spacing w:before="120" w:after="120"/>
              <w:rPr>
                <w:rFonts w:cs="Arial"/>
                <w:lang w:eastAsia="en-NZ"/>
              </w:rPr>
            </w:pPr>
          </w:p>
        </w:tc>
        <w:tc>
          <w:tcPr>
            <w:tcW w:w="0" w:type="auto"/>
          </w:tcPr>
          <w:p w14:paraId="36E1694D" w14:textId="77777777" w:rsidR="00EB7645" w:rsidRPr="00BE00C7" w:rsidRDefault="00000000" w:rsidP="00BE00C7">
            <w:pPr>
              <w:pStyle w:val="OutcomeDescription"/>
              <w:spacing w:before="120" w:after="120"/>
              <w:rPr>
                <w:rFonts w:cs="Arial"/>
                <w:lang w:eastAsia="en-NZ"/>
              </w:rPr>
            </w:pPr>
            <w:r w:rsidRPr="00BE00C7">
              <w:rPr>
                <w:rFonts w:cs="Arial"/>
                <w:lang w:eastAsia="en-NZ"/>
              </w:rPr>
              <w:t>A new kitchen manager commenced a review of the menu to improve resident satisfaction in early 2022. The process of meal ordering was also reviewed. Regular resident meetings occur to gather feedback on dishes and food they want. The new menu options were implemented in August 2022.</w:t>
            </w:r>
          </w:p>
          <w:p w14:paraId="0091885E" w14:textId="77777777" w:rsidR="00EB7645" w:rsidRPr="00BE00C7" w:rsidRDefault="00000000" w:rsidP="00BE00C7">
            <w:pPr>
              <w:pStyle w:val="OutcomeDescription"/>
              <w:spacing w:before="120" w:after="120"/>
              <w:rPr>
                <w:rFonts w:cs="Arial"/>
                <w:lang w:eastAsia="en-NZ"/>
              </w:rPr>
            </w:pPr>
            <w:r w:rsidRPr="00BE00C7">
              <w:rPr>
                <w:rFonts w:cs="Arial"/>
                <w:lang w:eastAsia="en-NZ"/>
              </w:rPr>
              <w:t>Satisfaction survey in December 2022 evidence marked improvement in satisfaction related to the dining room experience, quality and taste of the food, variety, and choice. The satisfaction score increased from 5.7/7.0 in 2021 to 6.8/ 7.0 in 2022. A follow up food survey was completed in April 2023. Results were overall satisfactory as also evident in resident meeting minutes.</w:t>
            </w:r>
          </w:p>
          <w:p w14:paraId="6A292602" w14:textId="77777777" w:rsidR="00EB7645" w:rsidRPr="00BE00C7" w:rsidRDefault="00000000" w:rsidP="00BE00C7">
            <w:pPr>
              <w:pStyle w:val="OutcomeDescription"/>
              <w:spacing w:before="120" w:after="120"/>
              <w:rPr>
                <w:rFonts w:cs="Arial"/>
                <w:lang w:eastAsia="en-NZ"/>
              </w:rPr>
            </w:pPr>
          </w:p>
        </w:tc>
      </w:tr>
    </w:tbl>
    <w:p w14:paraId="7B8D91E8" w14:textId="77777777" w:rsidR="00EB7645" w:rsidRPr="00BE00C7" w:rsidRDefault="00000000" w:rsidP="00BE00C7">
      <w:pPr>
        <w:pStyle w:val="OutcomeDescription"/>
        <w:spacing w:before="120" w:after="120"/>
        <w:rPr>
          <w:rFonts w:cs="Arial"/>
          <w:lang w:eastAsia="en-NZ"/>
        </w:rPr>
      </w:pPr>
      <w:bookmarkStart w:id="46" w:name="AuditSummaryCAMImprovment"/>
      <w:bookmarkEnd w:id="46"/>
    </w:p>
    <w:p w14:paraId="0123708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5483" w14:textId="77777777" w:rsidR="00607818" w:rsidRDefault="00607818">
      <w:r>
        <w:separator/>
      </w:r>
    </w:p>
  </w:endnote>
  <w:endnote w:type="continuationSeparator" w:id="0">
    <w:p w14:paraId="10740774" w14:textId="77777777" w:rsidR="00607818" w:rsidRDefault="0060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B9EB" w14:textId="77777777" w:rsidR="000B00BC" w:rsidRDefault="00000000">
    <w:pPr>
      <w:pStyle w:val="Footer"/>
    </w:pPr>
  </w:p>
  <w:p w14:paraId="56BD61EF" w14:textId="77777777" w:rsidR="005A4A55" w:rsidRDefault="00000000"/>
  <w:p w14:paraId="3A62E784"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1F91"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CHT Healthcare Trust - Hayman Care Home</w:t>
    </w:r>
    <w:bookmarkEnd w:id="47"/>
    <w:r>
      <w:rPr>
        <w:rFonts w:cs="Arial"/>
        <w:sz w:val="16"/>
        <w:szCs w:val="20"/>
      </w:rPr>
      <w:tab/>
      <w:t xml:space="preserve">Date of Audit: </w:t>
    </w:r>
    <w:bookmarkStart w:id="48" w:name="AuditStartDate1"/>
    <w:r>
      <w:rPr>
        <w:rFonts w:cs="Arial"/>
        <w:sz w:val="16"/>
        <w:szCs w:val="20"/>
      </w:rPr>
      <w:t>29 August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9DF198"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214"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62B4" w14:textId="77777777" w:rsidR="00607818" w:rsidRDefault="00607818">
      <w:r>
        <w:separator/>
      </w:r>
    </w:p>
  </w:footnote>
  <w:footnote w:type="continuationSeparator" w:id="0">
    <w:p w14:paraId="752EA08D" w14:textId="77777777" w:rsidR="00607818" w:rsidRDefault="0060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9F45" w14:textId="77777777" w:rsidR="000B00BC" w:rsidRDefault="00000000">
    <w:pPr>
      <w:pStyle w:val="Header"/>
    </w:pPr>
  </w:p>
  <w:p w14:paraId="24FFF7C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D858" w14:textId="77777777" w:rsidR="000B00BC" w:rsidRDefault="00000000">
    <w:pPr>
      <w:pStyle w:val="Header"/>
    </w:pPr>
  </w:p>
  <w:p w14:paraId="197289AE"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95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BE8A742">
      <w:start w:val="1"/>
      <w:numFmt w:val="decimal"/>
      <w:lvlText w:val="%1."/>
      <w:lvlJc w:val="left"/>
      <w:pPr>
        <w:ind w:left="360" w:hanging="360"/>
      </w:pPr>
    </w:lvl>
    <w:lvl w:ilvl="1" w:tplc="338E6032" w:tentative="1">
      <w:start w:val="1"/>
      <w:numFmt w:val="lowerLetter"/>
      <w:lvlText w:val="%2."/>
      <w:lvlJc w:val="left"/>
      <w:pPr>
        <w:ind w:left="1080" w:hanging="360"/>
      </w:pPr>
    </w:lvl>
    <w:lvl w:ilvl="2" w:tplc="E152BD18" w:tentative="1">
      <w:start w:val="1"/>
      <w:numFmt w:val="lowerRoman"/>
      <w:lvlText w:val="%3."/>
      <w:lvlJc w:val="right"/>
      <w:pPr>
        <w:ind w:left="1800" w:hanging="180"/>
      </w:pPr>
    </w:lvl>
    <w:lvl w:ilvl="3" w:tplc="FD122A74" w:tentative="1">
      <w:start w:val="1"/>
      <w:numFmt w:val="decimal"/>
      <w:lvlText w:val="%4."/>
      <w:lvlJc w:val="left"/>
      <w:pPr>
        <w:ind w:left="2520" w:hanging="360"/>
      </w:pPr>
    </w:lvl>
    <w:lvl w:ilvl="4" w:tplc="29F02BAC" w:tentative="1">
      <w:start w:val="1"/>
      <w:numFmt w:val="lowerLetter"/>
      <w:lvlText w:val="%5."/>
      <w:lvlJc w:val="left"/>
      <w:pPr>
        <w:ind w:left="3240" w:hanging="360"/>
      </w:pPr>
    </w:lvl>
    <w:lvl w:ilvl="5" w:tplc="CE7E2DD8" w:tentative="1">
      <w:start w:val="1"/>
      <w:numFmt w:val="lowerRoman"/>
      <w:lvlText w:val="%6."/>
      <w:lvlJc w:val="right"/>
      <w:pPr>
        <w:ind w:left="3960" w:hanging="180"/>
      </w:pPr>
    </w:lvl>
    <w:lvl w:ilvl="6" w:tplc="2DE29A92" w:tentative="1">
      <w:start w:val="1"/>
      <w:numFmt w:val="decimal"/>
      <w:lvlText w:val="%7."/>
      <w:lvlJc w:val="left"/>
      <w:pPr>
        <w:ind w:left="4680" w:hanging="360"/>
      </w:pPr>
    </w:lvl>
    <w:lvl w:ilvl="7" w:tplc="651A3160" w:tentative="1">
      <w:start w:val="1"/>
      <w:numFmt w:val="lowerLetter"/>
      <w:lvlText w:val="%8."/>
      <w:lvlJc w:val="left"/>
      <w:pPr>
        <w:ind w:left="5400" w:hanging="360"/>
      </w:pPr>
    </w:lvl>
    <w:lvl w:ilvl="8" w:tplc="84F4E8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DCE10CE">
      <w:start w:val="1"/>
      <w:numFmt w:val="bullet"/>
      <w:lvlText w:val=""/>
      <w:lvlJc w:val="left"/>
      <w:pPr>
        <w:ind w:left="720" w:hanging="360"/>
      </w:pPr>
      <w:rPr>
        <w:rFonts w:ascii="Symbol" w:hAnsi="Symbol" w:hint="default"/>
      </w:rPr>
    </w:lvl>
    <w:lvl w:ilvl="1" w:tplc="FDE83FDA" w:tentative="1">
      <w:start w:val="1"/>
      <w:numFmt w:val="bullet"/>
      <w:lvlText w:val="o"/>
      <w:lvlJc w:val="left"/>
      <w:pPr>
        <w:ind w:left="1440" w:hanging="360"/>
      </w:pPr>
      <w:rPr>
        <w:rFonts w:ascii="Courier New" w:hAnsi="Courier New" w:cs="Courier New" w:hint="default"/>
      </w:rPr>
    </w:lvl>
    <w:lvl w:ilvl="2" w:tplc="1124E538" w:tentative="1">
      <w:start w:val="1"/>
      <w:numFmt w:val="bullet"/>
      <w:lvlText w:val=""/>
      <w:lvlJc w:val="left"/>
      <w:pPr>
        <w:ind w:left="2160" w:hanging="360"/>
      </w:pPr>
      <w:rPr>
        <w:rFonts w:ascii="Wingdings" w:hAnsi="Wingdings" w:hint="default"/>
      </w:rPr>
    </w:lvl>
    <w:lvl w:ilvl="3" w:tplc="43DCABB8" w:tentative="1">
      <w:start w:val="1"/>
      <w:numFmt w:val="bullet"/>
      <w:lvlText w:val=""/>
      <w:lvlJc w:val="left"/>
      <w:pPr>
        <w:ind w:left="2880" w:hanging="360"/>
      </w:pPr>
      <w:rPr>
        <w:rFonts w:ascii="Symbol" w:hAnsi="Symbol" w:hint="default"/>
      </w:rPr>
    </w:lvl>
    <w:lvl w:ilvl="4" w:tplc="461027E6" w:tentative="1">
      <w:start w:val="1"/>
      <w:numFmt w:val="bullet"/>
      <w:lvlText w:val="o"/>
      <w:lvlJc w:val="left"/>
      <w:pPr>
        <w:ind w:left="3600" w:hanging="360"/>
      </w:pPr>
      <w:rPr>
        <w:rFonts w:ascii="Courier New" w:hAnsi="Courier New" w:cs="Courier New" w:hint="default"/>
      </w:rPr>
    </w:lvl>
    <w:lvl w:ilvl="5" w:tplc="EBA8270A" w:tentative="1">
      <w:start w:val="1"/>
      <w:numFmt w:val="bullet"/>
      <w:lvlText w:val=""/>
      <w:lvlJc w:val="left"/>
      <w:pPr>
        <w:ind w:left="4320" w:hanging="360"/>
      </w:pPr>
      <w:rPr>
        <w:rFonts w:ascii="Wingdings" w:hAnsi="Wingdings" w:hint="default"/>
      </w:rPr>
    </w:lvl>
    <w:lvl w:ilvl="6" w:tplc="21BC8190" w:tentative="1">
      <w:start w:val="1"/>
      <w:numFmt w:val="bullet"/>
      <w:lvlText w:val=""/>
      <w:lvlJc w:val="left"/>
      <w:pPr>
        <w:ind w:left="5040" w:hanging="360"/>
      </w:pPr>
      <w:rPr>
        <w:rFonts w:ascii="Symbol" w:hAnsi="Symbol" w:hint="default"/>
      </w:rPr>
    </w:lvl>
    <w:lvl w:ilvl="7" w:tplc="0C28D90C" w:tentative="1">
      <w:start w:val="1"/>
      <w:numFmt w:val="bullet"/>
      <w:lvlText w:val="o"/>
      <w:lvlJc w:val="left"/>
      <w:pPr>
        <w:ind w:left="5760" w:hanging="360"/>
      </w:pPr>
      <w:rPr>
        <w:rFonts w:ascii="Courier New" w:hAnsi="Courier New" w:cs="Courier New" w:hint="default"/>
      </w:rPr>
    </w:lvl>
    <w:lvl w:ilvl="8" w:tplc="5F92BAC6" w:tentative="1">
      <w:start w:val="1"/>
      <w:numFmt w:val="bullet"/>
      <w:lvlText w:val=""/>
      <w:lvlJc w:val="left"/>
      <w:pPr>
        <w:ind w:left="6480" w:hanging="360"/>
      </w:pPr>
      <w:rPr>
        <w:rFonts w:ascii="Wingdings" w:hAnsi="Wingdings" w:hint="default"/>
      </w:rPr>
    </w:lvl>
  </w:abstractNum>
  <w:num w:numId="1" w16cid:durableId="1331566100">
    <w:abstractNumId w:val="1"/>
  </w:num>
  <w:num w:numId="2" w16cid:durableId="156225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BF"/>
    <w:rsid w:val="00054AB5"/>
    <w:rsid w:val="0027112D"/>
    <w:rsid w:val="00362992"/>
    <w:rsid w:val="004A63AB"/>
    <w:rsid w:val="0056068A"/>
    <w:rsid w:val="00607818"/>
    <w:rsid w:val="009A5D60"/>
    <w:rsid w:val="009C5C1A"/>
    <w:rsid w:val="00C8763E"/>
    <w:rsid w:val="00F26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BD16"/>
  <w15:docId w15:val="{9A0CD9BC-2854-45DE-80A7-2C67CA4C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15022</Words>
  <Characters>85630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2023-11-29T19:56:00Z</dcterms:created>
  <dcterms:modified xsi:type="dcterms:W3CDTF">2023-11-29T20:14:00Z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