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Christophers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Christophers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February 2022</w:t>
      </w:r>
      <w:bookmarkEnd w:id="7"/>
      <w:r w:rsidRPr="009418D4">
        <w:rPr>
          <w:rFonts w:cs="Arial"/>
        </w:rPr>
        <w:tab/>
        <w:t xml:space="preserve">End date: </w:t>
      </w:r>
      <w:bookmarkStart w:id="8" w:name="AuditEndDate"/>
      <w:r w:rsidR="00A4268A">
        <w:rPr>
          <w:rFonts w:cs="Arial"/>
        </w:rPr>
        <w:t>9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St Christopher’s is owned and operated by the CHT Healthcare Trust and cares for up to 46 residents requiring rest home or hospital (geriatric and medical) level care. </w:t>
      </w:r>
    </w:p>
    <w:p w:rsidRPr="00A4268A">
      <w:pPr>
        <w:spacing w:before="240" w:line="276" w:lineRule="auto"/>
        <w:rPr>
          <w:rFonts w:eastAsia="Calibri"/>
        </w:rPr>
      </w:pPr>
      <w:r w:rsidRPr="00A4268A">
        <w:rPr>
          <w:rFonts w:eastAsia="Calibri"/>
        </w:rPr>
        <w:t>On the day of the audit, there were 39 residents. The service is overseen by a unit manager who is qualified and experienced for the role and is supported by a clinical coordinator and the area manager. Residents, relatives, and the general practitioner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 xml:space="preserve">This audit has identified an area for improvement around safe storage and handling of chemicals.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under the Health and Disability Services Consumers’ Rights (the Code). The 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in line with the facility’s Covid-19 response framework. </w:t>
      </w:r>
    </w:p>
    <w:p w:rsidRPr="00A4268A">
      <w:pPr>
        <w:spacing w:before="240" w:line="276" w:lineRule="auto"/>
        <w:rPr>
          <w:rFonts w:eastAsia="Calibri"/>
        </w:rPr>
      </w:pPr>
      <w:r w:rsidRPr="00A4268A">
        <w:rPr>
          <w:rFonts w:eastAsia="Calibri"/>
        </w:rPr>
        <w:t>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unit manager is responsible for day-to-day operations. Goals are documented for the service with evidence of regular reviews.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specific to the role is in place for new staff. Ongoing education and training for staff includes in-service and online education and training. Registered nursing cover is provided seven days a week, twenty-four hours a day. Residents and families reported that staffing levels are adequate to meet the needs of the residents. The integrated electronic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responsible for the administration of medicines complete education and medication competencies. The electronic medication charts are reviewed three monthly by the general practitioner.</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An external contractor manages the cleaning and laundry services.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coordinator is a registered nurse. The service had two residents assessed as requiring the use of restraint and six residents assessed as requiring an enabler. Staff regularly receive education and training in challenging behaviour and restraint minimisation and safe practice.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service providers. </w:t>
      </w:r>
    </w:p>
    <w:p w:rsidRPr="00A4268A">
      <w:pPr>
        <w:spacing w:before="240" w:line="276" w:lineRule="auto"/>
        <w:rPr>
          <w:rFonts w:eastAsia="Calibri"/>
        </w:rPr>
      </w:pPr>
      <w:r w:rsidRPr="00A4268A">
        <w:rPr>
          <w:rFonts w:eastAsia="Calibri"/>
        </w:rPr>
        <w:t xml:space="preserve">Documentation evidenced that relevant infection control education is provided to all service providers as part of their orientation and as part of the ongoing in-service education programme. Covid-19 response framework and preparedness strategies are integrated as part of the overall infection control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organisation benchmark internally with their other facilities. There had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1"/>
        <w:gridCol w:w="1280"/>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thirteen staff (six healthcare assistants, three registered nurses (RNs), one activities coordinator, one chef manager, one maintenance person and one cleaner) confirmed their familiarity with the Code and its application to their job role and responsibilities. Interviews with six residents (five hospital level including one younger person with a long-term support- chronic health condition (LTS-CHC) and one rest home level) and two relatives (hospital level) confirmed that the services being provided are in line with the Code.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Seven of seven resident electronic records sampled (two from the rest home and five from the hospital) have a signed admission agreement and completed informed consent documentation including for the flu vaccine and Covid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and staff receive regular training on advocacy. Information about accessing advocacy services information is available in the information presented to residents and families at the time of entry to the service. Advocacy contact details are included on complaint forms and in complaint resolution letters. Advocate support is available if requested. Interviews with staff and residents confirmed that they are aware of the resident’s right to advocacy services. Healthcare assistants interviewed confirmed that they help advocate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and family members interviewed confirmed that the service made an effort to maintain contact with relative/family members when visiting could not occur during certain times of the Covid-19 response framework. Community links were evident within the examples provided. Residents are assisted to maximise their potential for self-help and to maintain links with whānau and the community by supporting them to go out into the community. The younger person with long term chronic conditions (LTS-CHC) chooses activities they wish to participate in (if able). The activities programme includes entertainers and volunteers (when permitted). Interview with the younger person confirmed they are encouraged to maintain their community links and normal routine.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are complaints forms available at reception that provide links to HDC advocacy services. Information about complaints is provided on admission. Interviews with residents and families demonstrated an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is held by the unit manager. Twelve complaints were recorded (nine for 2021) there were no complaints received year to date for 2022. Verbal and written complaints are documented in the electronic system. All complaints reviewed had noted investigation, timeframes, corrective actions when required and were signed off as resolved. All corrective actions are fed back to complainants in a timely manner. Complaints are trended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Of the complaints reviewed, one complaint was lodged with the Health and Disability commissioner (March 2018) with feedback received from HDC on 26 January 2022. The complaint remains open and is currently with the Director of Proceedings. The service implemented a review of policies and resources, improve education and training including attendance around abuse and neglect, communication, and dementia related topics. Following this complaint HealthCERT conducted an issue-based audit in August 2019 with no areas of improvement identified.</w:t>
            </w:r>
          </w:p>
          <w:p w:rsidR="00EB7645" w:rsidRPr="00BE00C7" w:rsidP="00BE00C7">
            <w:pPr>
              <w:pStyle w:val="OutcomeDescription"/>
              <w:spacing w:before="120" w:after="120"/>
              <w:rPr>
                <w:rFonts w:cs="Arial"/>
                <w:b w:val="0"/>
                <w:lang w:eastAsia="en-NZ"/>
              </w:rPr>
            </w:pPr>
            <w:r w:rsidRPr="00BE00C7">
              <w:rPr>
                <w:rFonts w:cs="Arial"/>
                <w:b w:val="0"/>
                <w:lang w:eastAsia="en-NZ"/>
              </w:rPr>
              <w:t>Another HDC complaint dated December 2019 remained open, the service sent the information requested and the last response from HDC received (15 February 2021) was to inform the service that HDC awaits further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confirmed they understand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and leaflets are available in the foyer of the facility. The service is able to provide information in different languages and/or in large print if requested. Information is also given to next of kin or enduring power of attorney (EPOA) to read with the resident and discuss. </w:t>
            </w:r>
          </w:p>
          <w:p w:rsidR="00EB7645" w:rsidRPr="00BE00C7" w:rsidP="00BE00C7">
            <w:pPr>
              <w:pStyle w:val="OutcomeDescription"/>
              <w:spacing w:before="120" w:after="120"/>
              <w:rPr>
                <w:rFonts w:cs="Arial"/>
                <w:b w:val="0"/>
                <w:lang w:eastAsia="en-NZ"/>
              </w:rPr>
            </w:pPr>
            <w:r w:rsidRPr="00BE00C7">
              <w:rPr>
                <w:rFonts w:cs="Arial"/>
                <w:b w:val="0"/>
                <w:lang w:eastAsia="en-NZ"/>
              </w:rPr>
              <w:t>On entry to the service, the unit manager discusses the information pack with the resident and the family/whānau. The resident pack includes a summary of information relating to the Code and a pamphlet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align with the requirements of the Privacy Act and Health Information Privacy Code. Staff were observed respecting resident’s privacy and could describe how they manage maintaining privacy and respect of personal property. All residents interviewed stated their privacy needs were met and that they were treated with dignity and respect. The area manager is the privacy officer. Staff receive regular training around recognising abuse and neglect (July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involvement is encouraged. The service has links with the local Māori iwi for advice and support as required. There were two residents who identified as Māori at the time of the audit. Cultural needs were addressed in the residents’ care plan and recognise the effect of any decision on the resident’s relationship with their family, whānau, hapū, iwi, and family group and their links to whakapapa to be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completes annual cultural awareness education. The service has established cultural policies to help meet the cultural needs of its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principles of the Treaty of Waitangi are incorporated into day-to-day practice. There is a specific current Māori health plan and all values and beliefs that the resident holds are acknowledged with the support of the Te Whare Tapa Whā model with support from cultural advisers within the local community available as required. The resident and family were unavailable to be interviewed at the time of audit. Māori links are established through the DHB, Mataatua Marae and several community groups including Te Oranga Kaumātua Kuia disability support services </w:t>
            </w:r>
          </w:p>
          <w:p w:rsidR="00EB7645" w:rsidRPr="00BE00C7" w:rsidP="00BE00C7">
            <w:pPr>
              <w:pStyle w:val="OutcomeDescription"/>
              <w:spacing w:before="120" w:after="120"/>
              <w:rPr>
                <w:rFonts w:cs="Arial"/>
                <w:b w:val="0"/>
                <w:lang w:eastAsia="en-NZ"/>
              </w:rPr>
            </w:pPr>
            <w:r w:rsidRPr="00BE00C7">
              <w:rPr>
                <w:rFonts w:cs="Arial"/>
                <w:b w:val="0"/>
                <w:lang w:eastAsia="en-NZ"/>
              </w:rPr>
              <w:t>Cultural and spiritual practice is supported and identified needs are incorporated into the care planning process and review. Discussions with staff confirmed that they are aware of the need to respond to cultural differences and the importance. One resident interviewed confirmed their beliefs, values and practice are respected. Activities and displays in recognition of Māori values were visible in the facility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Monthly church services are conducted in the facility. Residents interviewed confirmed that their spiritual needs were being met. The service has established cultural policies aimed at helping meet the cultural needs of its residents. All residents interviewed reported that they were satisfied that their cultural and individual values were being met. </w:t>
              <w:br/>
              <w:t>Information gathered during the initial assessment include each resident’s cultural beliefs and values, are used to help to develop a plan of care.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that staff sign as part of the employment process. The RNs supervise staff to ensure professional practice is maintained in the service. The abuse and neglect processes cover harassment and exploitation. Staff are guided by policies and procedures and demonstrated a clear understanding of the process they would follow, should they suspect any form of exploitation. All residents interviewed reported that the staff respected them. Job descriptions include responsibilities of the position, code of conduct and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aligns with the Health and Disability Services Standards, for residents with aged care and residential disability needs. Staffing policies include pre-employment and the requirement to attend orientation and ongoing in-service training. Residents and families interviewed spoke positively about the care and support provided. Staff interviewed had a sound understanding of principles of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physiotherapist, hospice/palliative care team, district nurse, wound care specialist,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The service utilise online education platforms to upskill staff knowledge.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knocking on doors before entering a room, day to day discussions with residents and their families and staff interviewed being able to identify that they know the residents well.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 collation of several clinical indicator data to identify opportunities to improve care services to their residents. A comprehensive handover process promotes continuity of care delivery. The service utilises an electronic patient management system, supplementary documentation is readily available to access. </w:t>
            </w:r>
          </w:p>
          <w:p w:rsidR="00EB7645" w:rsidRPr="00BE00C7" w:rsidP="00BE00C7">
            <w:pPr>
              <w:pStyle w:val="OutcomeDescription"/>
              <w:spacing w:before="120" w:after="120"/>
              <w:rPr>
                <w:rFonts w:cs="Arial"/>
                <w:b w:val="0"/>
                <w:lang w:eastAsia="en-NZ"/>
              </w:rPr>
            </w:pPr>
            <w:r w:rsidRPr="00BE00C7">
              <w:rPr>
                <w:rFonts w:cs="Arial"/>
                <w:b w:val="0"/>
                <w:lang w:eastAsia="en-NZ"/>
              </w:rPr>
              <w:t>CHT has a coordinated incident management system structure that ensures that resident and staff records (including vaccination status, NHI and working schedules) are updated daily for easy contact tracing as part of CHT Covid-19 preparedness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An open disclosure policy describes ways that information is provided to residents and families. The admission pack contains a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Sixteen incident/accident forms and corresponding residents’ files were reviewed, and all identified that the next of kin were contacted in a timely manner after adverse events or at any time the residents deteriorate. Regular resident and family meetings provide a forum for residents to discuss issues or concerns. Focus group meetings (residents, relatives, and staff) are implemented whenever regular satisfaction survey results are below the target satisfaction rate.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for residents who are unable to speak or understand English. Staff completed training in communicating effectively with residents with cognitive deficits and/or speech impediments (June 2021). Communication to families related to Covid-19 is published on the website, regular newsletters and individual emails are sent to relatives. Family members interviewed confirmed they are updated with any changes in health of their relative and feel informed about the facility’s strategy under the Covid-19 preparedness framework.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St Christopher’s is owned and operated by the CHT Healthcare Trust. The service provides hospital and rest home level care for up to 46 residents. On the day of the audit, there were 39 residents. This included two rest home level residents and 37 hospital level residents. One resident (hospital level) was on the young person with a disability (YPD) contract and one hospital level resident under the long-term support- chronic health care (LTS-CHC) contract.</w:t>
            </w:r>
          </w:p>
          <w:p w:rsidR="00EB7645" w:rsidRPr="00BE00C7" w:rsidP="00BE00C7">
            <w:pPr>
              <w:pStyle w:val="OutcomeDescription"/>
              <w:spacing w:before="120" w:after="120"/>
              <w:rPr>
                <w:rFonts w:cs="Arial"/>
                <w:b w:val="0"/>
                <w:lang w:eastAsia="en-NZ"/>
              </w:rPr>
            </w:pPr>
            <w:r w:rsidRPr="00BE00C7">
              <w:rPr>
                <w:rFonts w:cs="Arial"/>
                <w:b w:val="0"/>
                <w:lang w:eastAsia="en-NZ"/>
              </w:rPr>
              <w:t>All rooms are certified for dual purpose use. There were two rooms temporarily decommissioned due to internal renovations within the rooms. There are two double rooms, one was occupied by a married couple and one vacant.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philosophy of care, which includes a mission statement. The business plan for April 2021 - March 2022 is being implemented and progress is reviewed quarterly. Each facility sets their own goals to align with the CHT business plan. CHT St Christopher’s set five goals for the period and focus on improving the environment, health and safety goals, staff wellbeing, improving activities and quality initiatives. A business continuity plan and Covid-19 preparedness framework is integrated in all levels of the business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been in the role since August 2021. She has management and aged care experience. She maintains an annual practicing certificate and regularly attended CHT management training. The clinical coordinator is a registered nurse who was appointed to the role for six months in a temporary capacity to cover parental leave. The temporary clinical coordinator transferred from another CHT facility and has previous clinical management experience. The unit manager reports weekly to the area manager on a variety of operational issues. The unit manager has completed in excess of eight hours of professional development in the past 12 months including a formal infection prevention and control study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clinical coordinator, care staff and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performance plan for the facility includes quality goals (strategic themes) with associated actions, milestones and dates achieved. The unit manager advised that they are responsible for providing oversight of the quality programme. Interviews with staff confirmed their familiarity with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and updated at the organisational level. New policies or changes to policies are communicated to staff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A range of data (e.g. falls, incidents, property incidents, complaints, staff incidents, complaints, restraint, and medication errors) are collected, collated, and analysed at head office. Managers interviewed (area manager, unit manager and clinical coordinator) advised these results are shared with staff. An internal audit programme consists of two six-monthly audits completed by the area manager (March and October 2021) and include all aspects of the Code of Rights, restraint, and infection control. The area manager completes six monthly audits. There was evidence in the staff meetings to verify staff were informed of the internal audit results. Other audits include monthly health and safety internal audits, medication management (including Medimap), pandemic preparedness, wound and restraint audits that are completed by designated staff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are regularly sent to residents and family, scores are collated, and post interviews are conducted by the area manager. Focus groups (staff, resident and relatives involved) are utilised to ensure a robust corrective action plan is developed and implemented for areas that require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were identified and signed off in a timely manner. Issues identified during meetings (combined quality/health and safety, staff, and resident meetings) and from complaints were addressed, followed up or signed off. </w:t>
            </w:r>
          </w:p>
          <w:p w:rsidR="00EB7645" w:rsidRPr="00BE00C7" w:rsidP="00BE00C7">
            <w:pPr>
              <w:pStyle w:val="OutcomeDescription"/>
              <w:spacing w:before="120" w:after="120"/>
              <w:rPr>
                <w:rFonts w:cs="Arial"/>
                <w:b w:val="0"/>
                <w:lang w:eastAsia="en-NZ"/>
              </w:rPr>
            </w:pPr>
            <w:r w:rsidRPr="00BE00C7">
              <w:rPr>
                <w:rFonts w:cs="Arial"/>
                <w:b w:val="0"/>
                <w:lang w:eastAsia="en-NZ"/>
              </w:rPr>
              <w:t>The 2020/2021/2022 meeting minutes were reviewed and included discussions around Covid-19 preparedness strategies. Interviews with staff confirmed that meeting minutes are posted for them to read/review. Resident/family meetings take place on a bi-monthly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current legislative requirements. A healthcare assistant is the designated health and safety officer and has completed formal training in hazard identification and WorkSafe management. An interview with the health and safety officer and review of health and safety documentation confirmed that legislative requirements are being upheld. Internal audits related to the environment and equipment are completed monthly. The health and safety committee meets quarterly. External contractors and all new staff have been orientated to the facility’s health and safety programme including Covid-19 preparedness requirements. The hazard register was up to date and is reviewed quarterly by the health and safety committee. A hazardous substance register is in place. There were safety signs visible where renovations took place within rooms. </w:t>
            </w:r>
          </w:p>
          <w:p w:rsidR="00EB7645" w:rsidRPr="00BE00C7" w:rsidP="00BE00C7">
            <w:pPr>
              <w:pStyle w:val="OutcomeDescription"/>
              <w:spacing w:before="120" w:after="120"/>
              <w:rPr>
                <w:rFonts w:cs="Arial"/>
                <w:b w:val="0"/>
                <w:lang w:eastAsia="en-NZ"/>
              </w:rPr>
            </w:pPr>
            <w:r w:rsidRPr="00BE00C7">
              <w:rPr>
                <w:rFonts w:cs="Arial"/>
                <w:b w:val="0"/>
                <w:lang w:eastAsia="en-NZ"/>
              </w:rPr>
              <w:t>Staff have completed manual handling and transfer education and competencies. The health and safety officer confirmed there were no staff injuries in the last 18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in place to reduce the number of resident falls. All new residents and residents who have experienced a fall are assessed by a physiotherapist. Sensor (buzzer) mats are used for those residents who are at risk of falling. These residents are checked frequently and are encouraged to be out of their rooms during the day so that they can be monitored more closely. Individual falls prevention strategies are implemented for residents that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that is being implemented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Sixteen accident/incident forms were randomly selected for review. A registered nurse conducts clinical follow-up of each adverse event. Neurological observations are conducted for unwitnessed falls and completed within the requirements of the policy. All adverse events reviewed demonstrated that appropriate clinical follow-up, open disclosure, and investigation took place. Adverse events are also reviewed and signed off by the unit manager. Relatives interviewed confirmed they are informed of any incidents.</w:t>
            </w:r>
          </w:p>
          <w:p w:rsidR="00EB7645" w:rsidRPr="00BE00C7" w:rsidP="00BE00C7">
            <w:pPr>
              <w:pStyle w:val="OutcomeDescription"/>
              <w:spacing w:before="120" w:after="120"/>
              <w:rPr>
                <w:rFonts w:cs="Arial"/>
                <w:b w:val="0"/>
                <w:lang w:eastAsia="en-NZ"/>
              </w:rPr>
            </w:pPr>
            <w:r w:rsidRPr="00BE00C7">
              <w:rPr>
                <w:rFonts w:cs="Arial"/>
                <w:b w:val="0"/>
                <w:lang w:eastAsia="en-NZ"/>
              </w:rPr>
              <w:t>Trends are identified at head office with data benchmarked against the other sixteen CHT facilities. This benchmarked data is available electronically and also posted as a PowerPoint presentation at the monthly quality meetings. The area manager reports monthly, all key quality performance data to the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unit manager confirmed that there is an awareness of the requirement to notify relevant authorities in relation to essential notifications with examples provided (e.g. police investigations, RN cover, pressure injuries). There were fourteen section 31s reported to HealthCERT since the last audit (including one police investigation [Dec 2021], four for RN unavailability, two for change in clinical coordinator [February 2019 and December 2021], one for change in unit manager [August 2021], three non-facility acquired unstageable pressure injuries, two non-facility acquired stage three pressure injuries and one deep tissue pressure injury facility acquired).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Seven staff files reviewed (one clinical coordinator/RN, two staff RNs, three HCAs and one activities coordinator) evidenced implementation of the recruitment process, employment contracts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remarked that new staff were well orientated to the service. Evidence of an orientation programme being completed was sighted in the staff files. Orientation includes an Altura learning package.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that includes in-services and completion of online education modules. The competency programme is ongoing with different requirements according to work type. The unit manager and registered nurses are able to attend external training, including sessions provided by the local DHB. Four of the six (including clinical coordinator) registered nurses employed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attended monthly CHT managers’ meetings and attended professional development related to managing an aged care service. In addition, she attends in-service training at the facility (e.g. chemical safety, syringe driving training, restraint minimisation, cultural training, infection control training, food safety training). The clinical coordinator has maintained training records that reflect attendance at the following in-services in 2021: informed consent; abuse and neglect; cultural safety; medication management; death and dying; infection control; clinical emergencies/CPR; continence management; restraint minimisation; skin and wound management; health and safety; chemical handling; and accident/incident reporting. The clinical coordinator also attended an external session/study day on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28 HCAs with nine completed level 4 and eleven completed level 3 National certificate in Health and Wellbeing. The area manager confirmed several HCAs are enrolled at different levels with Careerforce to further their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w:t>
            </w:r>
          </w:p>
          <w:p w:rsidR="00EB7645" w:rsidRPr="00BE00C7" w:rsidP="00BE00C7">
            <w:pPr>
              <w:pStyle w:val="OutcomeDescription"/>
              <w:spacing w:before="120" w:after="120"/>
              <w:rPr>
                <w:rFonts w:cs="Arial"/>
                <w:b w:val="0"/>
                <w:lang w:eastAsia="en-NZ"/>
              </w:rPr>
            </w:pPr>
            <w:r w:rsidRPr="00BE00C7">
              <w:rPr>
                <w:rFonts w:cs="Arial"/>
                <w:b w:val="0"/>
                <w:lang w:eastAsia="en-NZ"/>
              </w:rPr>
              <w:t>There were 39 residents at the facility at the time of the audit. The service regularly uses agency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staff are rostered on to manage the care requirements of the residents. The area manager confirmed that there are now a full complement of RNs on the roster. The roster reviewed confirmed all shifts are covered and where required, agency RNs are booked to complete the roster. Agency staff are used when casual staff are not available. The unit manager remarked that RN staffing turnover has been moderate with losses reported in 2021 to the DHB. There is a clearly documented process to manage risk in case of RN unavailability and include RNs to extend shifts and work 12-hour days or the shifts will be covered by the unit manager and clinical coordinator when all other options fail. All current registered nurse roles are filled, with no vacancies and the service is currently recruiting to extend the activities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allowance/contingency in the roster to increase staff hours with 30 hours per day as part of the pandemic planning strategy.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and clinical coordinator support the RNs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There is a north wing (Puriri and Nikau) and a south wing (Kauri and Rimu).</w:t>
            </w:r>
          </w:p>
          <w:p w:rsidR="00EB7645" w:rsidRPr="00BE00C7" w:rsidP="00BE00C7">
            <w:pPr>
              <w:pStyle w:val="OutcomeDescription"/>
              <w:spacing w:before="120" w:after="120"/>
              <w:rPr>
                <w:rFonts w:cs="Arial"/>
                <w:b w:val="0"/>
                <w:lang w:eastAsia="en-NZ"/>
              </w:rPr>
            </w:pPr>
            <w:r w:rsidRPr="00BE00C7">
              <w:rPr>
                <w:rFonts w:cs="Arial"/>
                <w:b w:val="0"/>
                <w:lang w:eastAsia="en-NZ"/>
              </w:rPr>
              <w:t>The roster is as follows:</w:t>
            </w:r>
          </w:p>
          <w:p w:rsidR="00EB7645" w:rsidRPr="00BE00C7" w:rsidP="00BE00C7">
            <w:pPr>
              <w:pStyle w:val="OutcomeDescription"/>
              <w:spacing w:before="120" w:after="120"/>
              <w:rPr>
                <w:rFonts w:cs="Arial"/>
                <w:b w:val="0"/>
                <w:lang w:eastAsia="en-NZ"/>
              </w:rPr>
            </w:pPr>
            <w:r w:rsidRPr="00BE00C7">
              <w:rPr>
                <w:rFonts w:cs="Arial"/>
                <w:b w:val="0"/>
                <w:lang w:eastAsia="en-NZ"/>
              </w:rPr>
              <w:t>North wing – 20 beds and 16 occupied with 15 hospital and one rest home level resident.</w:t>
            </w:r>
          </w:p>
          <w:p w:rsidR="00EB7645" w:rsidRPr="00BE00C7" w:rsidP="00BE00C7">
            <w:pPr>
              <w:pStyle w:val="OutcomeDescription"/>
              <w:spacing w:before="120" w:after="120"/>
              <w:rPr>
                <w:rFonts w:cs="Arial"/>
                <w:b w:val="0"/>
                <w:lang w:eastAsia="en-NZ"/>
              </w:rPr>
            </w:pPr>
            <w:r w:rsidRPr="00BE00C7">
              <w:rPr>
                <w:rFonts w:cs="Arial"/>
                <w:b w:val="0"/>
                <w:lang w:eastAsia="en-NZ"/>
              </w:rPr>
              <w:t>AM: RN 7 am-1 pm, 2 HCAs 6.45 am-3.15 pm, one HCA from 7 am-12 noon runner/floater.</w:t>
            </w:r>
          </w:p>
          <w:p w:rsidR="00EB7645" w:rsidRPr="00BE00C7" w:rsidP="00BE00C7">
            <w:pPr>
              <w:pStyle w:val="OutcomeDescription"/>
              <w:spacing w:before="120" w:after="120"/>
              <w:rPr>
                <w:rFonts w:cs="Arial"/>
                <w:b w:val="0"/>
                <w:lang w:eastAsia="en-NZ"/>
              </w:rPr>
            </w:pPr>
            <w:r w:rsidRPr="00BE00C7">
              <w:rPr>
                <w:rFonts w:cs="Arial"/>
                <w:b w:val="0"/>
                <w:lang w:eastAsia="en-NZ"/>
              </w:rPr>
              <w:t>PM: 2 HCAs from 3 pm-11 pm.</w:t>
            </w:r>
          </w:p>
          <w:p w:rsidR="00EB7645" w:rsidRPr="00BE00C7" w:rsidP="00BE00C7">
            <w:pPr>
              <w:pStyle w:val="OutcomeDescription"/>
              <w:spacing w:before="120" w:after="120"/>
              <w:rPr>
                <w:rFonts w:cs="Arial"/>
                <w:b w:val="0"/>
                <w:lang w:eastAsia="en-NZ"/>
              </w:rPr>
            </w:pPr>
            <w:r w:rsidRPr="00BE00C7">
              <w:rPr>
                <w:rFonts w:cs="Arial"/>
                <w:b w:val="0"/>
                <w:lang w:eastAsia="en-NZ"/>
              </w:rPr>
              <w:t>South wing – 26 beds and 23 occupied with 22 hospital and one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AM: RN  7 am-3 pm; 4 HCAs 6.45 am-3.15 pm.</w:t>
            </w:r>
          </w:p>
          <w:p w:rsidR="00EB7645" w:rsidRPr="00BE00C7" w:rsidP="00BE00C7">
            <w:pPr>
              <w:pStyle w:val="OutcomeDescription"/>
              <w:spacing w:before="120" w:after="120"/>
              <w:rPr>
                <w:rFonts w:cs="Arial"/>
                <w:b w:val="0"/>
                <w:lang w:eastAsia="en-NZ"/>
              </w:rPr>
            </w:pPr>
            <w:r w:rsidRPr="00BE00C7">
              <w:rPr>
                <w:rFonts w:cs="Arial"/>
                <w:b w:val="0"/>
                <w:lang w:eastAsia="en-NZ"/>
              </w:rPr>
              <w:t>PM: 3 HCAs from 3 pm-11 pm (one a runner/floater).</w:t>
            </w:r>
          </w:p>
          <w:p w:rsidR="00EB7645" w:rsidRPr="00BE00C7" w:rsidP="00BE00C7">
            <w:pPr>
              <w:pStyle w:val="OutcomeDescription"/>
              <w:spacing w:before="120" w:after="120"/>
              <w:rPr>
                <w:rFonts w:cs="Arial"/>
                <w:b w:val="0"/>
                <w:lang w:eastAsia="en-NZ"/>
              </w:rPr>
            </w:pPr>
            <w:r w:rsidRPr="00BE00C7">
              <w:rPr>
                <w:rFonts w:cs="Arial"/>
                <w:b w:val="0"/>
                <w:lang w:eastAsia="en-NZ"/>
              </w:rPr>
              <w:t>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10.45 pm- 7.15 am </w:t>
            </w:r>
          </w:p>
          <w:p w:rsidR="00EB7645" w:rsidRPr="00BE00C7" w:rsidP="00BE00C7">
            <w:pPr>
              <w:pStyle w:val="OutcomeDescription"/>
              <w:spacing w:before="120" w:after="120"/>
              <w:rPr>
                <w:rFonts w:cs="Arial"/>
                <w:b w:val="0"/>
                <w:lang w:eastAsia="en-NZ"/>
              </w:rPr>
            </w:pPr>
            <w:r w:rsidRPr="00BE00C7">
              <w:rPr>
                <w:rFonts w:cs="Arial"/>
                <w:b w:val="0"/>
                <w:lang w:eastAsia="en-NZ"/>
              </w:rPr>
              <w:t>2 HCAs 11 pm-7 am working across the unit.</w:t>
            </w:r>
          </w:p>
          <w:p w:rsidR="00EB7645" w:rsidRPr="00BE00C7" w:rsidP="00BE00C7">
            <w:pPr>
              <w:pStyle w:val="OutcomeDescription"/>
              <w:spacing w:before="120" w:after="120"/>
              <w:rPr>
                <w:rFonts w:cs="Arial"/>
                <w:b w:val="0"/>
                <w:lang w:eastAsia="en-NZ"/>
              </w:rPr>
            </w:pPr>
            <w:r w:rsidRPr="00BE00C7">
              <w:rPr>
                <w:rFonts w:cs="Arial"/>
                <w:b w:val="0"/>
                <w:lang w:eastAsia="en-NZ"/>
              </w:rPr>
              <w:t>Activities: Monday- Sundays 35 hours per week.</w:t>
            </w:r>
          </w:p>
          <w:p w:rsidR="00EB7645" w:rsidRPr="00BE00C7" w:rsidP="00BE00C7">
            <w:pPr>
              <w:pStyle w:val="OutcomeDescription"/>
              <w:spacing w:before="120" w:after="120"/>
              <w:rPr>
                <w:rFonts w:cs="Arial"/>
                <w:b w:val="0"/>
                <w:lang w:eastAsia="en-NZ"/>
              </w:rPr>
            </w:pPr>
            <w:r w:rsidRPr="00BE00C7">
              <w:rPr>
                <w:rFonts w:cs="Arial"/>
                <w:b w:val="0"/>
                <w:lang w:eastAsia="en-NZ"/>
              </w:rPr>
              <w:t>An external contractor employs the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electronic record supplemented by a paper based resident file. Residents' files are protected from unauthorised access by being locked away in the nurses’ stations. Informed consent to display photographs is obtained from residents/family/whānau on admission. Other residents or members of the public are not able to view sensitive resident information. Entries in records are legible, dated and signed by the relevant HCA or RN. Documents are archived on site in an appropriate secure room. Staff have access to the electronic file with an individual username and passcode.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unit manager and clinical coordinator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contract. The seven admission agreements reviewed meet the requirements of the ARRC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unit manager or clinical coordinator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One file reviewed was of a resident who was transferred to hospital acutely following an unwitnessed fall &amp; pain in left hip. All appropriate documentation and communication were completed. Transfer to the hospital and all appropriate actions were documented in the progress notes. The resident was observed leaving the facility with documentation provided to ambulance staff in the DHB ‘yellow envelope’ described above.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self-medicating on the day of audit. Appropriate assessment to self-medicate had been undertaken and signed off by the GP, and the resident had safe storage available. There are no standing orders in use and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and senior medication competent healthcare assistants administer medications. Staff have up to date medication competencies and there has been medication education in the last year. Registered nurses have syringe driver training completed by the hospice. The temperatures for the medication fridges and two medication rooms are checked daily and were within safe limits. Eye drops and topical medications were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medication charts were reviewed. Medications are reviewed at least three-monthly by the GP. There was photo identification and allergy status recorded. ‘As required’ medications had indications for use charted and effectiveness post-administration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outsourced to an external contractor. The chef unit manager oversees the procurement of the food and management of the kitchen. All meals are cooked on site. The kitchen was observed to be clean and well organised, and a current approved food control plan was in evidence, expiring July 2023. All kitchen staff have food safety and hand hygiene training. The kitchen is adjacent to the rest home dining room and meals are served from the bain-marie in the kitchen to residents in the dining room by the kitchen staff. Meals are plated in the kitchen for the hospital dining room and delivered in a scan box to be served by the HCAs. There is specialised crockery and cutlery for use as required. On the days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Kitchen fridge and freezer temperatures are monitored and recorded daily. Meals are served in each area from hot boxes. Food temperatures are checked at all meals and these were all within safe limits. The residents have a nutritional profile developed on admission, which identifies dietary requirements, likes, and dislikes. This is reviewed six-monthly as part of the care plan review. Changes to residents’ dietary needs have been communicated to the kitchen. Special diets and likes and dislikes are noted on a kitchen whiteboard, including requirements for those residents on the REAP (replenish and energy protein) programme. The four-weekly seasonal menu cycle is written and approved by an external dietitian. Audits are implemented to monitor performance and residents/families interviewed commented positively regarding the standard and quantity of food.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age-related residential care (ARRC) and LTS-CHC residents’ files reviewed. Initial interRAI assessments and reviews were evident for all resident files sampled apart from the YPD file which did not require an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were resident 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dietitian, podiatrist, wound care specialist and mental health care team for older people.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 Wounds included two chronic wounds, eleven skin tears, one stage 2 pressure injury (facility acquired) and one resident with three unstageable (community acquired) pressure injuries. The unstageable pressure injury had an incident form completed, section 31 submitted, appropriate wound care plans and specialist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activity coordinators covering seven days between them who plan and lead all activities. Residents were observed participating in planned group and one on one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A printed copy is delivered to each resident’s room and emailed to family weekly. Residents have the choice of a variety of activities which are varied according to resident preference and need. These include (but are not limited to) exercises, walks outside, crafts, games, quizzes, entertainers, gardening group, pet therapy,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are outings twice-weekly and the service utilises a contracted wheelchair accessible minibus. There are regular entertainers visiting the facility when Covid restrictions permit. Special events like Mat ariki, birthdays, Easter, Mothers’ Day, and Anzac Day are celebrated. There are visiting community groups such as cultural dance groups, churches, and children’s groups (again, subject to Covid level restrictions). An activities coordinator brings in her kittens for the pet therapy sessions.</w:t>
            </w:r>
          </w:p>
          <w:p w:rsidR="00EB7645" w:rsidRPr="00BE00C7" w:rsidP="00BE00C7">
            <w:pPr>
              <w:pStyle w:val="OutcomeDescription"/>
              <w:spacing w:before="120" w:after="120"/>
              <w:rPr>
                <w:rFonts w:cs="Arial"/>
                <w:b w:val="0"/>
                <w:lang w:eastAsia="en-NZ"/>
              </w:rPr>
            </w:pPr>
            <w:r w:rsidRPr="00BE00C7">
              <w:rPr>
                <w:rFonts w:cs="Arial"/>
                <w:b w:val="0"/>
                <w:lang w:eastAsia="en-NZ"/>
              </w:rPr>
              <w:t>The younger residents (YPD and LTS-CHC) have individualised activity plans that take account of their age, culture, and abilities. They are encouraged to maintain links with the local community and are supported with the use of their own phones, laptops, and tablets to have regular contact with friends and family. Activities observed include age-appropriate music and one on one discussion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which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bi-monthly. Residents interviewed commented positively about the activity programme, especially the ability to grow their own vegetables and watermelons.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seven resident care plans reviewed had been evaluated by the registered nurses six-monthly or earlier if there was a change in health status (four had not been in the service for six months), which included progression towards written goals. Short-term care plans for short-term needs are evaluated and signed off as resolved or added to the long-term care plan as an ongoing problem. 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unit coordinator, clinical coordinator and registered nurses interviewed could give examples of where a resident was admitted with multiple pressure injuries and wound nurse specialist input had been sought. Discussion with the unit coordinator and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services are outsourced to an external provider and there are implemented policies in place to guide staff in waste management. Staff interviewed were aware of practices outlined in relevant policy. Gloves, aprons, and goggles are available, and staff were observed wearing personal protective clothing while carrying out their duties. Chemicals sighted were labelled correctly and there is no decanting of chemicals. Safety datasheets for chemicals are readily accessible for staff, however, not all chemicals were stored in locked areas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16 March 2022. </w:t>
            </w:r>
          </w:p>
          <w:p w:rsidR="00EB7645" w:rsidRPr="00BE00C7" w:rsidP="00BE00C7">
            <w:pPr>
              <w:pStyle w:val="OutcomeDescription"/>
              <w:spacing w:before="120" w:after="120"/>
              <w:rPr>
                <w:rFonts w:cs="Arial"/>
                <w:b w:val="0"/>
                <w:lang w:eastAsia="en-NZ"/>
              </w:rPr>
            </w:pPr>
            <w:r w:rsidRPr="00BE00C7">
              <w:rPr>
                <w:rFonts w:cs="Arial"/>
                <w:b w:val="0"/>
                <w:lang w:eastAsia="en-NZ"/>
              </w:rPr>
              <w:t>The building consists of four wings. The full-time maintenance person oversees three CHT sites and is on site at St Christopher’s one day a week and available at other times as required. A maintenance communication log is maintained and demonstrated maintenance and repairs are addressed within a timely manner. There is a planned maintenance schedule in place. The maintenance person is a qualified electrical tester and completes the test and tag of all electrical equipment. Hot water temperature checks in resident areas are completed monthly and are below 45 degrees Celsius.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space for residents to mobilise using mobility aids and residents were observed moving around freely. External areas are well maintained around the existing building, and include extensive gardens with flower and vegetable beds, some of which are raised for wheelchair accessibility. Seating and shade are available.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mix of rooms with ensuites and there is access to communal facilities for resident in rooms without ensuites. Fixtures, fittings, and flooring in all areas are appropriate and toilets/showers are constructed for ease of cleaning. Communal, visitor and staff toilets are available and contained flowing soap and paper towels. Communal toilets and bathrooms had appropriate signage and locks on the doors. Sluice facilities are available and suitably equipped.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occupancy apart from one double (Rimu wing). There is sufficient space to allow care to be provided and for the safe use of mobility equipment. There is hand washing facilities including free flowing soap and paper towels in the residents rooms.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all areas on a rotating basis,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clothing and laundry are taken off site and laundered by a contracted company seven days a week. When the laundry is returned to site the healthcare assistants sort the personal clothing and take it to the residents’ rooms. There is a defined clean and dirty area of the laundry and an entry and exit door. The laundry area is well equipped.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 that they were satisfied with the laundry and cleaning services provided. Personal protective clothing is available including gloves, aprons, and face masks. Adequate linen supplies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Cleaners are available seven days per week. Cleaning staff could adequately describe their responsibilities and procedures related to infection prevention and control. There is a cleaning manual available. Cleaning and laundry services are monitored through the internal auditing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trolleys and cupboard have lockable storage for chemicals (link 1.4.1.1).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and emergency management plan are in place to ensure health, civil defence and other emergencies are included. Six-monthly fire evacuation practice documentation was sighted (last 1 November 2021). A fire drill has been completed.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The site has 7000 litres of emergency water in tanks in addition to bottled water within the building.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There are call bells in the residents’ rooms and these were observed to be operational and within close proximity. The facility is secure at night and there is security lighting.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that this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St Christopher’s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staff involved in the infection control meetings that is linked to clinical, staff and quality meetings.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during cares or opportunities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CHT St Christopher’s is the designated infection control (IC) coordinator. There are adequate resources to implement the infection control programme for the size and complexity of the organisation. The IC nurse has good external support from the local laboratory, infection control team and IC nurse specialist at the DHB and CHT head office. Infection prevention and control is part of staff orientation and induction. Hand washing facilities are available throughout the facility and alcohol hand gel is freely available in all areas and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practice good handwashing techniques. There are sufficient pandemic stock available including rapid antigen tests, isolation kits, masks, and other PPE. There is a clear framework and plan for cohorting of staff and residents to mitigate the risk of Covid-19. Staff are not working across North and South wing.</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adhere to cleaning practices for equipment use between residents, reusable items, but also touch screens and computer equipment. All staff and residents (consented) received Covid-19 vaccinations and boosters.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CHT infection control policies and procedures appropriate for the size and complexity of the service. Policies are available electronically on file or in hard copy. The infection control manual outlines a comprehensive range of policies, standards and guidelines and includes defining roles, responsibilities and oversight, the infection control team and training and education of staff. Policies have been reviewed and updated. Policies include information and a response framework on Covid-19 preparedness and extend to cleaning and laundry practices including cleaning and disinfecting of surfaces.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completed competencies for handwashing and the correct use of PPE. Scheduled training related to the facility’s Covid-19 preparedness occurs and during different alert levels of Covid-19, meetings increased to twice a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CHT’s infection control manual. Monthly infection data is collected for all infections based on signs and symptoms of infection and antibiotic duration. Short-term care plans are used. Surveillance of all infections is entered into an electronic resident system and extracts provide a monthly infection summary. This data is monitored, evaluated, and reported monthly and annually. Outcomes and actions are discussed at quality meetings. If there is an emergent issue, it is acted upon in a timely manner. Reports are easily accessible to the unit manager.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Covid-19 preparedness framework is implemented at all levels of service delivery. All visitors to the facility are required to sign in electronically, wear a mask, show a vaccine passport on entry, complete a health declaration with temperature checking and Covid QR scanning. There are special arrangements in place for children and unvaccinated visitors. Residents going out into the community have to isolate for 72 hours depending on a risk assessment outcome or a rapid antigen screening test will be done. </w:t>
            </w:r>
          </w:p>
          <w:p w:rsidR="00EB7645" w:rsidRPr="00BE00C7" w:rsidP="00BE00C7">
            <w:pPr>
              <w:pStyle w:val="OutcomeDescription"/>
              <w:spacing w:before="120" w:after="120"/>
              <w:rPr>
                <w:rFonts w:cs="Arial"/>
                <w:b w:val="0"/>
                <w:lang w:eastAsia="en-NZ"/>
              </w:rPr>
            </w:pPr>
            <w:r w:rsidRPr="00BE00C7">
              <w:rPr>
                <w:rFonts w:cs="Arial"/>
                <w:b w:val="0"/>
                <w:lang w:eastAsia="en-NZ"/>
              </w:rPr>
              <w:t>Covid screening is done prior to entry to the facility for all new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two residents with restraint (bedrails) and six residents with an enabler (lap belts and/or bedrails). Enabler use is voluntary. All necessary documentation has been completed in relation to the restraints. Staff interviews and staff records evidence that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and managing of challenging behaviour has been provided. Restraint has been discussed as part of quality/health and safety meetings. The area manager completes six monthly restraint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restraint coordinator. Assessment and approval processes for restraint use include the restraint coordinator, registered nurses, resident and/or EPOA/family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 comprehensive assessment for each resident who requires restraint or enabler interventions that meets criteria (a) – (h). Assessments are undertaken by either the restraint coordinator or a registered nurse in partnership with the family/whānau and medical practitioner as evidenced in all resident files where a restraint or enabler was being used. In all files reviewed, consents for the use of the restraint/enabler were also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and register identify those restraints are put in place only where it is clinically indicated and justified, and approval processes are obtained/met. An assessment form/process is completed for all restraints and enablers. The files reviewed had a completed assessment form and a care plan that reflected risk.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document regular monitoring at the frequency determined by the risk level, which in the case of the one resident using a restraint was four-hourly (low risk).</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restraint and enablers register, which is updated each month. Restraint use is audited in the six-monthly internal audit. The completion of restraint forms (e.g. assessments, monitoring forms, six-monthly reviews) are monitored a minimum of monthly by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evaluates the use of each restraint or an enabler every six months. In the eight files reviewed (two restraints and six enablers), evaluations had been completed with the resident, family/whānau and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reviewed every month by the restraint coordinator with data shared at the staff/quality and RN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programme and reporting cycle. The restraint minimisation programme is reviewed annually at head office with input provided by each CHT facility including St Christopher’s. Review processes include policy and procedures review, trends analysis around restraint use and the review of staff education programmes.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62"/>
        <w:gridCol w:w="1280"/>
        <w:gridCol w:w="5684"/>
        <w:gridCol w:w="1955"/>
        <w:gridCol w:w="14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were able to be stored safely in a lockable cleaners’ cupboard and trolleys, however chemicals were seen to be unattended on top of cleaners’ trolleys and in an unlocked cleaner’s cupboard. A corrective action plan which included staff education and escalation to the area and national management of the contracted provider to remedy this was commenced on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Chemicals were observed to be unlocked and accessible on the cleaners’ trolleys on three separate occasions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lockable cleaners’ cupboard was wedged open making the chemicals inside accessible to residents and visitors.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all chemicals are stored safely in a manner not accessible to residents and visitors.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Christophers Rest Home &amp; Hospital</w:t>
    </w:r>
    <w:bookmarkEnd w:id="58"/>
    <w:r>
      <w:rPr>
        <w:rFonts w:cs="Arial"/>
        <w:sz w:val="16"/>
        <w:szCs w:val="20"/>
      </w:rPr>
      <w:tab/>
      <w:t xml:space="preserve">Date of Audit: </w:t>
    </w:r>
    <w:bookmarkStart w:id="59" w:name="AuditStartDate1"/>
    <w:r>
      <w:rPr>
        <w:rFonts w:cs="Arial"/>
        <w:sz w:val="16"/>
        <w:szCs w:val="20"/>
      </w:rPr>
      <w:t>8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