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Munro Resthomes Limited - Malyon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Munro Resthomes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Malyon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2022</w:t>
      </w:r>
      <w:bookmarkEnd w:id="7"/>
      <w:r w:rsidRPr="009418D4">
        <w:rPr>
          <w:rFonts w:cs="Arial"/>
        </w:rPr>
        <w:tab/>
        <w:t xml:space="preserve">End date: </w:t>
      </w:r>
      <w:bookmarkStart w:id="8" w:name="AuditEndDate"/>
      <w:r w:rsidR="00A4268A">
        <w:rPr>
          <w:rFonts w:cs="Arial"/>
        </w:rPr>
        <w:t>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The service is also certified for Hospital – medical level care. This should be included in the services audited above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Malyon House provides rest home and hospital (geriatric and medical) level care for up to 57 residents with an occupancy of 55 residents on the days of audit. The service is managed by a director (registered nurse), facility manager (registered nurse), clinical manager (registered nurse) and administration manager.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The residents and relatives interviewed were very complimentary about the care and support provided.</w:t>
      </w:r>
    </w:p>
    <w:p w:rsidRPr="00A4268A">
      <w:pPr>
        <w:spacing w:before="240" w:line="276" w:lineRule="auto"/>
        <w:rPr>
          <w:rFonts w:eastAsia="Calibri"/>
        </w:rPr>
      </w:pPr>
      <w:r w:rsidRPr="00A4268A">
        <w:rPr>
          <w:rFonts w:eastAsia="Calibri"/>
        </w:rPr>
        <w:t xml:space="preserve">This audit identified three shortfalls to care planning,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Malyon House strive to ensure that care is provided in a way that focuses on the individual, values residents' independence and maintains their privacy and choice. The service functions in a way that complies with the Health and Disability Commissioner’s Code of Consumers’ Rights (the Code). Residents’ individual cultural and spiritual needs are met including recognition of Māori culture. Care plans accommodate the choices of residents and/or their family. 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management team are responsible for the day-to-day operations of the facility. Malyon House is implementing a quality and risk management system that supports the provision of clinical care. Quality activities are conducted which generates opportunities for improvement. Meetings are held to discuss quality and risk management processes. Corrective actions are developed and implemented as required. Health and safety policies, systems and processes are implemented to manage risk.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family/whanau input. Care plans viewed demonstrate service integration and are reviewed at least six-monthly. Resident files include medical notes by the contracted general practitioner and visiting allied health professionals. Documented medication policies reflect legislative requirements and guidelines. Registered nurses and medication competent care assistants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 </w:t>
      </w:r>
    </w:p>
    <w:p w:rsidRPr="00A4268A" w:rsidP="00621629">
      <w:pPr>
        <w:spacing w:before="240" w:line="276" w:lineRule="auto"/>
        <w:rPr>
          <w:rFonts w:eastAsia="Calibri"/>
        </w:rPr>
      </w:pPr>
      <w:r w:rsidRPr="00A4268A">
        <w:rPr>
          <w:rFonts w:eastAsia="Calibri"/>
        </w:rPr>
        <w:t>All food and baking are prepared and cooked on site. The menu has been reviewed by a dietitian and a current food control plan is in place. Residents interviewed were complimentary of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Appropriate training, information, and equipment for responding to emergencies are provided. There is an emergency management plan in place and adequate civil defence supplies in the event of an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and two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nurse has attended external education and coordinates education and training for staff. Results of surveillance are acted upon, evaluated, and reported to relevant personnel in a timely manner. Infection prevention and control is integrated into full staff and registered nurse meetings. There is a suite of infection control policies and guidelines to support practice. The Covid-19 preparedness framework reflects in all levels of the infection control programme. A monthly infection control report is completed for analysis and benchmarked with other facilities within the Cavell group. There had been one norovirus outbreak in January 2021.</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3"/>
        <w:gridCol w:w="1280"/>
        <w:gridCol w:w="9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relating to the Code of Health and Disability Services Consumer Rights (the Code) is implemented. Leaflets on the Code are accessible to residents and their families. Staff receive training about the Code during their induction to the service, with this provided annually through the staff education and training programme. A staff education session on the Code was held in 2021 around rights and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Four managers (the director, and facility, clinical and administration managers) and 10 staff (three care assistants, two registered nurses, the cook, laundry assistant, cleaner, diversional therapist, maintenance) all stated that they understood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Systems are in place to ensure residents and where appropriate, their family/whanau, are provided with appropriate information to make informed choices and informed decisions. The caregivers and RNs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have been made aware of and fully understand informed consent processes and that appropriate information had been provided. General consents were obtained on admission and sighted in eight resident files reviewed (including one resident on younger persons with disabilities contract and one resident on respite). Advance directives were sighted in each resident’s file relating to resuscitation status, having been completed by the resident (where they were competent to do so) in the presence of the general practitioner. Policy dictates that where a resident is not competent to make an advance direction around resuscitation, resuscitation will be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that were interviewed were aware of how to access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The service has continued to work with the community as much as possible to maintain links. During periods of lockdown, there have been restrictions on entertainers coming into the service however whenever possible, these have been renewed once restrictions have been lifted. Residents are encouraged to have visitors and to go out to the community as much as possible noting that Covid 19 and the pandemic restrictions have placed a hold on this during 2021 and year to date. There is a café located next door to the facility and residents and family stated that they enjoyed visiting.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confirmed that they were well informed around Covid-19 and had received updates and information from the service around policies, systems, and expectations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Interviews with residents and family members confirmed that they understand the complaints process. They also confirmed that management and staff are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five complaints lodged with the service in 2021 and one in 2022 year to date. Three complaints reviewed had been managed appropriately with acknowledgement, investigations and resolved to the satisfaction of the complainant. A review of the complaints register evidenced that the appropriate actions have been taken to improve the service. There have not been any external complaints to the service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clinical manager (CM) discusses aspects of the Code with residents and their family on admission. Discussions relating to the Code are also held during the resident/family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Eight residents (six at hospital level of care including two palliative care and one respite, and two at rest home level including one respite) and seven relatives interviewed (six with a family member using hospital level of care including one under a Long-Term Support– Chronic Health Condition [LTS-CHC] contract and one rest home) reported that the residents’ rights were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The residents’ personal belongings are used to decorate their rooms. Care staff stated that they knock before going into a resident’s room and this was observed on the day of audit. All toilets and bathrooms have locks to ensure privacy. The residents interviewed stated that their privacy was observed. </w:t>
            </w:r>
          </w:p>
          <w:p w:rsidR="00EB7645" w:rsidRPr="00BE00C7" w:rsidP="00BE00C7">
            <w:pPr>
              <w:pStyle w:val="OutcomeDescription"/>
              <w:spacing w:before="120" w:after="120"/>
              <w:rPr>
                <w:rFonts w:cs="Arial"/>
                <w:b w:val="0"/>
                <w:lang w:eastAsia="en-NZ"/>
              </w:rPr>
            </w:pPr>
            <w:r w:rsidRPr="00BE00C7">
              <w:rPr>
                <w:rFonts w:cs="Arial"/>
                <w:b w:val="0"/>
                <w:lang w:eastAsia="en-NZ"/>
              </w:rPr>
              <w:t>House rules are signed by staff at commencement of employment. Residents and relatives interviewed reported that residents can choose to engage in activities and access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Abuse and neglect training is part of the annual compulsory training schedule with this last provided in 2021. Staff and the GP interviewed confirmed that there was no evidence of abuse or neglect. The managers confirmed that there had not been any incidents around abuse or neglect since the last audit. Spiritual needs are individually identified as part of the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 of the audit there was one resident that identified as Māori. Interview with the Māori resident confirmed that their cultural needs were met. Discussions with staff confirmed that they are aware of the need to respond with appropriate cultural safety. The service has established links with a Māori kaumātua (NASC assessor) who assists in reviewing policies and protocol and is available to provide advice at any time and assists in review of relevant policies and plans. There is a now-retired care assistant who identifies as Māori who no longer works at the service but has said that they are happy to assist in a similar manner on a voluntary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in consultation with the resident (as appropriate) and/or their family/whanau. Care staff interviewed could describe how they would communicate with non-English speaking residents with the use of body language and pictorial cards. Cultural awareness training is part of the annual compulsory training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zero tolerance against any discrimination occurring. The abuse and neglect processes cover harassment and exploitation. All residents and relatives interviewed reported that the staff show respect towards them. Job descriptions include responsibilities of the position. The employee agreement and orientation provided to staff on induction includes standards of professional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and hospital level care. The service has policies to guide practice that align with the health and disability services standards, for residents with aged care needs. The quality programme has been designed to monitor contractual and standards compliance and the quality-of-service delivery in the facility. Staffing policies include pre-employment and the requirement to complete orientation and complete the online training programme. There is a clinical leadership team of experienced RNs (director, facility, and clinical managers along with RNs) to guide and mentor the caregivers. The director, facility manager and clinical manager are all regularly working RN shifts on the floor to ensure that there are no gaps while there is a shortage of registered nurses. Residents and relatives interviewed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on interview that the staff and management are approachable and available. Twelve incident forms reviewed identified family were notified following a resident incident. Relatives interviewed confirmed they are notified of any incidents/accidents. Families are invited to attend the six-monthly resident/family meetings. Interpreter services are available as required. The management team provided communication around Covid 19 and any changes in practice in a timely manner to residents and family members via email, phone, and face to face. Residents and family confirmed that they were very satisfied with the amount of information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is owned and operated by Munro Resthomes Limited. The service provides rest home, hospital (geriatric and medical) care for up to 57 residents. Eight beds in one wing are rest home level care only and the remaining forty-nine are dual purpose beds. On the day of audit, there were 55 residents (15 residents receiving rest home level care, including one respite resident, and 40 receiving hospital level care including one younger person with disability (YPD) contract, three under a palliative care contract, one resident on a long-term support – chronic health contract (LTS-CHC) and one respite. All other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part of the Cavell Group. There are two directors including one who is hands-on in managing the service. Malyon House has a strategic plan (developed by the Cavell Group) and 2021-2022 business plan that cascades from the strategic plan. There is a philosophy of care and mission statement which links to the organisation’s strategic plan and is reviewed annually with the two directors. The facility manager reports to the director regularly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a current annual practicing certificate (APC) who has been in the role for one and a half years. They have three years in a clinical manager role in the community prior to coming to the service and has 12 years’ experience in aged care nursing. The facility manager is supported by a clinical manager who was initially a registered nurse at the service and now has five years’ experience in the role as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discussions with the management team, they reported a high staff turnover, in particular registered nurses. The service has struggled to replace nurses when they have left. Managers have taken on shifts to ensure that there are always sufficient nursing staff on duty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clinical and facility managers have all completed a minimum of eight hours of professional development relating to the management of an aged care service in the past twelve months and in clinical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facility and clinical managers are all RNs who are able to provide clinical oversight at any given time if one is on leave. The director, administration manager and the facility manager can provide support if any of them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in place.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to manage policies and procedures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 an internal audit programme and data collection, analysis and review of adverse events including accidents, incidents, infections, wounds, and pressure injuries. Corrective action plans are put in place when issues are identified and there is evidence of resolution of issues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results being communicated regularly to staff through six weekly staff meetings, monthly management meetings, monthly health, and safety meetings and six weekly clinical meetings. There are also six-monthly resident and family meetings. Meeting minutes reviewed showed that all aspects of the quality and risk management programme are reviewed and discussed at relevant meetings. The minutes are also put onto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meetings were not able to be held in 2021 and a Survey Monkey survey was completed for family only and 58% of respondents stated that they were very satisfied and 29% stated that they were satisfied with the service. The annual resident and family satisfaction survey was last completed in September 2021. Collation of the data was completed with documentation of a 94% satisfied or very satisfied (noted that 77% were very satisfied). This is similar to the 2020 satisfaction survey which indicated that 100% of respondents were satisfied or very satisfied. A food satisfaction survey for residents was completed in 2021 with only two of the 16 respondents indicating that they were not satisfied and 88% of the respondents stated that they were satisfied or very satisfied. There were no trends in any of the feedback although the service did respond to any specific complaints if the respondent had put their name on the return.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Staff accidents and incidents and identified hazards are monitored. One of the directors is the health and safety officer and has completed the specific health and safety training required. A care assistant is also identified as a health and safety representative. They have been in the service for five and a half years and have been in the role for over three years. They were able to explain the role when interviewed. There is a health and safety monthly meeting with a focus on promoting safe work habits amongst employees. Health and safety is also discussed at the staff and management meetings. Falls prevention strategies are in place including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actions. The service collects a set of data relating to adverse, unplanned, and untoward events. This includes the collection of incident and accident information. The data is trended and linked to the quality management systems. A monthly incident accident report is completed which includes an analysis of data collected. Staff meeting minutes review the analysis of incident and accident data and corrective actions. Twelve accident/incident forms sampled included RN assessment following an incident. Incidents reviewed included five where a resident had had an unwitnessed fall or had hit their head. All five showed that neurological observations had been completed, however the frequency of completion did not occur within the stated frequency in the policy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director and managers confirmed that there is an awareness of the requirement to notify relevant authorities in relation to essential notifications. There have been seven section 31 incidents reported in late 2021 to 2022 around registered nurse shortages noting that in each case, the shifts had been covered by a manager. There was a coroner’s investigation in 2021, two reports for pressure injuries in November 2020, and a change of facility manager in June 2020. A norovirus outbreak was notified to Public Health in January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general practitioner (GP), pharmacist and physiotherapist. Nine staff files were reviewed (one clinical manager, one facility manager, three RNs, two caregivers, one cook, one diversional therapist). Evidence of signed employment contracts, job descriptions, orientation and training were sighted. Annual performance appraisals for staff are conducted for all employees and were sighted on staff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Newly appointed staff complete an orientation that is specific to their job duties. Interviews with caregivers described the orientation programme that includes a period of supervision. The service has a training policy and a scheduled in-service education planner. The in-service schedule is implemented, and attendance is recorded. There are implemented competencies for RNs including medication, restraint, and the use of a syringe driver.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RNs (including three casual) with seven identified as being interRAI trained (including the director, facility, and clinical managers). Registered nurses have access to training through the DHB noting that some of this was stopped in 2021 as a result of the Covid 19 response. All nurses have continued to have sufficient training relevant to their role that meets the needs of their annual practicing certificate. The main focus for the management team has been to ensure that there are sufficient numbers of nurses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who have gained the New Zealand Qualification Authority (NZQA) certificate or are in training are as follows: seven have completed level 2, seven have completed level 3, and 16 have completed level 4. Three caregivers are currently enrolled in level three and five in level four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and clinical manager both work full-time from Monday to Friday and share the 24/7 on call duties. The director is also on site two days a week. Extra staff can be called on for increased resident requirements. Interviews with staff, residents and relatives confirmed that there are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into the ground floor (Ruby, Sapphire, Jade and Topaz wings) and upstairs (Opal and Amber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ground floor there is a total of 35 residents (26 hospital and 9 rest home residents). Upstairs there are 20 residents in total (6 rest home and 14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caregivers on duty in the morning (five on a long shift and six short shifts (including four who work from 6.45 am-1 pm). Three caregivers are rostered upstairs with one identified as supporting residents to shower and there are seven downstairs. In the afternoon there are eight caregivers including two long, five short 2.45 pm-9.15 pm and one 4 pm-8 pm. Of the eight, three caregivers are rostered to the upstairs wings and the rest are downstairs. Allocation of caregivers can be adjusted at any time according to acuity and numbers. There are two caregivers on night shift (one upstairs and one downstairs). There are two registered nurses on the morning and afternoon shifts and one registered nurse on the night shift. There is an extra registered nurse on the morning shift four days a week (9 am-1 pm) predominantly to help with wound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centrally located lift and stairs that allows staff to move between the up and down stairs areas easily to answer call bells etc.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could describe the procedures for maintaining confidentiality of resident records and sign confidentiality statements. Resident information is kept in integrated files. Files and relevant care and support information for residents is able to be referenced and retrieved in a timely manner. Residents’ files are protected from unauthorised access (hard copies kept in a locked cupboard) with electronic files being password protected. Archived records are secure in locked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procedures in place to safely guide service provision and entry to services. Referring agencies establish the appropriate level of care required prior to admission of a resident. Information gathered at admission is retained in resident’s records. Relatives interviewed stated they were well informed upon admission and had the opportunity to discuss the admission agreement and financial information with the administration manager. The service has a well-developed information pack available for residents/families/whanau at entry including admission information related to respite and palliative care. An advocate is available and offered to family. The admission agreement aligned with the age-related residential care agreement (ARRC). Eight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Overall, 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The family are informed of any transfers.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residents self-medicating on the day of audit. All had competencies in place, which had been reviewed by the GP three monthly and medications were kept securely within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in use and comply with legislative requirements and the Ministry of health standing order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medication management and sixteen medication charts. Medications are checked on arrival and any pharmacy errors recorded and fed back to the supplying pharmacy. RNs have responsibility to administer medications. Staff had current medication competencies and received medication related education and training in the last year. Registered nurses have syringe driver training and competencies. The temperatures for the medication fridges and medication rooms are checked daily and were within safe limits. Eye drops and topical medications were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Sixteen medication charts were reviewed. Medications are reviewed at least three-monthly by the GP. There was photo identification and allergy status recorded. ‘As required’ medications had indications for use charted and effectiveness post administration documented, however, staff were transcribing instructions around medication into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around safe medication administration has been provided. Medications were stored safely in both units. The medication round was observed during lunchtime and correct procedures were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baking and meals are cooked on-site at Malyon House. The kitchen is spacious and includes areas for food preparation, cooking, baking, serving, and cleaning areas. There is a team of kitchen staff including two cooks and four kitchen assistants. Both cooks and all kitchen assistants have completed food handling through orientation and via external national programmes. An external consultant dietitian reviews the summer and winter menus, which were last reviewed by the dietitian in 2020. There is access to a community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choices for the lunch meal and two choices at night. Special diets such as diabetic desserts, vegetarian, pureed and alternative choices for dislikes are accommodated. There are lists maintained within the kitchen of the resident’s key alerts regarding allergies or food dislikes/preference for staff reference. Special equipment such as 'lipped plates' and built-up spoons are available as required. Food is transported to five smaller dining room areas in bain-maries and is plated in the kitchenette by the cook and delivered and served to residents by the 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Cooked/served food temperatures are completed prior to transport and completed before serving as part of the internal audit programme (records sighted). Kitchen fridge/freezer temperatures and food temperatures are monitored electronically. Corrective actions for temperatures outside of range are documented and re-tested. Food stored in the fridge and chillers is covered and dated. There are designated shelves within the chiller for dairy, meat, and vegetable/grocery items. Dry goods are stored in dated sealed containers in the pantry and kept off the ground. Chemicals are stored safely. Cleaning schedules were sighted and maintained. The service has a current approved food plan that expires 30 September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nutritional profile completed on admission, a copy of which is provided to the cook who is also notified (daily where necessary) of any dietary changes, weight loss or other dietary requirements. Residents/relatives interviewed spoke positively about the food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residents/family/whanau. Anyone declined entry is referred back to the needs assessment service or referring agency for appropriate placement and advice. Reasons for declining entry would be if there were no beds available or the service could not meet the assessed level of care. The facility has a waiting list of potential residents. There is evidence of regular communication with family/whanau regarding timeframes for placements.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documentation includes information obtained on interview with resident/relative or advocate, from medical discharge summaries and information received from needs assessors. The RNs complete an initial assessment on admission, including risk assessment tools such as coombes (falls risk) assessment, waterlow (pressure risk) and nutrition assessments as appropriate. The facility has embedded the interRAI assessment protocols within its current documentation. The initial assessment, short and long-term care plan templates were completed in all long-term resident files reviewed. The respite resident and resident on palliative care had a suite of initial assessments completed.</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including assessment summary, MDS comments and client summary reports were evident in printed format in all files. An interRAI reassessment has been completed where health changes for residents have occurred. Resident needs and supports are identified through the ongoing assessment process in consultation with the resident and significant others and form the basis of the long-term care plan. In all eight resident files reviewed (three rest home and five hospital), assessments were conducted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rest home and five hospital files reviewed included an initial assessment and (initial) care plan. Long-term care plans were in place for the long-term residents. Short-term care plans were available for use to document any changes in health needs. Short-term care plans were evidenced for wounds, skin tears, short course antibiotics and weight loss. Residents’ long-term care plans reviewed were resident-focused and individualised to promote independence with a flexible goal. Relatives and residents interviewed, confirmed they were involved in the care planning process. Long-term care plans evidenced resident and/or relative and staff input into the development of care plans. Care plans are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evaluated at regular intervals and either resolved or added to the long-term care plan if an ongoing problem. Medical GP notes and allied health professional progress notes were evident in the six long term residents integrated files sampled. Relatives interviewed were complimentary about the staff, service delivery and confirmed they are kept informed of any significant events and changes in health status. Family contact forms sighted in the resident’s individual record evidenced family are informed of any health changes, incidents/accidents, infections, specialist visits, care plan review and weight loss. Family is invited to attend care review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GP/NP consultation. Staff stated that they notify family members about any changes in their relative’s health status, however, not all care plans included interventions to support all changes in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Care staff stated there are adequate clinical supplies and equipment provided, including continence and wound care supplies and these were sighted. Specialist continence advice is available on request.</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progression. There were thirteen wounds managed at the time of the audit. Wounds included include one stage two facility acquired pressure injury, one chronic venous ulcer and skin tears. The RNs interviewed described the referral process should they require assistance from a wound specialist.</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repositioning, vital signs, neurological observation, pain, and wounds. Pain and neurological observation monitoring requirements did not occur consistently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(one diversional therapist and two activities assistants) coordinate and implement the activities programme across the rest home and hospital. The programme is seven days a week including public holidays. Activities staff attend on site and organisational in-services relevant to their roles. Volunteers visit throughout the week and on weekends. Volunteers include a van driver and one calling Bingo. Volunteers adhere to the Covid-19 mandate. The driver has a current driver’s licence, first aid certificate and hoist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makes contact with a resident and their family/whānau within a week of admission. A map of life and an activity care plan is completed within three weeks of admission in consultation with the resident/family/whānau. The map of life is displayed in residents’ room (with consent) which has provided opportunities for all staff and visitors to get to know the resident and their past interests sooner. The activities plan is reviewed six-monthly with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interviewed explained communication and information sharing with families occurs through a dedicated closed group Facebook page.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Attendance sheets and individual progress notes are maintained. Feedback on the programme is received through three monthly resident meetings and annual surveys. Residents and relatives interviewed reported that they or their loved one enjoyed the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has set activities with the flexibility to add activities that are meaningful and relevant for the resident group including: exercises such as yoga to support the falls prevention programme; themed events and celebrations; baking; sensory activities including colour painting; regular outings and drives. Community links are maintained through regular entertainers (within the Covid-19 mandate)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The DT could explain the support provided to the YPD resident (resident was unable to be interviewed) to maintain their regular appointments and outings to the gym and swimming pool.</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include balloon tennis, manicures, and news reading. On the day of the audit residents were observed to meet outside for morning tea and news reading with the activities assistant. There are several homelike lounges and dining areas where activities occur and where resources are available for residents and staff. Daily contact is made with residents who choose not to be involved in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 DT introduced with the local DHB ‘eat well for bingo’ to integrate the food guide in an interactive bingo game that making learning about healthy eating for healthy ageing fun. The activities team is responsible for structuring food and drink opportunities as part of the activities programme; this will include Milk Day Mondays, High tea Tuesdays, Thirsty Thursdays, and Fun Fridays.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RNs within three weeks of admission. The long-term care plans reviewed were evaluated at least six-monthly or earlier if there was a change in health status in six of eight files sampled (two of the resident’s files reviewed had not been at the facility for six months). There is at least a three-monthly review by the GP. Short-term care plans sighted were evaluated and resolved or added to the long-term care plan if the problem was ongoing. Where progress is different from the expected goal, the service responds by initiating changes to the care plan and goal.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 processes are documented and in place to guide staff to ensure residents are supported and referrals are appropriately facilitated to meet the needs of residents receiving services in this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they are given the choice of retaining their own GP but usually change as it is easier to see the GP when he visits. If a resident wishes to change facilities to another health and disability service, the NASC service is contacted, and the service provider assists as much as possible with arranging the transfer once approved by the NASC service coordinator concerned. Examples of referrals sighted were to: older person’s mental health service; podiatry; physiotherapy; and skin specialist. There is evidence of GP discussion with families regarding referrals for treatment and options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waste disposal for general waste and medical waste management. There are approved sharps containers in use for the safe disposal of sharps. All chemicals are labelled with manufacturer labels. There are designated areas for storage of cleaning/laundry chemicals and chemicals in use are stored securely on the cleaner’s trolley. Laundry and sluice rooms are locked when not in use. Material safety data sheets are available in all key areas. The hazard register identifies hazardous substances. Gloves, aprons, and goggles are available in key areas for staff. Staff receive education on chemical safety. Interviews with care assistants described management of waste and chemicals, infection control policies and specific tasks/duties for which protective equipment is to be worn (as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3 August 2022. There is a part-time maintenance person on duty and is responsible for the comprehensive planned maintenance programme. Reactive and preventative maintenance occurs. Electrical equipment has been tagged tested and calibrated annually. There is sufficient medical equipment to meet resident needs. Interviews with care assistants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provides rest home and hospital level care. The care facility is across the ground and first floor and divided into five communities each with a lounge and dining area. There are cleaning cupboards, a sluice and plenty of storerooms on each floor. More able residents including YPD are on the ground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communal areas provided for both groups and individuals. The interior of the building is maintained with a home-like décor and furnishings. The corridors are wide with handrails in place. Residents were observed to safely mobilise throughout the facility. Hot water temperature checks are conducted and recorded monthly and maintained at 45 degrees Celsius. Electrical testing, tagging and calibration of medical equipment occurs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lift between the floors which is specious enough to accommodate ambulance transfer and kitchen equipment. The archive, chemical storage room, laundry and kitchen is situated in the basement with easy safe access for delivery trucks. The basement is for staff access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quiet seating nooks throughout the facility providing quiet low stimulus areas and privacy for residents and visitors. There is easy access to the outdoors. The exterior is well maintained with safe paving, outdoor shaded seating, lawn, and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but one of the bedrooms are single occupancy (with one bedroom able to accommodate two beds) and have full ensuites with disability showers. There are communal toilets located closely to the communal areas on both floors. Toilets have privacy locks. Residents interviewed confirmed their privacy was assured when staff were undertaking personal cares. Regular audits of the environment are completed as per the quality programme. Liquid soap and paper towels are available in all toilets. Fixtures, fittings and floor and wall surfaces are made of accepted materials to support good hygiene and infection control practices for this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rooms are spacious and meet the assessed resident needs. There is one double room in the Ruby wing, which had single occupancy on the day of the audit. Residents can easily manoeuvre mobility aids around the bed and personal spaces. The bedrooms are personalised. All beds are of an appropriate height for the residents. Care assistants interviewed reported that rooms have sufficient space to allow cares to take place and staff were seen to use hoists. Residents interviewed were happy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combined lounge and dining rooms in each wing along with a kitchenette. There is also a large communal activities room on the ground floor. The dining areas are spacious and are easily accessible for the residents. The furnishings and seating are appropriate for the consumer group. Residents were seen to be moving freely both with and without assistance throughout the audit. Residents interviewed reported they can move easily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has documented systems for monitoring the effectiveness and compliance with the service policies and procedures. There are dedicated laundry and cleaning staff. Staff attend infection control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services are available seven days a week. There is a separate laundry area where the laundry staff launders all linen and personal clothing. Manufacturer’s data safety sheets are available. There is appropriate protective clothing such as aprons, gloves, and masks available. The cleaning trolley is locked away in a cleaner’s room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All bedrooms, hallways and communal areas were clean and tidy in appearance. Cleaning audits are conducted. Internal audits and resident satisfaction surveys identified no areas for improvement. The cleaner and laundry assistant interviewed confirmed the cleaning processes include requirements to protect against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reviewed and in place to guide staff in managing emergencies and disasters. There is an emergency/disaster management manual available for staff, residents, and visitors in the event of specific emergencies/disasters (including fire, earthquakes, floods, storms, tsunami, and gas leaks). Fire evacuation drills are scheduled and conducted six-monthly. The last fire evacuation drill occurred on 4 January 2022. External providers conduct system checks on alarms, sprinklers, and extinguishers. The service has a generator for emergency power. There is a civil defence kit available, first aid supplies and a dedicated storeroom for emergency supplies. Staff complete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There is alternative gas heating and cooking available (BBQ). Extra blankets, torches and supplies are available. There is sufficient food in the kitchen to last for three days in an emergency. There were sufficient emergency supplies of stored water available as per the region requirements. Call bells were evident in residents’ rooms, lounge areas, and toilets/bathrooms.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secured at night. There are security cameras in the hallways, basement, and the main entrance. All exit doors are secure and alarmed at night.</w:t>
            </w:r>
          </w:p>
          <w:p w:rsidR="00EB7645" w:rsidRPr="00BE00C7" w:rsidP="00BE00C7">
            <w:pPr>
              <w:pStyle w:val="OutcomeDescription"/>
              <w:spacing w:before="120" w:after="120"/>
              <w:rPr>
                <w:rFonts w:cs="Arial"/>
                <w:b w:val="0"/>
                <w:lang w:eastAsia="en-NZ"/>
              </w:rPr>
            </w:pPr>
            <w:r w:rsidRPr="00BE00C7">
              <w:rPr>
                <w:rFonts w:cs="Arial"/>
                <w:b w:val="0"/>
                <w:lang w:eastAsia="en-NZ"/>
              </w:rPr>
              <w:t>There are automatic release buttons on all exit doors in case of an emergency.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Heating and cooling is centrally managed with heat/cooling pumps throughout the facility. Staff are easily able to adjust the temperatures to suit resident’s needs. Residents and family interviewed stated the environment is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Malyon House has an established infection control (IC) programme that is appropriate for the size, complexity and degree of risk associated with the service. The clinical manager is the designated infection control nurse and responsibilities for the role is described in the job description. The infection control team is made up of the clinical manager, the infection control coordinator (a registered nurse who is newly appointed to the role in January 2022) and the RNs. Infection control is linked into the incident reporting system. Infection control data is discussed at the monthly infection control meeting and linked to the clinical, staff and quality meetings. Monthly data is reported to the Cavell group for benchmarking with other facilities. There are six monthly infection control meetings with the Cavell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well established at Malyon House and has been reviewed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during cares or opportunities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as policy and procedure in line with Covid 19 framework that defines what staff and visitors should do if they are unwell. Staff interviewed were able to describe this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at Malyon House is the designated infection control (IC) coordinator. There are adequate resources to implement the infection control programme for the size and complexity of the organisation. External resources, support and access are available from the Ministry of Health, district health board, local GP and nurse practitioner from Cicada health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practice good handwashing techniques.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stock including isolation kits, masks, and other PPE. Staff interviewed confirmed they adhere to cleaning practices for equipment use between residents, reusable items but also touch screens and computer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that reflects good practice. Policies are available electronically on file and in hard copy. The infection control manual outlines a comprehensive range of policies, standards and guidelines and includes defining roles, responsibilities and oversight, the infection control team and training and education of staff. Policies have been reviewed and updated. Policies include information and a response framework on Covid-19 preparedness including cleaning and laundry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The infection control coordinator has external infection control training scheduled.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has been provided for staff, on orientation and annually. Staff have completed competencies for handwashing and the correct use of personal protective equipment (PPE). Discussions around the facility’s Covid-19 preparedness strategy is included in regular meetings, handovers, and on flow charts displayed on the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Outbreak management and pandemic planning is included in the compulsory training schedule.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Short-term care plans are used. Surveillance of all infections is entered into an electronic resident system and extracts provide a monthly infection summary. This data is monitored, evaluated, and reported monthly and annually. Outcomes and actions are discussed at quality meetings. If there is an emergent issue, it is acted upon in a timely manner. There is close liaison with the general practitioners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A facility Covid-19 preparedness framework is implemented at all levels of service delivery. All visitors to the facility are required to sign in electronically, wear a mask, show a vaccine passport on entry, complete a health declaration and Covid QR scanning. There are special arrangements in place for children and unvaccinated visitors.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was issued with a stock of Covid-19 rapid antigen tests.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a norovirus outbreak in late January 2021, the outbreak was of short duration and appropriately managed with notification to Toi te Ora Public Health. Documents reviewed included a debrief meeting with staff and lessons learned.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no residents using restraints and two residents with an enabler as requested by the resident (one with a bedrail and one with a lap belt).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4"/>
        <w:gridCol w:w="1280"/>
        <w:gridCol w:w="4380"/>
        <w:gridCol w:w="404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medication policy in place that describes the definition and risks associated with transcribing. The facility uses a paper-based long term care plan template with the resident demographics, medical conditions, and current medication on the first page. Three of six long term care plans reviewed evidenced the practice of transcribing the medication (including form, dosage, and frequency) onto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long term care plans reviewed evidenced the practice of transcribing.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transcribing of medication does not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files were reviewed. Care plans were in place for all residents that address their medical conditions, however one care plan did not include all interventions. Monitoring for pain in two of eight and neurological observations in five of five forms were not completed within policy requirements. Care assistants, DT and RNs interviewed stated they are knowledgeable with the needs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resident on palliative care was observed in their room to be comfortable, on oxygen and on an air alternating mattress. There was a care plan in place to manage pain and syringe driver requirements, however no interventions recorded for the management of comfort and respiratory needs. The family member interviewed was complimentary of the care their relative receives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Pain assessments are completed at admission and six-monthly, however two hospital residents with acute pain did not have regular pain monitoring completed. </w:t>
            </w:r>
          </w:p>
          <w:p w:rsidR="00EB7645" w:rsidRPr="00BE00C7" w:rsidP="00BE00C7">
            <w:pPr>
              <w:pStyle w:val="OutcomeDescription"/>
              <w:spacing w:before="120" w:after="120"/>
              <w:rPr>
                <w:rFonts w:cs="Arial"/>
                <w:b w:val="0"/>
                <w:lang w:eastAsia="en-NZ"/>
              </w:rPr>
            </w:pPr>
            <w:r w:rsidRPr="00BE00C7">
              <w:rPr>
                <w:rFonts w:cs="Arial"/>
                <w:b w:val="0"/>
                <w:lang w:eastAsia="en-NZ"/>
              </w:rPr>
              <w:t>(iiii) A sample of incident reports were reviewed. Post fall assessments were completed for all falls and next of kin were informed. Five of five unwitnessed falls had neurological observations completed however the frequency of completion did not occur within the stated frequency in the policy for all five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are documented in detail to guide staff in the management of a resident needs/risks.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(ii)-(iii) Ensure monitoring occurs as required in the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Munro Resthomes Limited - Malyon House</w:t>
    </w:r>
    <w:bookmarkEnd w:id="58"/>
    <w:r>
      <w:rPr>
        <w:rFonts w:cs="Arial"/>
        <w:sz w:val="16"/>
        <w:szCs w:val="20"/>
      </w:rPr>
      <w:tab/>
      <w:t xml:space="preserve">Date of Audit: </w:t>
    </w:r>
    <w:bookmarkStart w:id="59" w:name="AuditStartDate1"/>
    <w:r>
      <w:rPr>
        <w:rFonts w:cs="Arial"/>
        <w:sz w:val="16"/>
        <w:szCs w:val="20"/>
      </w:rPr>
      <w:t>1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