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Richmond Ranges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Richmond Ranges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January 2022</w:t>
      </w:r>
      <w:bookmarkEnd w:id="7"/>
      <w:r w:rsidRPr="009418D4">
        <w:rPr>
          <w:rFonts w:cs="Arial"/>
        </w:rPr>
        <w:tab/>
        <w:t xml:space="preserve">End date: </w:t>
      </w:r>
      <w:bookmarkStart w:id="8" w:name="AuditEndDate"/>
      <w:r w:rsidR="00A4268A">
        <w:rPr>
          <w:rFonts w:cs="Arial"/>
        </w:rPr>
        <w:t>28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Richmond Ranges is a new retirement village complex that opened on 31 May 2021.  The service has 65 beds across the care centre (22-bed dementia unit, and 43 dual-purpose beds).  There are also 56 serviced apartments suitable for rest home level care.  On the day of the audit, there were 46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the general practitioner and staff.  </w:t>
      </w:r>
    </w:p>
    <w:p w:rsidRPr="00A4268A">
      <w:pPr>
        <w:spacing w:before="240" w:line="276" w:lineRule="auto"/>
        <w:rPr>
          <w:rFonts w:eastAsia="Calibri"/>
        </w:rPr>
      </w:pPr>
      <w:r w:rsidRPr="00A4268A">
        <w:rPr>
          <w:rFonts w:eastAsia="Calibri"/>
        </w:rPr>
        <w:t xml:space="preserve">The village manager is appropriately qualified and experienced and is supported by a care centre manager (registered nurse) who oversees the clinical services.  The management team are supported by two clinical nurse leads, a regional quality manager and a regional operations manager.  There are quality systems and processes being implemented.  Induction and in-service training programmes are in place to provide staff with appropriate knowledge and skills to deliver care. The residents and relatives interviewed spoke positively about the care and support provided.  </w:t>
      </w:r>
    </w:p>
    <w:p w:rsidRPr="00A4268A">
      <w:pPr>
        <w:spacing w:before="240" w:line="276" w:lineRule="auto"/>
        <w:rPr>
          <w:rFonts w:eastAsia="Calibri"/>
        </w:rPr>
      </w:pPr>
      <w:r w:rsidRPr="00A4268A">
        <w:rPr>
          <w:rFonts w:eastAsia="Calibri"/>
        </w:rPr>
        <w:t>The audit identified one shortfall in relation to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(HDC) Code of Health and Disability Services Consumers' Rights (the Code).  Information about the Code and related services are readily available to residents and families.  Policies are available that support residents’ rights.  Cultural assessment is undertaken on admission and during the review process.  Residents and family interviewed verified ongoing involvement with the community.  Care plans accommodate the choices of residents and/or their family.  Complaints processes are being addressed in line with HDC requirements.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Summerset Richmond Ranges has an established quality and risk management system that supports the provision of clinical care.  Key components of the quality management system link to the monthly quality improvement meetings.  Annual surveys and regular resident meetings provide residents and families with opportunities for feedback about the service.  Quality performance is reported to staff at meetings and includes discussions relating to incidents, infections, and internal audit results.  There are human resources policies that cover recruitment, selection, orientation and staff training and development.  The service has an orientation programme that provides new staff with relevant information for safe work practice.  There is an in-service training programme covering relevant aspects of care.  There is a policy for determining staffing levels and skill mixes for safe service delivery.  This defines staffing ratios to residents, and rosters are in place and are adjustable depending on resident numbers.  There are sufficient numbers of staff currently employed to cover the roster across each area.</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registered nurses are responsible for each stage of provision of care including assessments, care plans and evaluations.  Risk assessment tools and monitoring forms are available and implemented.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integrated activities programme.  There are outings into the community and visiting entertainers.  </w:t>
      </w:r>
    </w:p>
    <w:p w:rsidRPr="00A4268A" w:rsidP="00621629">
      <w:pPr>
        <w:spacing w:before="240" w:line="276" w:lineRule="auto"/>
        <w:rPr>
          <w:rFonts w:eastAsia="Calibri"/>
        </w:rPr>
      </w:pPr>
      <w:r w:rsidRPr="00A4268A">
        <w:rPr>
          <w:rFonts w:eastAsia="Calibri"/>
        </w:rPr>
        <w:t xml:space="preserve">There is a secure electronic medication system at the facility.  There are medicine management policies documented that align with acceptable guidelines.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Nutritional snacks are available in the memory care (dementia) unit 24 hours a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are available along with product safety charts.  The building holds a code of compliance.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At least one first aid trained staff member is on duty at all times and on outings.  Cleaning and laundry services are well monitored through the internal auditing system.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policies around restraints and enablers.  The induction programme includes training around restraint minimisation and competency assessments.  The restraint coordinator role is a registered nurse.  Restraint review meetings are held monthly RN meeting.  During the audit, there were no residents using either a restraint or an enabler.  Restraint is only used as a last resort and has not been required since the facility opened.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(clinical nurse leader) is responsible for coordinating and providing education and training for staff.  The infection control coordinator has attended external training.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There have been no outbreaks since the last audit.  Resident infections are closely monitored and well-managed.  </w:t>
      </w:r>
    </w:p>
    <w:p w:rsidRPr="00A4268A">
      <w:pPr>
        <w:spacing w:before="240" w:line="276" w:lineRule="auto"/>
        <w:rPr>
          <w:rFonts w:eastAsia="Calibri"/>
        </w:rPr>
      </w:pPr>
      <w:r w:rsidRPr="00A4268A">
        <w:rPr>
          <w:rFonts w:eastAsia="Calibri"/>
        </w:rPr>
        <w:t xml:space="preserve">Covid 19 is well prepared for, education has been provided around donning and doffing personal protective equipment, isolation practices and hand washing.  Adequate supplies of personal protective equipment were sighted.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83"/>
        <w:gridCol w:w="1280"/>
        <w:gridCol w:w="92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six managers (care centre manager, village manager, regional quality manager, clinical nurse lead rest home/hospital, clinical nurse lead memory centre (dementia), property manager) and eleven staff (four caregivers (two rest home/hospital, one serviced apartments, one dementia); three registered nurses (RNs); two recreation assistants, one national diversional therapy and recreational specialist, one chef, one laundry) confirmed their familiarity with the Health and Disability Commissioner (HDC) Code of Health and Disability Services Consumers’ Rights (the Code) and its application to their job role and responsibilities.  Six residents (four rest home including two (married) residents in a serviced apartment, and two hospital) and three relatives (one rest home, one hospital, one dementia) interviewed confirmed the services being provided are in line with the Code.  Observations during the audit also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 forms were evident on all seven files reviewed (two hospital level of care, two dementia and three rest home including one respite resident and one residing in a serviced apartment). The two files of residents in the dementia unit had activated enduring power or attorney’s (EPOA’s)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of discussion with the enduring power of attorney (EPOA) where the general practitioner has made a medically indicated not for resuscitation status.  Copies of the residents’ advance directive where applicable was available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discussions were evident in the electronic progress notes.  Interviews with family members state they have input in care and choices are offered on a daily basis.  Long-term care plans and 24-hour multidisciplinary care plans demonstrate resident choice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are familiar with the requirements to obtain informed consent for personal care, entering rooms and so on.  Signed admission agreements, was evident in the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were observed coming and going during the audit.  Interviews with staff, residents and relatives confirmed residents are supported and encouraged to remain involved in the community and external groups.  Relatives and friends are encouraged to be involved with the service and care.  The service promotes community visitors to the village and encourages resident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readily available.  Information about complaints is provided on admission.  Interviews with residents and family members confirmed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 register that includes verbal and written complaints and evidence to confirm that complaints are being managed in a timely manner including acknowledgement, investigation, timelines, corrective actions (when required) and resolutions.  In 2021, seven complaints lodged reflected evidence of follow-up actions taken and feedback provided in staff meetings including corrective actions (if any).  No complaints have been received year to date (2022).</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information on how to escalate their complaint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confirmed that they were well informed about the Code.  Two monthly residents’ meetings are led by a health advocate volunteer.  These meetings provide the opportunity for residents to raise concerns.  An annual residents/relatives survey is completed although only two residents responded to the last survey (September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were able to describe the procedures for maintaining confidentiality of resident records, resident’s privacy, and dignity.  Contact details of spiritual/religious advisors are available.  Church services are provided on the premises.  Residents and relatives interviewed reported that residents are able to choose to engage in activities and access community resources.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double rooms located in the memory (dementia) wing.  Double rooms are also available in the serviced apartments.  One married couple (serviced apartments) was interviewed and confirmed that their personal privacy and dignity is respected.  </w:t>
            </w:r>
          </w:p>
          <w:p w:rsidR="00EB7645" w:rsidRPr="00BE00C7" w:rsidP="00BE00C7">
            <w:pPr>
              <w:pStyle w:val="OutcomeDescription"/>
              <w:spacing w:before="120" w:after="120"/>
              <w:rPr>
                <w:rFonts w:cs="Arial"/>
                <w:b w:val="0"/>
                <w:lang w:eastAsia="en-NZ"/>
              </w:rPr>
            </w:pPr>
            <w:r w:rsidRPr="00BE00C7">
              <w:rPr>
                <w:rFonts w:cs="Arial"/>
                <w:b w:val="0"/>
                <w:lang w:eastAsia="en-NZ"/>
              </w:rPr>
              <w:t>There is an elder abuse and neglect policy with evidence of staff training on this topic.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The Code is posted in English and in Māori te reo in visible locations.  At the time of the audit there were no residents that identified as Māori.  Staff interviewed were able to describe how they can ensure they meet the cultural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and values are further discussed and incorporated into the care plan.  Six monthly multi-disciplinary team meetings occur to assess if resident’s needs are being met.  Family is invited to attend.  Discussions with family/whānau confirm values and beliefs are considered.  Residents interviewed confirm that staff take into account their culture and values.  There was one resident in the memory centre who has difficulty understanding English.  Translation takes place either through staff, family, or hand/facial gestures.  Translation services are also available through the DHB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as part of the employment process.  The monthly quality meetings include discussions on professional boundaries and concerns as they arise.  Management provides guidelines and mentoring for specific situations.  Interviews with managers and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Staff have a sound understanding of principles of aged care and state that they feel supported by the village manager, care centre manager and clinical nurse leads.  All Summerset facilities have a master copy of policies which have been developed in line with current accepted best practice and are reviewed regularly.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a quality improvement programme that includes performance monitoring against clinical indicators and benchmarking against like services within the Summerset group of aged care facilities.  There is evidence of education being supported in addition to the robust Summerset training plan.  There are implemented competencies for caregivers and registered nurses including (but not limited to): insulin administration, medication, wound care and manual handling, oxygen administration, warfarin, restraint, and infection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gives a comprehensive range of information regarding the scope of service provided to the resident and their family on entry to the service and any items they are to pay for that are not covered by the agreement.  Regular contact is maintained with family including if an incident or care/ health issue arises.  Family members interviewed stated they were well-informed.  Seventeen incident/accident forms were reviewed and identified that the next of kin were contacted.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meetings are chaired by a health advocate/volunteer who resides in the retirement village.  Issues or concerns are encouraged to be discussed.  Minutes are maintained and show follow-up actions for resolution of matters raised.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DHB interpreter services.  The information pack is available in large print and can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Richmond Ranges is a new retirement village complex that opened on 31 May 2021.  The care centre is a three-level facility.  The ground floor includes the service areas, a secure dementia unit and serviced care apartments.  The secure dementia unit (Memory Care) are all license to occupy (LTO) apartments with no standard rooms.  There are 43 (rest home and hospital level) rooms on the first floor (all dual-purpose).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a total of 26 rest home level residents (including one resident on respite care and eight in the serviced apartments), eight hospital level and 12 dementia level residents.  The remaining residents were on an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serviced apartments across the three floors (9 on the ground floor,19 on the first-floor plan and 28 on the second floor); all 56 apartments have been verified as suitable to provide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the role since August 2019 and was involved in the opening of the village.  The village manager has a background in recruitment and banking.  A care centre manager (RN) who has many years of experience in aged care management, commenced February 2021.  The management team are supported by two clinical nurse leads (one rest home/hospital, one dementia), a regional quality manager and a regional operations manager.  Regional managers are onsite approximately one day per month and are otherwise available by phone/email.</w:t>
            </w:r>
          </w:p>
          <w:p w:rsidR="00EB7645" w:rsidRPr="00BE00C7" w:rsidP="00BE00C7">
            <w:pPr>
              <w:pStyle w:val="OutcomeDescription"/>
              <w:spacing w:before="120" w:after="120"/>
              <w:rPr>
                <w:rFonts w:cs="Arial"/>
                <w:b w:val="0"/>
                <w:lang w:eastAsia="en-NZ"/>
              </w:rPr>
            </w:pPr>
            <w:r w:rsidRPr="00BE00C7">
              <w:rPr>
                <w:rFonts w:cs="Arial"/>
                <w:b w:val="0"/>
                <w:lang w:eastAsia="en-NZ"/>
              </w:rPr>
              <w:t>Summerset group has a well-established organisational structure, which includes a board, chief executive officer, operations managers, and a national clinical improvement manager.  Each of the Summerset facilities throughout New Zealand is supported by this structure.  They have a quality assurance and risk management programme and an operational business plan for the project.  Quality objectives and quality initiatives are set annually.  2021 goals were evidenced as being reviewed three monthly.  Work is currently underway to further develop the 2022 business goals.</w:t>
            </w:r>
          </w:p>
          <w:p w:rsidR="00EB7645" w:rsidRPr="00BE00C7" w:rsidP="00BE00C7">
            <w:pPr>
              <w:pStyle w:val="OutcomeDescription"/>
              <w:spacing w:before="120" w:after="120"/>
              <w:rPr>
                <w:rFonts w:cs="Arial"/>
                <w:b w:val="0"/>
                <w:lang w:eastAsia="en-NZ"/>
              </w:rPr>
            </w:pPr>
            <w:r w:rsidRPr="00BE00C7">
              <w:rPr>
                <w:rFonts w:cs="Arial"/>
                <w:b w:val="0"/>
                <w:lang w:eastAsia="en-NZ"/>
              </w:rPr>
              <w:t>The managers have each attended a minimum of eight hours of professional development relating to their respective management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office manager fulfils the village manager’s role during a temporary absence with support from the office staff, clinical nurse leads and the regional managers.  The organisation completes annual planning and has comprehensive policies/procedures to provide rest home, hospital (geriatric and medical) and dementia level care.  The appointment of staff and building of the facility are appropriate for meeting the assessed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quality and risk management plan is in place. Policies and procedures reflect evidence of regular reviews as per the document control schedule.  New and/or revised policies are made available for staff to read and sign that they have read and understand the changes. Summerset village managers and care centre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bruising, skin tears and infection rates.  Data is collated and benchmarked against other Summerset facilities to identify trends.  A resident satisfaction survey is conducted each year.  Results for 2021 reflect resident satisfaction with the services received although the sample size is not representative of the facility’s population (sample size two).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for the service.  Corrective actions are developed where opportunities for improvements are identified and are signed off when completed.  Eight corrective actions have been implemented since the facility opened and are signed off by the care centre manager.  Staff are kept informed of audit findings either by attending meetings or reading the meeting minutes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identification of interventions on a case-by-case basis to minimise future falls.  Strategies include (but are not limited to) sensor mats, placing residents on extra low beds, intentional rounding, and meetings with family to identify possible triggers).  A falls prevention group, led by a registered nurse, meets monthly.  As part of the admission process, the resident undergoes a FRAT (falls risk assessment tool).  This is repeated following a resident fall.  A physiotherapist is available one day a week (four hours) to assist in the development of falls reduction strategies for at-risk residents.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committee consists of eight staff, three who have completed stage one health and safety training.  The committee meets monthly.  Data relating to health and safety is entered into the electronic Risk Management Support System (RMSS).  Hazard identification forms and a hazard register are in place.  Health and safety and fire training commence during staff orientation.  This includes manual handling training, infection control training, Covid-19 prevention and outbreak planning and displaying health and safety ‘golden rules.  The village risk register is reviewed and updated monthly.  A health and safety internal audit was completed in November 2021.  Seven corrective actions were identified, and all are now closed.  Staff receive health and safety training at orientation.  This continues as a regular in-service topic.  Contractors are also orientated to health and safety during their induction.  This is repeated every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(events) information.  The reporting system is integrated into the quality and risk management programme.  Seventeen incident reports held electronically were sampled (ten unwitnessed falls, two challenging behaviours, four soft tissue injuries (skin tears), one medication error).  All adverse events reviewed evidenced clinical follow up by a registered nurse with sign off by the care centre manage following review and investigation.  Neurological observations are completed as per protocol for any unwitnessed fall and/or suspected injury to the head.  If risks are identified these are processed as hazards.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and care centre manager have confirmed their awareness of statutory requirements in relation to essential notification.  Three section 31 notifications have been completed, two for resident assaults and one police investigation for a sudden death.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policies and procedures, which includes the requirements of skill mix, staffing ratios, and rostering.  Summerset has organisational documented job descriptions for all positions, which detail each position’s responsibilities, accountabilities, and authorities.  The service has implemented the policy addressing competencies and requirements for validating professional competencies.  Copies of current practising certificates were sighted for registered nursing staff and external health professionals (e.g., GP, nurse practitioners, dietitian, physiotherapist, pharmacists).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is in place.  Prior to opening, staff underwent four weeks of orientation training during the month of May.  Orientation training is now being offered online, with instructions to complete prior to beginning work onsite.  The orientation programme also includes specific training and competencies (e.g., equipment, manual handling, safe chemical handling, medication, emergency, and fire training).  The annual training plan includes a list of topics that must be completed at least two yearly and this is reported 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 with a local medical centre including GPs specialised in elder care and nurse practitioners.  A GP visits the facility two times per week.  Either a GP or nurse practitioner visits outside of these times for acute conditions.  Contracts are in place with physiotherapy services (four hours per week), pharmacy, dietician, and foot care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were reviewed (five caregivers, one staff RN, one clinical nurse lead, one café assistant).  Evidence of signed employment contracts, job descriptions, reference checking, completed orientation and competencies that are specific to their job duties, and staff attendance at educational in-services were sighted.  Performance appraisals for staff are conducted beginning twelve weeks following their orientation.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Inservice education is supported by competency assessments (e.g. hand hygiene, moving and handling, wound care, restraint, syringe driver, medication administration, oxygen administration, emergency management,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Twenty-five caregivers are employed.  One has achieved a level two Careerforce qualification and fifteen have achieved a level four Careerforce qualification.  Ten caregivers work in the dementia unit (memory centre).  Three have completed their required dementia qualification and the remaining seven are enrolled.  </w:t>
            </w:r>
          </w:p>
          <w:p w:rsidR="00EB7645" w:rsidRPr="00BE00C7" w:rsidP="00BE00C7">
            <w:pPr>
              <w:pStyle w:val="OutcomeDescription"/>
              <w:spacing w:before="120" w:after="120"/>
              <w:rPr>
                <w:rFonts w:cs="Arial"/>
                <w:b w:val="0"/>
                <w:lang w:eastAsia="en-NZ"/>
              </w:rPr>
            </w:pPr>
            <w:r w:rsidRPr="00BE00C7">
              <w:rPr>
                <w:rFonts w:cs="Arial"/>
                <w:b w:val="0"/>
                <w:lang w:eastAsia="en-NZ"/>
              </w:rPr>
              <w:t>Nine RNs are employed and three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policies include documented rationale for determining staffing levels and skill mixes for safe service delivery (Safe staffing policy).  This defines staffing ratios to residents, and rosters have been developed and are adjustable depending on resident numbers.  There is also a document ‘guidelines for management of fluctuating occupancy’.  General ratios of 1:5 for hospital level residents and 1:10 for rest home residents or a combination as resident needs dictate are adhered to.  There is 24-hour RN cover.</w:t>
            </w:r>
          </w:p>
          <w:p w:rsidR="00EB7645" w:rsidRPr="00BE00C7" w:rsidP="00BE00C7">
            <w:pPr>
              <w:pStyle w:val="OutcomeDescription"/>
              <w:spacing w:before="120" w:after="120"/>
              <w:rPr>
                <w:rFonts w:cs="Arial"/>
                <w:b w:val="0"/>
                <w:lang w:eastAsia="en-NZ"/>
              </w:rPr>
            </w:pPr>
            <w:r w:rsidRPr="00BE00C7">
              <w:rPr>
                <w:rFonts w:cs="Arial"/>
                <w:b w:val="0"/>
                <w:lang w:eastAsia="en-NZ"/>
              </w:rPr>
              <w:t>The care centre manager and clinical nurse lead (rest home/hospital) work full time Monday – Friday and the clinical nurse lead for the dementia centre is employed full time Sunday – Thursday.  The care centre manager and clinical leads share on-call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Care centre (18 rest home, eight hospital):  In addition to the clinical nurse lead, an RN is employed across the am, pm and night shifts.  Caregiver staffing: am shift: three long (eight hour) and one short shift to 1300; pm shift: three long shift; night two long shift.</w:t>
            </w:r>
          </w:p>
          <w:p w:rsidR="00EB7645" w:rsidRPr="00BE00C7" w:rsidP="00BE00C7">
            <w:pPr>
              <w:pStyle w:val="OutcomeDescription"/>
              <w:spacing w:before="120" w:after="120"/>
              <w:rPr>
                <w:rFonts w:cs="Arial"/>
                <w:b w:val="0"/>
                <w:lang w:eastAsia="en-NZ"/>
              </w:rPr>
            </w:pPr>
            <w:r w:rsidRPr="00BE00C7">
              <w:rPr>
                <w:rFonts w:cs="Arial"/>
                <w:b w:val="0"/>
                <w:lang w:eastAsia="en-NZ"/>
              </w:rPr>
              <w:t>Dementia (memory care) centre (12 residents): In addition to the clinical nurse lead, two long shift caregivers cover the am and pm shifts and one caregiver covers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Serviced apartments (eight rest home level residents): one long shift and one short shift caregiver (0800 – 1230) covers the am shift, one long and one short shift (1630 – 2030) cover the pm shift and one long shift covers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 appointment of one ‘kaitiaki’ staff is rostered five hours/day (pm shift) to assist as a lounge carer or for specialling if needed.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residents confirmed that staff are very busy and that the residents’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Care plans and progress notes are documented electronically.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Richmond have comprehensive admission policies and procedures in place to safely guide service provision and entry to services.  Referring agencies establish the appropriate level of care required prior to admission of a resident.  Prospective residents are screened by the care centre manager and the clinical nurse lead.  The service has a well-developed information pack available for residents/families/whānau at entry outlining services able to be provided, the admission process and entry to the service.  Information provided to families include information around dementia in line with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at admission is retained in resident’s records.  All admission agreements viewed were signed.  Exclusions from the service are included in the admission agreement.  Residents and relatives interviewed stated they were well informed upon admission and had the opportunity to discuss the admission agreement with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to ensure exit, discharge or transfer of residents is undertaken in a timely and safe manner.  Planned exits, discharges or transfers are coordinated in collaboration with the resident and family to ensure continuity of care.  Copies of documentation and handover is kept on file as evidenced in one resident file that was transferred to hospital following a fall.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The RNs are responsible for the administration of medications and have completed medication competencies and annual medication education.  Senior caregivers have competencies for second checkers in in the absence of a second registered nurse (afternoon and night).  The RNs have completed syringe driver training.  All medications and robotic rolls were evidenced to be checked on delivery with any discrepancies fed back to the supplying pharmacy.  Standing orders are not used by the service.  There was one self-medicating resident (rest home) on the day of the audit.  The resident had and assessment and competency signed by the resident, RN, and GP, this is due to be reviewed in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stored securely in the locked medication rooms in both the care centre and in the memory care unit.  Original labels were present on medication in the medication trolley and cupboards.  Eyedrops had open dates documented.  The medication fridge temperatures were monitored and recorded regularly.  Medication room temperatures were recorded in the care centre, however, not in the memory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Richmond Ranges has comprehensive nutritional management policies and procedures for the provision of food services for residents.  There is a chef manager, two chefs, kitchen assistants, and café assistants employed who provide all aspects of the food service.  All food services staff have completed food safety training.  A current food control plan in in place until June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freshly prepared in the large purpose-built kitchen on the ground floor adjacent to the café and dining area of the village residents.  There is a walk-in chiller, and freezer.  Temperatures are recorded twice daily electronically on an app.  All decanted food in the walk-in pantry has been dated.  The 12-week seasonal menu is designed and reviewed by a registered dietitian.  Food is transported in hot boxes to the satellite kitchen in the main dining room of the care centre on level one, to the satellite kitchen/dining area of the rest home residents in serviced apartments, and the memory care unit kitchenette.  Meals are served to residents from the hot boxes in the satellite kitchen by staff.  There is a lift near the service area, that is used to transport food carriers to each floor and dishes back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required to have a nutritional profile completed on admission, which is provided to the kitchen.  There is access to a community dietitian.  There are documents in large font posted on the whiteboard to alert staff of residents’ dislikes.  Special diets including gluten free, textured diets and diabetic diets are accommodated for.  Feedback is gained through satisfaction surveys (2021 results did not include a sufficient sample size to gain meaningful results), and verbal feedback when serving food in the dining rooms.  The kitchen manager interviewed was aware of residents with special diets and who are losing weight unintentionally.  Alternatives are available if required.  Snacks are available in the care centre for residents when the kitchen is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snacks are available in the fridge in the kitchenette in the memory care unit 24/7.  There is an induction hob in the kitchenette of the memory care unit and dual-purpose units that prevent any resident burning themselves if touched.  Boiling water taps have a safety mechanism.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occurs and communicates this decision to the potential residents/family/whānau and the referring agency.  The reasons for declining entry would be if the service is unable to provide the assessed level of care or there are no beds available.  Potential residents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resident files sampled evidenced that residents are admitted with a care needs level assessment completed by the Needs Assessment and Service Coordination (NASC) team prior to admission.  Files sampled indicated that personal needs information is gathered during admission from discharge summaries, medical notes, home care assessments and from discussions with the resident and their relative where appropriate.  The interRAI assessment tool was utilised to guide the long-term care plan.   Additional risk assessments for skin integrity, continence, and pain, etc, are completed on admission and evidence review when there is a change in a resident’s condition.  The electronic resident management system implemented by the service provides a suite of assessments for RNs to utilise as appropriate.  Outcomes of the assessments were reflected in the long- 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seven (one was a respite admission) resident long-term care plans were reviewed.  The long-term care plans, completed within three weeks, records the resident’s problem/need and objectives, all had sufficient interventions that reflected the residents’ current needs.  Residents and families interviewed confirmed their involvement in the care planning process.  The resident or the family member sign the long-term care plan acknowledgement document as sighted in the resident files.  Short-term care plans were evident in use for short-term needs including (but not limited to): wounds, infections and skin conditions and increasing behaviour, and changes in health status.  These were reviewed regularly and signed off as resolved or if an ongoing problem, added to the care plan.  Resident files demonstrated service integration and evidence of allied health care professionals involved in the care of the resident such as referral to mental health team dietitian, hospice services and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Evidence is present of family members being notified of any changes to their relative’s health status, incidents, and updates.  Discussions with families and notifications were documented on the family/whānau contact sheet in the resident files.  Interviews with residents and family confirmed that their relative’s needs are met, and they are kept informed of any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rooms.  The wound care files were reviewed.  Electronic wound assessments, treatment and evaluations were in place for 21 current wounds (10 skin tears, five lesions, one basal cell carcinoma and five chronic ulcers).  There were no pressure injuries on the day of audit.  The RNs interviewed were able to describe the referral process for a wound care nurse specialist if required.  Short-term care plans are used for short-term needs and were sighted for wounds, skin tear and skin infection.  Staff interviewed were aware of residents’ needs and understood interventions on how to meet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Staff interviewed stated that they have enough stock available and are aware of how to access stock if need arises.  Sufficient gloves and aprons were available and sighted for staff to utilise.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electronic monitoring charts is available to monitor resident health and progress against implemented interventions including (but not limited to) behaviour, weight, wounds, blood sugar monitoring, neurological observations, food, fluid, pain, turning charts and vital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Richmond employs two recreation officers (both are enrolled in diversional therapy NZQA qualification courses).  One is based in the memory care unit and the other is based in the care centre.  Both have current first aid certificates and receive education support and guidance from the national diversional and recreational specialist based in Auckland.  On admission or soon after, the resident and or their family representative are provided with a Life Story tool which provides information that contributes to an activity’s assessment.  This information forms the basis of the individual activities plan and the 24-hour activity plan for residents in the dementia unit.  The diversional therapists maintain attendance records daily and document progress notes at least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care centre run over Monday to Friday starting at 9.30am with daily exercises, and finish at 4pm.  There is a full range of social activities that are available on the monthly programme for all residents to participate in.  Activities include (but are not limited to) container gardening, golf, pool therapy, pet therapy, chair exercise, bowls, bingo, walks, arts and crafts, quiz, crosswords.  Special events include armchair travel, ice cream tasting, cultural days, community outings, celebrations for Christmas, easter, and daffodil day.  One-on-one contact is made daily with residents who are unable to or choose not to participate in group activities. The organisation has high profile New Zealanders as ambassadors who provide interactive question and answer zoom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memory care unit run over Monday to Friday with the care staff assisting with activities over the weekend. The monthly programme is very flexible in the memory care unit and activities are often spontaneous, depending on the resident’s interests and the weather on the day.   Activities include gardening, sensory activities such as the immu (an interactive music and vibration tool), the Toverfafel sensory table, gardening, baking, painting, arts, and crafts, walking and one on one activities such as hand massages and aromatherapy.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Richmond Ranges has implemented pool therapy for specific residents.  The physiotherapist assesses each residents’ abilities and provides guidance for activities staff on safety and suitable exercises.  These and resident assessments and recreational staff education have enabled many of the less able residents to participate and enjoy the pool.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High school volunteers and other community volunteers visit the facility visit as able (depending on Covid restrictions).  Church services are held monthly, and van outings are provided for residents.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been proactive in developing options to ensure residents are provided with additional opportunities during times of restricted visiting due to Covid.  The organisation employs a national diversional and recreational specialist who has developed comprehensive guidelines for use during a pandemic.  The guidelines identified challenges and solutions around infection control, communication and the use of technology, visual art, physical activities, and all aspects of the activities programme.  A checklist has been implemented for each of the traffic light levels.  The diversional and recreational officers attend monthly organisational zoom meetings and can access resources and ideas through memberships with recreational organisations in Australia, America, Canada, and the United Kingdom.</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with an experienced advocate from the village.  Family and friend meetings are held quarterly, and minutes made available via email.  The residents interviewed felt comfortable providing feedback of the service.  The chef manager attends when required to discuss food services.  A recent satisfaction survey has been held however the sample size was too small to provide meaningful feedback.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stated they were satisfied with the variety of activities on offer, and residents attend activities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evaluation of resident care plans.  Initial care plans and short-term care plans were evaluated by the registered nurses.  All of the resident files reviewed had been at the facility less than six months and did not require six monthly reviews.  There was evidence of earlier review for health changes.  When a resident is reviewed, families are invited to attend the review and asked for input if they are unable to attend.  Short-term care plans sighted have been evaluated by the RN as sighted in the resident’s files.  Care plan evaluations document resident progression towards meeting goals, and care plan interventions were updated accordingly.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Mental health services for older people, podiatrist, speech and language therapy and physiotherapy are some of the allied services accessed by resident referrals in consultation with GP.  The service facilitates access to other medical and non-medical services.  Referral documentation is maintained on resident files.  Residents/EPOAs are informed and involved in the referral process.  The GP refers residents to medical specialists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waste disposal and chemical storage.  The policies document procedures for the safe and appropriate storage, management, use and control and disposal of waste and hazardous substances.  Chemicals are automatically dispensed in the laundry.  There are two key padded sluice rooms, one in the dual-purpose unit and one in the memory care unit.   Bulk chemicals are stored securely in a separate chemical shed.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housekeeping and laundry staff have completed chemical safety, waste management training and personal protective equipment (PPE) at orientation.  Gloves, aprons, and disposable visors are readily available in the sluice rooms, cleaners’ cupboards, and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knowledgeable around waste management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centre is a three-level facility.  The ground floor includes nine serviced care apartments, service areas and a secure dementia unit.  Dementia rooms in memory care unit are all LTO apartments.  Level one includes 43 rooms (all dual-purpose hospital/rest home rooms).  There are also 19 serviced apartments on level one.  Level two includes 28 serviced apartments.  All 56 serviced apartments can provide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CPU certificate which is valid until April 2022.  </w:t>
            </w:r>
          </w:p>
          <w:p w:rsidR="00EB7645" w:rsidRPr="00BE00C7" w:rsidP="00BE00C7">
            <w:pPr>
              <w:pStyle w:val="OutcomeDescription"/>
              <w:spacing w:before="120" w:after="120"/>
              <w:rPr>
                <w:rFonts w:cs="Arial"/>
                <w:b w:val="0"/>
                <w:lang w:eastAsia="en-NZ"/>
              </w:rPr>
            </w:pPr>
            <w:r w:rsidRPr="00BE00C7">
              <w:rPr>
                <w:rFonts w:cs="Arial"/>
                <w:b w:val="0"/>
                <w:lang w:eastAsia="en-NZ"/>
              </w:rPr>
              <w:t>There is a property manager employed from Monday to Friday and available on call, after hours and on weekends.   He is supported by a property assistant, a gardener and a lawn mowing person.  All members of maintenance team work 40 hour per week.  The Summerset planned maintenance programme is in place to address reactive and preventative maintenance.  All medical and electrical equipment was purchased new and is less than a year old.  All equipment has been tagged tested and calibrated in December 2021. All equipment is stored in the centrally located equipment rooms in the both the care centre and the memory care unit.  Staff stated they have sufficient equipment to safely deliver care to meet resident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have been regularly monitored and recorded.  Water temperature checks were within expected ranges.  The property manager describes corrective actions required and plumber availability should the water temperatures fall outside of the expected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Hallways are very wide with seating areas.  The facility has enough space for residents to mobilise using mobility aids and residents are observed moving around freely.  There is a large lift (suitable for beds) and another smaller lift to transport residents and relatives between floors.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and gardens are well maintained.  The facility is built around a central courtyard.  Residents in the memory care unit have easy access to the secure internal courtyard and were viewed enjoying garden activities.  Seating with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memory loss unit is secure.  Visitors have speaker access to staff and then the door will be released to enter the entrance foyer.  All exits in and out require electronic fobs access by staff.  Decals are used around the corridors to distract residents from locked rooms, dead end walls and doors.  Contrasting colours in some areas such as ensuites provide easier visibility and identification of furniture.  There are large, coloured wall boxes outside each resident room that can be personally decorated.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has a centrally located ‘conservatory’ area, with access to balcony areas.  Communal areas have balcony spaces for residents to enjoy.  There is also a family room available for residents and families to utilise.  Residents have access to designated external areas that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vehicles (a car and bus) to provide transport to residents and for staff usage.  Both vehicles have current vehicle warrants of fitness and registration documents as evidenced.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have full ensuite facilities with a shower. There are mobility toilets located near all lounges with locks that can be opened from the outside if needed.  There are separate staff and visitor toilets.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picture signs for residents in the memory care unit to assist with locating the toilet.  Doors into the ensuites in the memory care unit are different colours, and the toilet seats are coloured.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and allow care to be provided and for the safe use and manoeuvring of mobility aids.  Mobility aids can be managed in ensuites and communal toilets and bathrooms.  Double rooms are large enough for two beds and limited mobility equipment.  The centre manager reports the double rooms would be used for rest home level care residents; hospital level residents would be able to use the room with limited use of equipment.  The apartments in the memory care unit and the serviced apartments all have a separate lounge and bedroom.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café, dining room and large lounge area adjacent to the apartments on the ground floor.  This is available for village residents, visitors and any care centre residents that choose to go to the café.  There is also another lounge/dining area for serviced apartment rest home residents on level one. On level one (dual-purpose unit), there is a large spacious living area and kitchenette/dining area.  There is a separate recreation area off the lounge.  There is also a large spacious conservatory area and covered balcony.  A separate family room is also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dining room and kitchenette on one side of the Memory Care unit.  On the other side of the Memory Care unit there is a spacious activity room and lounge.  There is also a separate family room/sensory room off the activities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other areas available for sitting and resting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for cleaning and infection prevention and linen handling and processing.  These policies ensure that all cleaning and laundry services are maintained and functional at all times.  All chemicals are within a closed system.   Material safety datasheets are provided by the contracted company and to be displayed in the cleaning cupboards, laundry, and sluices in each area.  The laundry and cleaning areas have hand-washing facilities.  There are personal laundries in the serviced apartments on each floor.  All chemicals are stored securely in locked cupboards.  There are designated laundry and housekeeping staff employed to provide services across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laundry is on the ground floor and has an entrance for dirty laundry and an exit for clean.  The laundry is large and includes two commercial washing machines and two dryers.  Dirty linen can be transported to the ground floor via a laundry chute from level one to the laundry.  There are covered laundry trolleys in the units with colour coded linen bags.  The laundry assistant interviewed was knowledgeable around laundry processes, infection control practices and keeps laundry from each unit separated.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systems for monitoring the effectiveness and compliance with the service policies and procedures.  Laundry and cleaning audits are completed with corrective actions documented for any non-conformities.  The chemical provider checks all chemical systems monthly and submits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locked cleaning trolleys on each floor.  All housekeeping and laundry staff have completed chemical safety training.  Housekeeping trolleys have locked boxes to store chemicals.  Housekeeping staff were noted to be wearing personal protective equipment (PPE) when attending to their duties.  The laundry worker interviewed described training around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site-specific emergency manual for Summerset Richmond Ranges includes emergency and disaster policies and procedures, including (but not limited to) fire and evacuation and dealing with emergencies and disasters.  Emergencies, first aid and CPR are included in the mandatory in-services programme every two years and the annual training plan includes emergency training.  Orientation includes emergency preparedness.  There is a first aid trained staff member on every shift and on outings.  All registered nurses undergo CPR and first aid training in addition to a selection of caregivers and diversional therapists.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generator available in the event of a power failure for emergency power supply.  There are also extra blankets available.  There is a civil defence locker on each floor which includes all necessary civil defence requirements.  A number of water tanks are available for a total of five 1000 litre tanks, and three 900 litre tanks for the main building.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system involves a pager system whereby staff are alerted to a resident’s call bell via the personal pagers held by each care staff member.  Call bells are available in each bedroom and ensuite.  The system in the dementia unit includes sensor bed mats that activate the lights in resident rooms, so when a resident gets up at night the light in their ensuite automatically turns on.  This prompts the resident to go to the toilet and then on leaving the ensuite the light above the resident’s bed illuminates and encourages the resident to go back to bed.  This system is controlled by a timer and therefore can be set to meet the individual needs of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by the New Zealand Fire Service before the facility opened on 21 April 2021.  Fire drills take place six-monthly with the most recent drill occurring on 19 January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Richmond Ranges is a gated facility.  The gates are locked between 9pm and 7am with fob access for the village residents.  There is a main double-door entrance into the care centre that is secure at dusk with phone access.  All exits in and out of the main building require swipe card access by staff after hours.  Sixteen internal and external security cameras are placed in strategic locations.  There is a separate entrance area into the secure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Resident’s rooms throughout the facility have air conditioning units.  The communal living areas are heated and cooled via ceiling heating/cooling systems.  All rooms have floor to ceiling external windows with plenty of natural sunlight.  All windows are double-glazed, and all areas have good lighting.  Resident suites in the memory care unit rooms have individual resident room lighting which can be controlled by staff from controls outside each room.  Some rooms in the care centre have individual Juliette balconies.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who is an RN.  The infection control officer has a signed job description.  The infection control programme is linked into the quality management system and reviewed annually.  There is a monthly National Summerset IPC ‘zoom’ meeting. This is chaired by the National Clinical Improvement Manager and is attended by Summerset Care centres IPC Coordinators.  Facility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facility.  There have been no outbreaks since the facility opened in May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 19 is well prepared for.  All visitors and contractors are required to sign in using the electronic system, which includes wellness checks and show their vaccination passes.  Since Christmas all visitors are required to have a negative rapid antigen test before entering the facility.  All staff, visitors and contractors were required to wear masks and use hand sanitiser in line with current (red traffic light) Covid requirements.  All staff have been trained in donning and doffing personal protective equipment (PPE), isolation and standard precautions.  Adequate supplies of PPE were sighted in the infection control cupboard.  Monthly stocktakes are completed to ensure adequate supplies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has been in the role at Summerset Richmond for five months.  She has recently an on-line Summerset infection control course and anther through Health learn online education platform.  The monthly “zoom” meetings with all Summerset infection control officers includes topical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is representative of the facility.  The infection control team meet monthly and provide a report to the quality improvement meeting, facility meetings and infection control quality manager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has access to an infection control nurse specialist at the DHB, GPs, laboratory, pharmacy, and expertise within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Summerset Richmond Ranges has implemented robust policies and procedures in relation to management of Covid.  All visitors currently complete rapid antigen testing and confirmation of a vaccination pass prior to entering the facility, followed by an electronic login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developed and reviewed at head office and include Covid 19 policies and procedures.  Policies are available to all staff.  They are notified of any new/reviewed policies and are required to read and sign for these.  There is Covid 19 information available in the nurses’ station to guide staff through the Covid19 lockdown levels and traffic light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orientation package includes specific training around handwashing competencies and standard precautions.  Ongoing training occurs six-monthly as part of the training calendar set at head office.  Education for 2021 to date includes isolation procedures, outbreak management, and hand hygiene spot checks.  Specific education on donning off and on and correct application and fitting of N95 masks has been provided.  Resident education occurs as part of providing daily cares.  Care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that includes a surveillance procedure, process for detection of infection, infections under surveillance, outbreaks and quality and risk management.  Infection events are collected monthly and entered into the electronic system.  The infection control officer provides infection control data, trends and relevant information to the infection control committee and clinical/quality meetings.  Areas for improvement are identified, corrective actions developed and followed up.  The facility is benchmarked against other Summerset facilities of similar size and benchmarking results are fed back to the infection control officer and used to identify areas for improvement.  Infection control audits across all services are completed and corrective actions are signed off (sighted).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The induction programme prior to opening includes training around restraint minimisation and competency assessments.  Competencies are to be completed annually.  The restraint coordinator is the clinical nurse lead in dementia.  Restraint meetings are held monthly as part of the RN meeting.  Challenging behaviour training is included as part of the annual training programme and also has been included in the induction programme prior to opening.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had no residents requiring a restraint or an enabler.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28"/>
        <w:gridCol w:w="1280"/>
        <w:gridCol w:w="3224"/>
        <w:gridCol w:w="2360"/>
        <w:gridCol w:w="18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medication rooms had heat pumps in place to regulate the room temperature.  Monitoring of temperatures in the care unit were monitored and recorded daily.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 in the memory care unit medication room had not been monitored during the month of January 2022.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medication room temperature is monitored daily and temperatures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Richmond Ranges</w:t>
    </w:r>
    <w:bookmarkEnd w:id="58"/>
    <w:r>
      <w:rPr>
        <w:rFonts w:cs="Arial"/>
        <w:sz w:val="16"/>
        <w:szCs w:val="20"/>
      </w:rPr>
      <w:tab/>
      <w:t xml:space="preserve">Date of Audit: </w:t>
    </w:r>
    <w:bookmarkStart w:id="59" w:name="AuditStartDate1"/>
    <w:r>
      <w:rPr>
        <w:rFonts w:cs="Arial"/>
        <w:sz w:val="16"/>
        <w:szCs w:val="20"/>
      </w:rPr>
      <w:t>27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