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Orewa Limited - Pinehaven Cottage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Orewa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Pinehaven Cottage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2022</w:t>
      </w:r>
      <w:bookmarkEnd w:id="7"/>
      <w:r w:rsidRPr="009418D4">
        <w:rPr>
          <w:rFonts w:cs="Arial"/>
        </w:rPr>
        <w:tab/>
        <w:t xml:space="preserve">End date: </w:t>
      </w:r>
      <w:bookmarkStart w:id="8" w:name="AuditEndDate"/>
      <w:r w:rsidR="00A4268A">
        <w:rPr>
          <w:rFonts w:cs="Arial"/>
        </w:rPr>
        <w:t>15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Pinehaven Cottage is a small facility located in a rural setting on the outskirts of Orewa in the Auckland provincial area. It provides rest home and dementia level care for up to 35 residents. The facility is operated by Graceful Home Orewa Ltd who recently took over ownership and own a number of other small facilities in the area. The service is managed by a facility manager, supported by a clinical nurse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(GP).</w:t>
      </w:r>
    </w:p>
    <w:p w:rsidRPr="00A4268A">
      <w:pPr>
        <w:spacing w:before="240" w:line="276" w:lineRule="auto"/>
        <w:rPr>
          <w:rFonts w:eastAsia="Calibri"/>
        </w:rPr>
      </w:pPr>
      <w:r w:rsidRPr="00A4268A">
        <w:rPr>
          <w:rFonts w:eastAsia="Calibri"/>
        </w:rPr>
        <w:t xml:space="preserve">This audit has resulted in one area identified as requiring improvement relating to risk management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quality, risk and management plans included the philosophy, vision, mission statement and values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was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Any use of enablers is voluntary for the safety of residents in response to individual requests. The facility has been restraint free for a number of years. A comprehensive assessment, approval and monitoring process with regular reviews occurs when any enabler use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5"/>
        <w:gridCol w:w="1280"/>
        <w:gridCol w:w="84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Pinehaven Cottage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Code is included as part of the orientation process for all staff employed and in ongoing training, as verified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observed calling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forms as needed.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Resident files had evidence of enduring power of attorney (EPOA), and these had been enacted.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activities and could appropriately detail how they would respond to refusal of care, medicines or food/fluid.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and staff members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except when otherwise indicated to comply with the Covid-19 National Alert Level in place at the time.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(two written and one oral) have been received over the past year and that actions taken, through to an agreed resolution, are documented and completed within the timeframes. Action plans showed any required follow up and improvements have been made where possible.  The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HDC complaint received earlier last year that is being managed by the owner. This is in progress and all relevant information has been forwarded to the HDC and a report awaited.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during discussion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when attending to personal cares, by ensuring residents’ information is held securely and privately, when exchanging verbal information and in discussions with families.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day-to-day practice, as is the importance of whānau. A Māori health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reported that staff acknowledged and respected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verified that they were consulted on their individual culture, values and beliefs and that staff respected these. Resident’s personal preferences, required interventions and special needs were included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Ongoing education is provided on an annual basis which was confirmed in training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a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district health board, if needed. Staff reported interpreter services were rarely required due to all present residents being able to speak English and/or te reo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mission statement, values, philosophy, direction and objectives of the organisation. The documents described annual and longer-term objectives and the associated operational plans. Reporting to the owners showed adequate information to monitor performance is reported including quality reporting, occupancy, hazards, risks and staffing. The facility manager also has regular phone contact with the owners on day-to-day issues. Disruptions due to Covid have impacted some regular face to face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nine months. Responsibilities and accountabilities are defined in a job description and individual employment agreement. The facility manager confirmed knowledge of the sector, regulatory and reporting requirements and maintains currency through the New Zealand Aged Care Association (NZACA) and Ministry communications, along with relevant aged care training.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care, dementia care, respite and long-term chronic health conditions (LTCHC). 34 residents were receiving services under the contracts (22 dementia care, 11 rest home and one LTCHC)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nurse manager (CNM) carries out all the required duties under delegated authority. During absences of key clinical staff, the clinical management is overseen by the senior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outcomes and clinical incidents including infections, falls and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and clinical team meetings and staff meetings. Staff reported their involvement in quality and risk management activities through audit activities and regular meetings with management. Relevant corrective actions are developed and implemented to address any shortfalls. Resident and family satisfaction surveys are completed annually. The most recent survey showed a request involving food which was responded to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processes for the identification, monitoring, review and reporting of risks and development of mitigation strategies was not current and needs review and updating.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to the Ministry of Health, or other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Care staff have either completed or commenced a New Zealand Qualification Authority (NZQA) education programme to meet the requirements of the provider’s agreement with the DHB. Staff working in the dementia care area have all completed the required education. A number of staff have already reached Level 4 requirements with others enrolled.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five-week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demographics, personal, clinical and health information was fully completed in the residents’ files sampled for review. Clinical notes were current and integrated with GP and allied health service provider notes. This includes interRAI assessment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catalogue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Specialist referral to the service is confirmed for the residents needing dementia level of care.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 assessments, and showed that the EPOA had signed admission agreements and consented for admission for those residents in the dementia service.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Family members interviewed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pharmacy involvement. There is one rest home resident who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experienced cooks and is in line with recognised nutritional guidelines for older people. The menu follows summer and winter patterns and was reviewed by a qualified dietitian in February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effective from 11 January 2022. Food temperatures, including for high risk items, are monitored appropriately and recorded as part of the plan. All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snack foods, and fluids to meet their nutritional needs over each 24-hour period.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GP and whānau/family. Examples of this occurring were discussed with registered nurse (RN)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an initial care plan. Within three weeks of admission a comprehensive assessment is completed using nursing assessment tools, such as a pain scale, falls risk, skin integrity, nutritional screening and interRAI, as a means to identify any deficits and to inform long term care planning. The sample of care plans reviewed had an integrated range of resident-related information. All residents have current interRAI assessments completed by a trained interRAI assessor on site. </w:t>
            </w:r>
          </w:p>
          <w:p w:rsidR="00EB7645" w:rsidRPr="00BE00C7" w:rsidP="00BE00C7">
            <w:pPr>
              <w:pStyle w:val="OutcomeDescription"/>
              <w:spacing w:before="120" w:after="120"/>
              <w:rPr>
                <w:rFonts w:cs="Arial"/>
                <w:b w:val="0"/>
                <w:lang w:eastAsia="en-NZ"/>
              </w:rPr>
            </w:pPr>
            <w:r w:rsidRPr="00BE00C7">
              <w:rPr>
                <w:rFonts w:cs="Arial"/>
                <w:b w:val="0"/>
                <w:lang w:eastAsia="en-NZ"/>
              </w:rPr>
              <w:t>Files audited had evidence of wound management, such as a wound care plan and evaluation. Evidence of wound management, including photographs of chronic wounds, was sighted.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Residents’ files had documented dementia specific 24-hour care plan and behavioural management care plans including triggers and interventions for behaviours of concerns.</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Family members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Documents,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with the support of care staff. A wide range of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A life story book including past likes and important past events was completed during the admission. An individualised 24-hour activities plan was completed by the activities coordinator and is reviewed as part of the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planner sighted matched the skills, likes, dislikes and interests identified in the assessments.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care plan reviews and satisfaction surveys. Family members interviewed confirmed the residents enjoy the programme. Residents were observed actively participating in the planned activities occurring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has a contracted GP who visits weekly. If the need for other non-urgent services is indicated or requested, the GP or RN sends a referral to seek specialist input. Copies of referrals were sighted in residents’ files. All referrals are followed up by the GP or RN.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May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The owner does much of the basic maintenance and contractors are contracted to do all other work. A maintenance register is maintained and responses to issues are timely.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The dementia unit has a sunny and safe outside garden and patio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rooms with ensuites.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Staff and residents reported the adequacy of bedrooms.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while there are no permanent wheelchair users, a facility wheelchair is stored safely. Due to the rural nature of the facility, mobility scooters are not practicable.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This is carried out by the HCA’s who demonstrated a sound knowledge of the laundry processes, dirty/clean flow and handling of soiled linen. Residents interviewed reported the laundry is managed well and their clothes are returned in a timely manner. Each resident has a named basket for their personal laundry which is delivered to them daily.</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The head cleaner has been with the facility for nearly 20 years and maintains high cleaning standards throughout the facility. Chemicals were stored in a lockable cupboard and were in appropriately labelled containers. The cleaning trolley is securely locked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regularly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24 August 2016.  A trial evacuation takes place four monthly with a copy sent to the New Zealand Fire Service, the most recent being on 17 January 2022.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first aid kits, radios, food, water, blankets, mobile phones and gas BBQ’s were sighted and meet The National Emergency Management Agency recommendations for the region.  A 900 litre water storage tank is located in the complex, is regularly maintained and there is also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There is also a laser beam system in place at night to reduce any disturbances for other residents. The call bells and lasers are connected to individual staff pagers.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each evening and a nightly check form is required to be signed to record this has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a few rooms have doors that open onto outside garden or small patio areas. Heating is provided by underfloor heating in the dementia unit. The rest home is heated by a wood fire burner with a heat transfer system that heats all rooms and communal areas. There are also some electric wall heaters in corridors. Areas were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Pinehaven Cottage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Infection control matters, including surveillance results, are reported monthly to the facility manager. Infection control data is discussed during the staff meetings and a copy of the minutes are available for staff. This infection control committee includes the RN, health care assistant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Covid-19 pandemic, all visitors are requested to log their visit by entering their details on a paper log or by scanning a Ministry of Health bar code. A temperature scanner on the wall as visitors enter automatically scans and announces temperature on entry. A loud alert is sounded if staff or visitors have a high temperature. This system was installed as an extra layer of protection for their residents and staff during this time.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The RN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infectious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are reviewed annually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observation and documentation verified staff have received education in infection prevention and control at orientation and ongoing education sessions. Education is provided by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is evidence that additional staff education has been provided in response. In response to the recent pandemic, staff have completed training on the Covid-19 pandemic, hand hygiene, isolation precautions and use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reminded about handwashing and increasing oral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shift handovers. Graphs are produced that identify trends, and comparisons against previous months and this is reported to the clinical manager and staff. The monthly infection rates remained low. There was evidence of staff education on ‘chain of infection transmission’ following an increase in the number of infections. </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documentation was sighted and staff interviewed were aware of the plan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CNM, who is also the restraint coordinator, will provide support and oversight for enabler and restraint management in the facility if required,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with enablers and no restraints being used. The facility is restraint free and has been for many years. A file of an enabler that had been in use recently but was no longer required, was reviewed. This demonstrated a sound process with regular reviews had been implemented. A similar process is followed for the use of enablers as would be used for restraints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Restraint would only be used as a last resort when all alternatives have been explored. Staff receive relevant training regularly.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3"/>
        <w:gridCol w:w="1280"/>
        <w:gridCol w:w="5710"/>
        <w:gridCol w:w="1337"/>
        <w:gridCol w:w="19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register had been developed by the previous owners and was dated May 2020. The manager did have some difficulty in locating it. Since the new owners took over responsibility in April 2021, it has yet to be reviewed. The current register is overly detailed with much of the content not always relevant or reflective of this particular facility or the current environment. This will need to include recent developments with the changing pandemic situation, financial risk considerations, changes in occupancy levels, any staffing potential risks and other relevant organisational risks for operating aged care facilities in the current environment. Active monitoring and reporting needs to also be completed regularly as there has not been any of this reported in the last 11 months, since the change in ownership. However, there is a comprehensive pandemic response plan for the organisation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owner confirmed it was not a document that had been reviewed or updated and has undertaken to do this work as soon as possible, in consultation with the management team at the facility. They are also planning to set up a regular review, reporting and monitoring programme to address the requirement of the criteria.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risk register has not been reviewed, updated, monitored or reported against since May 2020 and the register does not accurately reflect the current environment or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risk register and update it to reflect the current environment/facility with the severity and probability of each risk determined. Develop and implement a process to monitor, analyse, minimise and address those risks associated with service provision at Pinehaven Cottage.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Orewa Limited - Pinehaven Cottage</w:t>
    </w:r>
    <w:bookmarkEnd w:id="58"/>
    <w:r>
      <w:rPr>
        <w:rFonts w:cs="Arial"/>
        <w:sz w:val="16"/>
        <w:szCs w:val="20"/>
      </w:rPr>
      <w:tab/>
      <w:t xml:space="preserve">Date of Audit: </w:t>
    </w:r>
    <w:bookmarkStart w:id="59" w:name="AuditStartDate1"/>
    <w:r>
      <w:rPr>
        <w:rFonts w:cs="Arial"/>
        <w:sz w:val="16"/>
        <w:szCs w:val="20"/>
      </w:rPr>
      <w:t>14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