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(BPA) Limited - Maxwell Care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(BPA)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Maxwell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January 2022</w:t>
      </w:r>
      <w:bookmarkEnd w:id="7"/>
      <w:r w:rsidRPr="009418D4">
        <w:rPr>
          <w:rFonts w:cs="Arial"/>
        </w:rPr>
        <w:tab/>
        <w:t xml:space="preserve">End date: </w:t>
      </w:r>
      <w:bookmarkStart w:id="8" w:name="AuditEndDate"/>
      <w:r w:rsidR="00A4268A">
        <w:rPr>
          <w:rFonts w:cs="Arial"/>
        </w:rPr>
        <w:t>26 January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Heritage Healthcare Limited own and operate Maxwell Lifecare Blenheim. The facility has capacity to take 25 residents, for rest home or hospital level care. All beds are dual purpose. The facility is managed by a care home manager supported by a clinical services manager with support from a regional manager and staff from national office.  </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(DHB) and Ministry. The audit process included review of policies and procedures, review of residents’ and staff files, observations and interviews with residents, family members, managers, staff and a general practitioner.</w:t>
      </w:r>
    </w:p>
    <w:p w:rsidRPr="00A4268A">
      <w:pPr>
        <w:spacing w:before="240" w:line="276" w:lineRule="auto"/>
        <w:rPr>
          <w:rFonts w:eastAsia="Calibri"/>
        </w:rPr>
      </w:pPr>
      <w:r w:rsidRPr="00A4268A">
        <w:rPr>
          <w:rFonts w:eastAsia="Calibri"/>
        </w:rPr>
        <w:t>A strength of this organisation is their teamwork and dedication to their residents. One area for improvement was identified during the audit related to the timely completion of resident’s long term care planning.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(HDC) Code of Health and Disability Services Consumers’ Rights (the Code) and these are respected. Personal privacy, sexuality, independence, individuality and dignity are supported.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Younger people with disabilities were able to express themselves freely. Staff provided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 xml:space="preserve">Few complaints are recorded and are managed by the care home manager who also maintains the register.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included the vision, direction and values of the organisation. These cover, appropriate references to younger people with disabilities who are residents. Reporting of clinical indicators occurs automatically through to the regional manager (RM) and national office, as well as monthly reports on the services provided.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where identified. Staff are involved and feedback is sought from residents and families. Adverse events are documented with corrective actions implemented. Actual and potential risks, including health and safety risks, are identified rated and mitigated. Policies and procedures support service delivery to all residents, including younger people with disabilities,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is challenging but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 xml:space="preserve">Medicines are safely managed and administered by staff who are competent to do so. </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maintained. There was a current building warrant of fitness. Electrical equipment has been tested as required. Communal and individual spaces are maintained at a comfortable temperature. External areas are accessible and safe. There are multiple areas provided for residents to meet as a group and smaller areas where residents including younger people with disabilities can sit.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Personalised equipment for residents is well maintained and safely stored in their rooms.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The service’s emergency plan considers the special needs of individuals.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Heritage Lifecare policies and procedures to minimise the use of restraint, with a registered nurse taking on the lead role. During the audit there were no restraints and four enablers in use. Documentation for a comprehensive assessment, approval and monitoring process with regular reviews is occurring. Use of enablers is voluntary and for the safety of residents.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led by an experienced and trained infection control coordinator, aims to minimise infections to residents’ staff and visitors. The programme is reviewed annually. Specialist infection prevention and control advice is accessed from the general practitioner, laboratory and the organisation’s support office when needed. </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19"/>
        <w:gridCol w:w="1280"/>
        <w:gridCol w:w="86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Maxwell Lifecare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(6 May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provided relevant guidance to staff. Clinical files reviewed showed that informed consent has been gained appropriately using the organisation’s standard consent form. Additional consents were sighted for COVID-19 and flu vaccinations. Advance care planning,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The clinical services manager (CSM) provided an example of a family member contacting Advocacy Services for advice, though they chose not to pursue this further.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The facility has visiting by appointment currently due to the COVID-19 restrictions. Family/whānau interviewed stated that they understood the process and reasons and that staff were keeping in touch with them and felt welcomed when they did visit. YPD residents are encouraged to participate in the community, to use public transport and attend events promoting access to family and friends.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meets the requirements of Right 10 of the Code. Residents and family are informed of the process as part of the admission pack. Three means of giving feedback are available; at reception, suggestions, compliments, complaints and feedback forms and a minor concerns book.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four complaints have been received in 2021, one of which was actually an incident. Actions were documented, through to an agreed resolution. Timeframes for response met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Action plans showed any required follow up and improvements have been made where possible. The care home manager is responsible for complaints management and follow 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through part of the admission information provided and discussion with staff. The Code is displayed in the reception area and staff room,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including younger people with disabilities,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continuing to attend community events, participation in clubs of their choosing and continuing under the care off their general practitioner (GP) rather than transitioning to the house GP.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occur during orientation and annually (6 May 2021). Relatives interviewed confirmed they have not seen anyone mistreated or neglected.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the residents in the service who identify as Māori to integrate their cultural, religious and social needs, values and beliefs. The principles of the Treaty of Waitangi are incorporated into day to day practice, as is the importance of whānau. The Māori Model of Care ‘Te Whare Tapa Wha’ guides staff in holistic care for Māori residents. Guidance on tikanga best practice is available and is supported by staff who identify as Māori in the facility. Māori residents and their whānau interviewed reported that staff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such as meal preferences, times for going to bed and getting up and what activities they wished to attend.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(22 July 2021).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the organisation’s evidence based policies, input from external specialist services and allied health professionals, for example podiatrists, district nurses and older persons health, and education of staff. The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the recognition of staff. Staff nominate another staff member and share what quality activity they have excelled in then at the monthly staff meeting a name is drawn and the ‘superstar’ receives a small gift if they are present at the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evident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knew how to access interpreter services, although reported this had not been required as all residents were able to speak English. Residents admitted under the younger people with disabilities (YPD) contract were able to express themselves without difficulty.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Heritage Lifecare Limited (HLL) business plans 2020 and facility specific plan 2021 showed goals, with requirements and measures of success. These are reviewed annually. They outlined the organisation’s values and mission statement which were reviewed a few years ago. Planning for younger people with disabilities is reflected in the organisation’s patient centred approach. A sample of managers’ monthly reports to the national office showed adequate information to monitor performance is reported including financial,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care home manager (CHM) who holds a management qualification and has held management roles in another related health organisation. The CHM is suitably qualified for the role and have been in the role for just over three years. Responsibilities and accountabilities are defined in a job description and individual employment agreement. The CHM confirmed knowledge of the sector, regulatory and reporting requirements and maintains currency through attending HLL conferences, attending meetings with the DHB, and access to the New Zealand Aged Care Association newsletter.   </w:t>
            </w:r>
          </w:p>
          <w:p w:rsidR="00EB7645" w:rsidRPr="00BE00C7" w:rsidP="00BE00C7">
            <w:pPr>
              <w:pStyle w:val="OutcomeDescription"/>
              <w:spacing w:before="120" w:after="120"/>
              <w:rPr>
                <w:rFonts w:cs="Arial"/>
                <w:b w:val="0"/>
                <w:lang w:eastAsia="en-NZ"/>
              </w:rPr>
            </w:pPr>
            <w:r w:rsidRPr="00BE00C7">
              <w:rPr>
                <w:rFonts w:cs="Arial"/>
                <w:b w:val="0"/>
                <w:lang w:eastAsia="en-NZ"/>
              </w:rPr>
              <w:t>The facility holds a residential aged care contract with the local DHB for long term hospital level care (18 residents), rest home level care (one resident) and respite care (one resident) and a contract with the Ministry of Health for younger persons with a disability ((YPD) (four residents), who are all over 65 years of age and receiving hospital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CHM is absent, the clinical services manager carries out all the required duties under delegated authority. During absences of key clinical staff, the clinical management is overseen by another senior RN who is experienced in the sector and able to take responsibility for any clinical issues that may arise. They are supported by another local HLL clinical manager.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the management of incidents and complaints, an audit plan, a regular patient and family satisfaction survey, monitoring of outcomes, clinical incidents/indicators including infections, pressure injury, wounds, restraint use and falls. Monthly resident meetings occur. Residents under the YPD contract are included in the quality data and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meetings are held monthly and these include staff, managers, health and safety and quality. Meeting minutes reviewed confirmed regular review and analysis of quality indicators and that related information is reported and discussed at these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their involvement in quality and risk management activities through, audit activities, and are informed by noticeboards in the staff room, meetings and messages in Time Target.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develops corrective action forms to address any shortfalls identified. Examples sighted were restraint audit documentation where not all new staff were completing the paperwork.  Quality improvement forms are used to record activities to improve care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are completed annually by the national office; these include residents under the YPD contract. The survey results are benchmarked with other HLL facilities. The 2021 survey showed that Maxwell Lifecare is inline or above the national average, with a few areas just below and these areas are identified to be worked on going forward.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Younger residents have electronic equipment and all necessary aids to help mobility and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HLL provide the organisation wide policies, procedures and guidelines and cover all necessary aspects of the service and contractual requirements, including reference to the interRAI Long Term Care Facility (LTCF) assessment tool and process with relevant needs assessment service (NASC) requirements for younger people. Policies are based on best practice and HLL have been working on updating these documents with the majority being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HLL risk register, which includes the facility wide risks. The home care manager described the processes for the identification, monitoring, review and reporting of risks and development of mitigation strategies. The manager is familiar with the Health and Safety at Work Act (2015) and has implemented requirements. There are two health and safety representatives who are known to staff who are undertaking training in this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related to staff or property on an accident/incident form. The incident would be reviewed by the CHM or clinical service manager (CSM) as appropriate and discussed at the health and safety meeting, where corrective action is taken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accidents/incidents are recorded on a form which is then loaded into an electronic system by the CSM and also informs the clinical indicators process, which is available to senior management. An escalation process is in place based on a risk matrix, to ensure high risks are brought promptly to the attention of senior staff. Benchmarking on clinical indicators occurs between the HLL facilities related to these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incidents were reviewed and showed these were fully completed, incidents were investigated, action plans developed and actions followed-up in a timely manner.  Prompt reporting to family members was seen in the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CHM described essential notification reporting requirements, including to Worksafe for staff injuries, and for pressure injuries. They advised there have been no notifications of significant events made to the Ministry of Health,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HLL have a range of policies and flow charts which cover human resources management. These showed how human resources at national office were supporting facility management.  The processes are based on good employment practice and relevant legislation. The recruitment process includes an application form, short listing, visa and referee checks, police vetting and validation of qualifications and practising certificates (APCs), where required. A sample of staff records reviewed confirmed the organisation’s policies are being consistently implemented and records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health professionals (nurses, general practitioner, pharmacists, podiatrist, dietitian) have a current annual practising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and annually. There was a small number of staff whose annual appraisals had not been able to be completed in 2021 and these have been given dates for completion in early in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and competency requirements. Care staff have either completed or commenced a New Zealand Qualification Authority (there were four commencing training, two on level two, one on level three and five on level four) education programme to meet the requirements of the provider’s agreement with the DHB. The facility does not have an assessor for the programme. This is managed by using an assessor from another HLL facility. There are three trained and competent registered nurses who are maintaining their annual competency requirements to undertake interRAI assessments. Records reviewed demonstrated completion of the required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CSM and CHM are on call afterhours, with staff reporting that good access to advice is available when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had vacancies for two registered nurses (RN), two care staff and a cook for some time. The RN positions have now been filled; one being in managed isolation and the other is in transit on their way to New Zealand. One caregiver is commencing the week following the audit and the other position is still to be filled. The kitchen position is being continually advertised with no suitable candidates to date.  </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the eight week roster cycle confirmed overall adequate staff cover has been provided. Three shifts, some only a few hours, were unable to be filled. This is being managed by the CSM doing six days a week in the three weeks reviewed, working on the floor with the management commitment not being met these weeks. Caregivers staff are doing double shifts, casual caregivers are being used when available and activities coordinators, who are also caregivers, are filling the caregivers positions. This is to the detriment of activities programmes.  Kitchen staff were doing double shifts to meet the needs of the residents. Management dashboard reports showed peaks for overtime in recent months, and variance to staff usual hours worked.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RNs have a current first aid certificate, with 24 hour a day RN coverage in the hospital. Care staff reported they were getting tired due to the staffing shortages, and they knew management were doing their best to recruit staff. Residents and family interviewed did not raise concerns about staffing and were happy with the care staff and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Relevant NASC assessments and authorisations for residents admitted under the YPD contract were completed. Prospective residents and/or their families are encouraged to visit the facility prior to admission and are provided with written information about the service and the admission process. The organisation seeks updated information from the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details,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as appropriate if family are unavailable. If required, the service prints off an interRAI transfer form and uses the DHBs ‘yellow envelope’ system to facilitate transfer of the residents to and from acute care services. There were no examples of this happening, but the process was explained. There is open communication between all services, the resident and the family/whānau. At the time of transition between services, appropriate information is provided for the ongoing management of the resident. All referrals are documented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and enters this into the system as a record. All medications sighted were within current use by dates. Clinical pharmacist input is provided on request.</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Prescribing practices included the prescriber’s signature and date recorded on the commencement and discontinuation of medicines and all requirements for pro re nata (PRN) medicines. The required three-monthly GP review was consistently recorded on the medicine chart. Standing orders are not used.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were self-administering medications at the time of audit. This option is not made available to residents as there is no lockable storage receptacle in residents’ rooms.</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cook and kitchen team, and is in line with recognised nutritional guidelines for older people. The menu follows summer and winter patterns and has been reviewed by a qualified dietitian within the last two years (3 December 2021). There were no recommendations made at this time.</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Marlborough District Council - current until 11 June 2022.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have access to food and fluids to meet their nutritional needs at all times.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The care home manager keeps a register of those waiting for placement and those declined entry to the service. Examples of this occurring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including a pain scale, falls risk, skin integrity, nutritional screening and oral health, as a means to identify any deficits and to inform care planning. The sample of care plans reviewed had an integrated range of resident-related information. All residents have current interRAI assessments completed and the relevant outcome scores have supported care plan goals and interventions.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 The residents under the younger person with disability contract had equipment suited to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has been provided by two activity coordinators who also work as caregivers. Due to staffing issues (refer standard 1.2.8) the implementation of the programme was often left to care staff to initiate activities left out for residents and documentation was not always current as the activities coordinators were pulled on to the floor to work. The role is changing to have only one activities coordinator who is undergoing the diversional therapy training, and she has been able to complete documentation and has plans to develop the programme. There are some volunteers who come to assist with the programme when visiting restrictions allow.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by engagement at the time of events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Due to the high acuity of residents, a lot of activities occur one to one to meet the residents’ needs. Group activities and events are offered. Residents and families/whānau are involved in evaluating and improving the programme through residents’ meetings and satisfaction surveys. Discussion is had with the residents to obtain their input into the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Those residents diagnosed with dementia have 24 hour care plans developed with activities to deescalate any behaviour issues. </w:t>
            </w:r>
          </w:p>
          <w:p w:rsidR="00EB7645" w:rsidRPr="00BE00C7" w:rsidP="00BE00C7">
            <w:pPr>
              <w:pStyle w:val="OutcomeDescription"/>
              <w:spacing w:before="120" w:after="120"/>
              <w:rPr>
                <w:rFonts w:cs="Arial"/>
                <w:b w:val="0"/>
                <w:lang w:eastAsia="en-NZ"/>
              </w:rPr>
            </w:pPr>
            <w:r w:rsidRPr="00BE00C7">
              <w:rPr>
                <w:rFonts w:cs="Arial"/>
                <w:b w:val="0"/>
                <w:lang w:eastAsia="en-NZ"/>
              </w:rPr>
              <w:t>Activities and social outings, for residents under the younger people with disabilities contract are appropriate for their age and stage of life.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using the ‘stop and watch’ tool.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wounds care.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is indicated or requested, the GP or RN sends a referral to seek specialist input. Copies of referrals were sighted in residents’ files, including to district nurses for wound assessment and the speech language therapist.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HLL have documented policies and procedures for staff to follow for the management of waste and infectious and hazardous substances. Appropriate signage is displayed for the storage of oxygen. There were no large amounts of chemicals stored.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Spill kits are available in two areas of the facility. Pest control is in place and monitored monthly by the chemical provider.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Maxwell Lifecare has personnel protective clothing provisions availability for all staff, including those required for use during the different Ministry levels for COVID-19.  Staff were observed using plastic aprons, gloves and face masks appropriately.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23 July 2022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is over 30 years old and there are signs of areas requiring some refurbishment work. The CHM is aware of these areas with a business case to national office being completed in 2021, but yet to be signed off. A number of areas are in need of repairs and painting and this is scheduled for the next few weeks. Systems are in place to remedy any immediate issues with the residents’ physical environment and the facilities are fit for their purpose.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testing and tagging of electrical equipment and calibration of bio medical equipment was current as confirmed in documentation reviewed, interviews with CHM and observation of the environment. The maintenance person has been in their role for a few months and carries out general maintenance and work schedules. The hot water is being monitored and some areas have been above the recommended temperature. The maintenance person is taking steps to reduce this and checks the temperature of the area to ensure it is safe for use. The environment was hazard free and resident safety was promoted. Personalised equipment is available for all residents including those under the YPD contract to meet all their mobility and equipment needs. </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were appropriate to the resident groups and setting. External sitting areas have shade available. Residents under the YPD contract can access all internal and external areas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are required and that requests are actioned. They know how to report hazards, and these are discussed at the health and safety meetings and corrective actions if required are undertaken. Residents and family members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majority of rooms (20) have a share toilet and shower room, between two residents, with the rest (four) having ensuites. One room (lavender room), does not have a toilet or a shower. There is a toilet close to the room. The resident has to use a shower room of other residents. The CHM described the process to ensure privacy for the resident and to keep them person warm when moving to and from the shower. This is not ideal; however, the room is used for residents who are receiving end of life care and can be managed with reduced access to the shower. The current patient in this room was suitable for the limited amenities within the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Toilets are also available near to the dining area, with separate toilet facilities for visitors (three) and separate toilets (two) and showers for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rooms are in various sizes with all having adequate personal space to allow residents and staff to move around within their bedrooms safely. All bedrooms provide single accommodation. Rooms were observed to be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 including those under the YPD contract. There is consideration of all resident’s compatibility.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Laundry staff who also undertake the cleaning demonstrated a sound knowledge of the laundry processes, with the appropriate washing cycle being available on the machine. The laundry is small but had a clear dirty/clean flow to allow for the segregation of the soiled linen from the clean linen. Residents interviewed and minutes of resident’s meetings showed their personnel laundry being generally managed well with a few issues of clothes not being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cleaning/laundry team who have received appropriate training. These staff undertake the New Zealand Qualifications Authority Certificate in Cleaning (Level 2), as confirmed in interview of cleaning staff and from training records.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through the internal audit programme and the chemical provider reports on performance.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HLL business continuity plan which helps to ensure business processes can continue in the event of an emergency. A Disaster Recovery Plan also deals with restoration of computer systems to full functionality. Policies, guidelines and flip charts guide facility management and staff in emergency planning, preparation and response were displayed and known to staff.  Disaster and civil defence planning guides direct the facility in their preparation for disasters and described the procedures to be followed in the event of a fire or other emergency. </w:t>
            </w:r>
          </w:p>
          <w:p w:rsidR="00EB7645" w:rsidRPr="00BE00C7" w:rsidP="00BE00C7">
            <w:pPr>
              <w:pStyle w:val="OutcomeDescription"/>
              <w:spacing w:before="120" w:after="120"/>
              <w:rPr>
                <w:rFonts w:cs="Arial"/>
                <w:b w:val="0"/>
                <w:lang w:eastAsia="en-NZ"/>
              </w:rPr>
            </w:pPr>
            <w:r w:rsidRPr="00BE00C7">
              <w:rPr>
                <w:rFonts w:cs="Arial"/>
                <w:b w:val="0"/>
                <w:lang w:eastAsia="en-NZ"/>
              </w:rPr>
              <w:t>The service’s emergency plan has considered any special needs of YPD contracted clients. The current fire evacuation plan was approved by the New Zealand Fire and Emergency Service on 19 January 2011. A trial evacuation takes place six-monthly, with some disruption of the timing due to COVID-19, the most recent being on 21 December 2021. There was a corrective action developed from this trial which has resulted in the CHM carrying out monthly drills until all new RNs can demonstrate the requirements of the process.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food, water, blankets, mobile phones and gas BBQs were sighted. Water storage tanks are located around the complex, and there is a generator available from a local hire firm. Torches are also available.  </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with afternoon and night staff undertaking security checks. Doors and windows are locked at a predetermined time and there is outside motion sensor lighting to allow staff to identify any issue around the building. The front door has a call bell system and staff can safety see the person before allowing entry at night or at any time during the COVID-19 stages. There is a personal alarm and security pad at reception which is answered by an external contracted company if activated.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doors that open onto an outside garden. Heating is provided by heat pumps in residents’ rooms in the communal areas. Temperatures of the areas are monitored, and thermometers were seen in various areas of the facility; one recorded 22 degrees Celsius on the day of audit.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Maxwell Lifecare implements an infection prevention and control (IPC) programme to minimise the risk of infection to residents, staff and visitors. The programme is guided by a comprehensive and current infection control manual, with input from the organisation’s support office.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clinical service manager is the designated IPC coordinator, whose role and responsibilities are defined in a job description. Infection control matters, including surveillance results, are reported monthly to the care home manager, and tabled at the quality committee meeting. This committee includes the care home manager, IPC coordinator, the health and safety officer, and representatives from food services and household management. Information is reported through to regional and national levels on a monthly basis.</w:t>
            </w:r>
          </w:p>
          <w:p w:rsidR="00EB7645" w:rsidRPr="00BE00C7" w:rsidP="00BE00C7">
            <w:pPr>
              <w:pStyle w:val="OutcomeDescription"/>
              <w:spacing w:before="120" w:after="120"/>
              <w:rPr>
                <w:rFonts w:cs="Arial"/>
                <w:b w:val="0"/>
                <w:lang w:eastAsia="en-NZ"/>
              </w:rPr>
            </w:pPr>
            <w:r w:rsidRPr="00BE00C7">
              <w:rPr>
                <w:rFonts w:cs="Arial"/>
                <w:b w:val="0"/>
                <w:lang w:eastAsia="en-NZ"/>
              </w:rPr>
              <w:t>A QR code is available for scanning and a health declaration form, masks and sanitiser were at the main entrance to the facility. Family members are required to make a booking to visit relatives and are required to produce a vaccine certificate under the red traffic light system.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three years. She has undertaken an online training programme in infection prevention and control as verified in training records sighted. Additional support and information are accessed from the infection control team at the DHB, the community laboratory, the GP and public health unit, as required. A newly appointed regional infection prevention control manager provides support and guidance on the organisation’s policies and procedures via a monthly zoom meeting.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last reviewed in November 2020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were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on infection prevention and control at orientation and ongoing education sessions.  Education is provided by the IPC coordinator. Content of the training is documented and evaluated to ensure it is relevant, current and understood. A record of attendance is maintained. The IPC coordinator verified that additional staff education has been provided in response to such events as the COVID-19 pandemic response.</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the information around COVID-19 restrictions.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skin, eye, gastro-intestinal and the upper and lower respiratory tract. The IPC coordinator reviews all reported infections and these are documented and entered into the electronic database.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quality meeting, staff meetings and the regional infection prevention control coordinator.  Data is benchmarked against other facilities within the organisation. Benchmarking has provided assurance that infection rates in the facility are below average for the sector with no urinary tract infections recorded in the last twelve months.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at the facility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HHL have three approved restraints that can be used in their facilities (T - belts, bedrails and fall out chairs). The CSM is the restraint coordinator and provides support and oversight for enabler and restraint management in the facility. They demonstrated a sound understanding of the organisation’s policies, procedures and practice and their role and responsibilities, which is documented in the restraint coordinator’s job description. Restraint is used as a last resort when all alternatives have been explored. They maintain the register of enabler and restraint use and these are discussed at the quality and RN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 had restraints in use and there had been no restraint use for some time. Four residents were using enablers, which were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This was evident on review of the minutes of meetings, files reviewed, and from interviews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72"/>
        <w:gridCol w:w="1280"/>
        <w:gridCol w:w="7596"/>
        <w:gridCol w:w="1886"/>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files reviewed showed assessment, planning, provision, evaluation and review of long term care plans was completed in detail. Personalised and specific medical needs were addressed and evidenced family/whānau input. InterRAI assessments were completed according to the contractual agreement, but long term care plans (LTCPs) were not consistently be developed within the required timeframe. The date of completion was between four and eight weeks. The sample number of files was extended to eight to view completion of LTCP dates. This was observed in residents’ files with both recent admissions and older admissions. The clinical manager has raised this through the quality meeting as an area of concern. A plan has been developed going forward to address this shortfall.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reviewed showed care planning was occurring; however, seven out of eight files reviewed did not have the long term care plan developed within the required time frames (three weeks).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long term care plans are developed within three weeks of admission.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(BPA) Limited - Maxwell Care Home</w:t>
    </w:r>
    <w:bookmarkEnd w:id="58"/>
    <w:r>
      <w:rPr>
        <w:rFonts w:cs="Arial"/>
        <w:sz w:val="16"/>
        <w:szCs w:val="20"/>
      </w:rPr>
      <w:tab/>
      <w:t xml:space="preserve">Date of Audit: </w:t>
    </w:r>
    <w:bookmarkStart w:id="59" w:name="AuditStartDate1"/>
    <w:r>
      <w:rPr>
        <w:rFonts w:cs="Arial"/>
        <w:sz w:val="16"/>
        <w:szCs w:val="20"/>
      </w:rPr>
      <w:t>25 January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