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Flaxmore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Flaxmore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2022</w:t>
      </w:r>
      <w:bookmarkEnd w:id="7"/>
      <w:r w:rsidRPr="009418D4">
        <w:rPr>
          <w:rFonts w:cs="Arial"/>
        </w:rPr>
        <w:tab/>
        <w:t xml:space="preserve">End date: </w:t>
      </w:r>
      <w:bookmarkStart w:id="8" w:name="AuditEndDate"/>
      <w:r w:rsidR="00A4268A">
        <w:rPr>
          <w:rFonts w:cs="Arial"/>
        </w:rPr>
        <w:t>27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Flaxmore Care Home (Lifecare) provides dementia care services for up to 47 residents.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the review of policies and procedures, review of residents’ and staff files, observation, and interviews with family members, managers, staff, and a nurse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no areas requiring improvement identified as part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Flaxmore Lifecare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 and bi-lingual staff.</w:t>
      </w:r>
    </w:p>
    <w:p w:rsidRPr="00A4268A">
      <w:pPr>
        <w:spacing w:before="240" w:line="276" w:lineRule="auto"/>
        <w:rPr>
          <w:rFonts w:eastAsia="Calibri"/>
        </w:rPr>
      </w:pPr>
      <w:r w:rsidRPr="00A4268A">
        <w:rPr>
          <w:rFonts w:eastAsia="Calibri"/>
        </w:rPr>
        <w:t>Flaxmore Care Home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Information about the complaints process is provided at the time of admission and is available at the front entrance. Complaints are being fully investigated and responded to.</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(BPA)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to the regional manager, operations and quality manager, and head of care and quality manager.</w:t>
      </w:r>
    </w:p>
    <w:p w:rsidRPr="00A4268A">
      <w:pPr>
        <w:spacing w:before="240" w:line="276" w:lineRule="auto"/>
        <w:rPr>
          <w:rFonts w:eastAsia="Calibri"/>
        </w:rPr>
      </w:pPr>
      <w:r w:rsidRPr="00A4268A">
        <w:rPr>
          <w:rFonts w:eastAsia="Calibri"/>
        </w:rPr>
        <w:t>The facility is managed by a care home manager, who has a master’s in business administration and has been in this position since July 2021. The clinical manager has experience in aged care and has been in the position since December 2021. The clinical manager is responsible for the oversight of the clinical services in the facility.</w:t>
      </w:r>
    </w:p>
    <w:p w:rsidRPr="00A4268A">
      <w:pPr>
        <w:spacing w:before="240" w:line="276" w:lineRule="auto"/>
        <w:rPr>
          <w:rFonts w:eastAsia="Calibri"/>
        </w:rPr>
      </w:pPr>
      <w:r w:rsidRPr="00A4268A">
        <w:rPr>
          <w:rFonts w:eastAsia="Calibri"/>
        </w:rPr>
        <w:t xml:space="preserve">There is an internal audit and quality programme. Risks are identified and a hazard register is in place. Adverse events are documented on an electronic accident/incident form. Facility meetings are held where there is reporting on various clinical indicators, quality and risk issues, and discussion on identified trends. </w:t>
      </w:r>
    </w:p>
    <w:p w:rsidRPr="00A4268A">
      <w:pPr>
        <w:spacing w:before="240" w:line="276" w:lineRule="auto"/>
        <w:rPr>
          <w:rFonts w:eastAsia="Calibri"/>
        </w:rPr>
      </w:pPr>
      <w:r w:rsidRPr="00A4268A">
        <w:rPr>
          <w:rFonts w:eastAsia="Calibri"/>
        </w:rPr>
        <w:t>There are policies and procedures on human resources management. A mandatory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w:t>
      </w:r>
    </w:p>
    <w:p w:rsidRPr="00A4268A">
      <w:pPr>
        <w:spacing w:before="240" w:line="276" w:lineRule="auto"/>
        <w:rPr>
          <w:rFonts w:eastAsia="Calibri"/>
        </w:rPr>
      </w:pPr>
      <w:r w:rsidRPr="00A4268A">
        <w:rPr>
          <w:rFonts w:eastAsia="Calibri"/>
        </w:rPr>
        <w:t>The privacy of resident information is maintained. The name and designation of staff making entries in clinical files are recorded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admission to the facility is appropriate and efficiently managed with liaison evident between the Needs Assessment Service Coordination (NASC)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each of the units.</w:t>
      </w:r>
    </w:p>
    <w:p w:rsidRPr="00A4268A" w:rsidP="00621629">
      <w:pPr>
        <w:spacing w:before="240" w:line="276" w:lineRule="auto"/>
        <w:rPr>
          <w:rFonts w:eastAsia="Calibri"/>
        </w:rPr>
      </w:pPr>
      <w:r w:rsidRPr="00A4268A">
        <w:rPr>
          <w:rFonts w:eastAsia="Calibri"/>
        </w:rPr>
        <w:t>The planned activity programme is delivered by one full time and one part time activities assistant, spread across the three clinical areas. The activities programme provides a variety of individual and group activities and maintains the residents’ links with the community as much at Covid-19 allows. There is a facility vehicle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is food available for residents 24 hours a day. Policies guide the food service delivery supported by staff with food safety qualifications. The kitchen was well organised, clean and meets food safety standards. Residents and families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displayed.</w:t>
      </w:r>
    </w:p>
    <w:p w:rsidRPr="00A4268A">
      <w:pPr>
        <w:spacing w:before="240" w:line="276" w:lineRule="auto"/>
        <w:rPr>
          <w:rFonts w:eastAsia="Calibri"/>
        </w:rPr>
      </w:pPr>
      <w:r w:rsidRPr="00A4268A">
        <w:rPr>
          <w:rFonts w:eastAsia="Calibri"/>
        </w:rPr>
        <w:t xml:space="preserve">There is a reactive and preventative maintenance programme, including equipment and electrical checks. Fixtures, fittings, and floor and wall surfaces are made of suitable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are provided and used by staff. Chemicals are safely stored. The laundry service is conducted off-site. Cleaning of the facility is conducted by household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nurse manager who is a registered nurse.</w:t>
      </w:r>
    </w:p>
    <w:p w:rsidRPr="00A4268A">
      <w:pPr>
        <w:spacing w:before="240" w:line="276" w:lineRule="auto"/>
        <w:rPr>
          <w:rFonts w:eastAsia="Calibri"/>
        </w:rPr>
      </w:pPr>
      <w:r w:rsidRPr="00A4268A">
        <w:rPr>
          <w:rFonts w:eastAsia="Calibri"/>
        </w:rPr>
        <w:t xml:space="preserve">On the day of the on-site audit, there were no restraints in use. Restraint is only used as a last resort when all other options have been explored. </w:t>
      </w:r>
    </w:p>
    <w:p w:rsidRPr="00A4268A">
      <w:pPr>
        <w:spacing w:before="240" w:line="276" w:lineRule="auto"/>
        <w:rPr>
          <w:rFonts w:eastAsia="Calibri"/>
        </w:rPr>
      </w:pPr>
      <w:r w:rsidRPr="00A4268A">
        <w:rPr>
          <w:rFonts w:eastAsia="Calibri"/>
        </w:rPr>
        <w:t xml:space="preserve">Staff receive education relating to the use of and management of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Ministry of Health Covid-19 response levels.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3"/>
        <w:gridCol w:w="1280"/>
        <w:gridCol w:w="82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Flaxmore Lifecare has policies, procedures, and processes in place to meet its obligations in relation to the Code of Health and Disability Services Consumers’ Rights (the Code). This is displayed throughout the facility in both English and ‘te reo Māori’ and residents family/whānau receive a copy of this in the admission pack. Staff interviewed understood the requirements of the Code and were observed demonstrating respectful communication, encouraging independence, providing options, and maintaining dignity and privacy. Training on the Code is compulsory for all staff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Advance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have an enduring power of attorney (EPOA) in place and these have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with English as a second language although they can understand what is being said. Several staff are bi-lingual and interpreter services are available.  All families were well informed as per the family communication sheet, incident forms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day to day consent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service are on display in the reception area of the facility. Family members of residents that were spoken to were aware of the Advocacy Service, how to access this and their rights to have a support person. Staff are also aware of how to access the Advocacy Service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outings, visits, activities, and entertainment, as current Covid-19 restrictions allow. The facility encourages visits from family and friends. Family members interviewed stated they felt welcome when they visited and comfortable in their dealings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ensures residents' families are advised on admission to the facility of the complaint process and the Code. The complaints forms are displayed and accessible within the facility. Staff interviewed confirmed their awareness of the complaints processes.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(CHM) is responsible for complaints management. A complaints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register noted one complaint closed in 2021. This related to the behaviour of a resident who was reassessed and required a higher level of care and was transferred to a more suitable facility (refer 1.2.4).</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minor concerns book to document any family member’s concerns. Nine concerns were recorded in 2021 and one in 2022. All had been investigated and closed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had been received from the DHB, in 2021, regarding a family complaint of missing clothing. This was investigated by the DHB and closed with no further action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other complaints currently with any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family/whānau of Flaxmore Lifecare residents, reported being made aware of the Code and the Nationwide Health and Disability Advocacy Service (Advocacy Service) as part of the admission information provided and from discussion with staff. The Code is displayed in English and te reo Māori at the reception and throughout the facility and each resident has a copy of this in the admission folder. Information on how to make a complaint and provide feedback is available and displayed in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with a wash basin. There is a lounge and dining area located in each wing, providing residents with an area to eat and watch television.</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three residents at Flaxmore Lifecare that are of Māori descent, but do not identify with their culture. Recognition of Māori culture has been identified by the senior management as an area requiring further development and a corrective action plan has been put in place and education arranged for staff, to enable them to support any future residents who do identify as Māori to integrate their cultural values and beliefs. The principals of the Treaty of Waitangi are incorporated into day-to-day practice, as is the importance of whānau. There is a current Māori health plan and guidance on tikanga best practice is available and there are staff that can act as a resource.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verified that they were consulted on their individual culture, values and beliefs and that staff respected these. Staff can access an external interpreter service for residents if required and several staff members are bi-lingual. Residents’ personal preferences required interventions and special needs were included in all care plans that were reviewed. For example, likes and dislikes and attention to preferences around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residents were free from discrimination, harassment or exploitation and felt safe. An allied health professional who was interviewed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and encourages good practice. This is demonstrated through evidence-based policies, input from external specialist services and allied health professionals, for example a physiotherapist, wound care nurses, dieticians, podiatrist, and education for staff. The nurse practitioner (NP) confirmed that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status, they were advised in a timely manner about any incidents or accidents and the outcomes of regular or urgent medical reviews. This was clearly documented in the family communication sheets in the residents’ records that were reviewed. There was also evidence of resident/family input into the care planning process and the multi-disciplinary meetings. Staff understood the principals of open disclosure, which was supported by policies and procedures that meet the requirements of the Code. Staff knew how to access an interpreter should this be required, and several staff members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Flaxmore Care Home (Flaxmore Lifecare) is part of The Heritage Lifecare Limited (Heritage). The Heritage executive management team provides support to the facility. The care home manager (CHM) provides the executive management team with monthly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of the organisation with values and goals (The Heritage Way) and these are communicated to staff and family through posters at the entrance to the facility and in information booklets.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(CHM) is responsible for the overall management of the service and has been in this role since July 2021. The CHM has completed a master’s in business administration and was the administrator at the facility for four years before accepting the CHM position. Since accepting the role they have completed an Alzheimer’s New Zealand education course, enrolled in a Careerforce dementia care course, and the online DHB dementia care course.</w:t>
            </w:r>
          </w:p>
          <w:p w:rsidR="00EB7645" w:rsidRPr="00BE00C7" w:rsidP="00BE00C7">
            <w:pPr>
              <w:pStyle w:val="OutcomeDescription"/>
              <w:spacing w:before="120" w:after="120"/>
              <w:rPr>
                <w:rFonts w:cs="Arial"/>
                <w:b w:val="0"/>
                <w:lang w:eastAsia="en-NZ"/>
              </w:rPr>
            </w:pPr>
            <w:r w:rsidRPr="00BE00C7">
              <w:rPr>
                <w:rFonts w:cs="Arial"/>
                <w:b w:val="0"/>
                <w:lang w:eastAsia="en-NZ"/>
              </w:rPr>
              <w:t>The CHM is supported by a clinical nurse manager (CNM) who is responsible for the oversight of clinical services. The CNM is an RN with experience in aged residential care and has been at the facility since December 2021. The required authorities have been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47 residents with 28 beds occupied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- 28 residents requiring D3 dementia level care, this included:</w:t>
            </w:r>
          </w:p>
          <w:p w:rsidR="00EB7645" w:rsidRPr="00BE00C7" w:rsidP="00BE00C7">
            <w:pPr>
              <w:pStyle w:val="OutcomeDescription"/>
              <w:spacing w:before="120" w:after="120"/>
              <w:rPr>
                <w:rFonts w:cs="Arial"/>
                <w:b w:val="0"/>
                <w:lang w:eastAsia="en-NZ"/>
              </w:rPr>
            </w:pPr>
            <w:r w:rsidRPr="00BE00C7">
              <w:rPr>
                <w:rFonts w:cs="Arial"/>
                <w:b w:val="0"/>
                <w:lang w:eastAsia="en-NZ"/>
              </w:rPr>
              <w:t>-one resident on respite D3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-and one resident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contract for Dementia D3 level care, respite care and can provide day care. Day care services are currently not being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CHM, the CNM is delegated to perform this role, with support from the regional manager. For any extended period of level, the Heritage management team will provide support and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registered nurse will be appointed to provide oversight of clinical care when and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Flaxmore Lifecare uses the Heritage quality and risk management framework that is documented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policies on interRAI. At audit, it was noted several forms and documents required reviewing 2017. Discussion with the CHM confirmed the support office has a corrective action plan in place to address all policies and forms that require review. The plan includes the support office reviewing policies based on a traffic light system with input from a policy development specialist. The CHM confirmed policies of high risk to the organisation and residents have been reviewed as per the traffic light system. </w:t>
            </w:r>
          </w:p>
          <w:p w:rsidR="00EB7645" w:rsidRPr="00BE00C7" w:rsidP="00BE00C7">
            <w:pPr>
              <w:pStyle w:val="OutcomeDescription"/>
              <w:spacing w:before="120" w:after="120"/>
              <w:rPr>
                <w:rFonts w:cs="Arial"/>
                <w:b w:val="0"/>
                <w:lang w:eastAsia="en-NZ"/>
              </w:rPr>
            </w:pPr>
            <w:r w:rsidRPr="00BE00C7">
              <w:rPr>
                <w:rFonts w:cs="Arial"/>
                <w:b w:val="0"/>
                <w:lang w:eastAsia="en-NZ"/>
              </w:rPr>
              <w:t>Policies and forms are being aligned and reviewed to the 2021 Health and Disability Services Standards, current and applicable legislation, and evidence-based best practice guidelines. Policies are readily available in hard copy for staff. New and revised policies are introduced to staff at meetings and policy updates are also presented as part of relevant in-service education, sighted at audit. Staff interviewed confirmed that they are alerted to new and revised policies and receive opportunities to read and understand the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key performance indicators, and implementation of an internal audit programme. Clinical indicators are collated monthly and benchmarked against other Heritage facilities.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the relevant staff member. Audit data is collected, collated, and analysed at the facility. Results are reported to the Heritage support office. 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families are completed as part of the internal audit programme on a six-monthly basis. Interviews with staff, and family confirmed a satisfaction survey was completed. The October 2021 survey had been collated, analysed and communicated to staff and family as evidenced in meeting minutes and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staff, quality health and safety, and infection prevention and control meeting, RN meetings, and family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Flaxmore Lifecare has a risk management programme in place. Health and safety policies and procedures are documented along with a hazard management programme. There was evidence of hazard identification forms completed when a hazard was identified. The CHM is responsible for maintaining the hazard register. The CHM is the health and safety (H&amp;S) officer until the permanent H&amp;S officer returns from overseas.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adverse event reporting process and were able to describe the importance of recording near misses. Incident/accident forms are completed by staff who either witnessed an adverse event or were the first to respond. The RN enters the accident/incident into the electronic management system. Accident and incident forms are reviewed by the CNM and CHM and signed off when any corrective actions have been completed. The RNs undertake assessments of residents following an accident. The CNM discussed the process of completion of neurological observations and falls risk assessments to be completed following accidents/incidents when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CHM and CNM are aware of situations in which the service would need to report and notify statutory authorities, including police attending the facility, unexpected deaths, sentinel events, notification of a pressure injury, infectious disease outbreaks, and changes in key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There was a total of twenty ‘section 31’ notifications in 2021 with authorities notified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This included:</w:t>
            </w:r>
          </w:p>
          <w:p w:rsidR="00EB7645" w:rsidRPr="00BE00C7" w:rsidP="00BE00C7">
            <w:pPr>
              <w:pStyle w:val="OutcomeDescription"/>
              <w:spacing w:before="120" w:after="120"/>
              <w:rPr>
                <w:rFonts w:cs="Arial"/>
                <w:b w:val="0"/>
                <w:lang w:eastAsia="en-NZ"/>
              </w:rPr>
            </w:pPr>
            <w:r w:rsidRPr="00BE00C7">
              <w:rPr>
                <w:rFonts w:cs="Arial"/>
                <w:b w:val="0"/>
                <w:lang w:eastAsia="en-NZ"/>
              </w:rPr>
              <w:t>- December 2021 respiratory viral outbreak that was contained</w:t>
            </w:r>
          </w:p>
          <w:p w:rsidR="00EB7645" w:rsidRPr="00BE00C7" w:rsidP="00BE00C7">
            <w:pPr>
              <w:pStyle w:val="OutcomeDescription"/>
              <w:spacing w:before="120" w:after="120"/>
              <w:rPr>
                <w:rFonts w:cs="Arial"/>
                <w:b w:val="0"/>
                <w:lang w:eastAsia="en-NZ"/>
              </w:rPr>
            </w:pPr>
            <w:r w:rsidRPr="00BE00C7">
              <w:rPr>
                <w:rFonts w:cs="Arial"/>
                <w:b w:val="0"/>
                <w:lang w:eastAsia="en-NZ"/>
              </w:rPr>
              <w:t>- frequent reports of two residents’ behaviour that required reassessment and transfer to a higher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transferred to DHB following a fall, investigations note no fracture.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A sample of staff records reviewed confirmed the organisation’s policies are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discussed and acknowledged the recent high staff turnover. The CHM has instigated new communication methods and completed a staff survey (December 2021) that still requires collation and analysis. At interview new and existing staff reported favourably on the new management and the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documentation sighted included necessary components to the role. Caregivers interviewed identified they are paired with a senior caregiver until they demonstrate competency on specific tasks, such as hand hygiene or moving and handling. Staff interviewed reported that the orientation process prepared them well for their role. Staff records reviewed showed consistent documentation of completed staff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schedule. Mandatory education includes infection control, restraint/enabler use, moving, and handling. There are systems and processes in place to remind staff of the required mandatory modules and competencies training dates. Interviews confirmed that all staff undertake relevant education per year. Staff education records evidenced the ongoing training and education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Twelve of 20 caregivers have completed dementia care education. With eight caregivers enrolled in the required education. This will be completed as per the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including the CNM and one enrolled nurse, were identified as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also showed consistent documentation of a 12 month and three-monthly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CNM and an RN are available during weekends and on-call after hours and weekends. Adequate on-site RN cover is provided five days a week. Registered nurses are supported by enough caregivers.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Rosters are completed by the CHM and overseen by the CNM. Rosters sighted reflected that staffing levels meet residents’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Families reported staff provide residents with adequate care. Caregivers reported there is adequate staff available and that they can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Agency staff are not currently utilised.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medication competency, and has completed education on dementia level of care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NP/GP and allied health service provider notes. This includes interRAI assessment information entered into the Momentum electronic database. Records were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They are held for the required period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Flaxmore Lifecare following assessment from the Needs Assessment and Service Coordination (NASC) Service, as requiring the level of care that Flaxmore Lifecare provides. Prospective residents and their families are encouraged to visit the facility prior to admission and are provided with written information about the service and the admission process. All residents are admitted to the facility in accordance with current MoH, Covid-19 guidelines.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have an activated EPOA in place and a specialist’s authorisation for placement. The service is working with the NMDHB and the NASC to resolve a placement authorisation situation for one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the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registered nurse signs in the medications against the prescription.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evidence of temperature records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These included the prescriber’s signature and date recorded on the commencement and discontinuation of medicines and all requirements for pro re nata (PRN) medicines met. The required three-monthly NP/GP review was consistently recorded on the medicine chart. There are no standing orders or verbal orders.  Vaccines are not stored on site. Residents and staff have received the required Covid-19 vaccines and they have a goal in place to have all residents and staff receiving their vaccine boosters in the first quarter, if applicable.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is in line with recognised nutritional guidelines for older people. The menu follows summer and winter patterns and was reviewed by a qualified dietician in November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Nelson City Council (valid until 20th June 2022). At the time of the audit, the kitchen was observed to be clean.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families/whānau interviews, satisfaction surveys and in residents’ meeting minutes. There are a selection of snacks, fruit, biscuits, and sandwiches for residents 24 hours a day.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(NASC) service, there is a process in place to ensure that the prospective resident and family are supported to find an appropriate level of care. Examples of this occurring were discussed with the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NASC service and a new placement is found in consultation with the resident and the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at Flaxmore Lifecare are assessed using a range of nursing assessment tools, such as a pain scale, falls risk, skin integrity, cognition and behaviour, nutrition, and activities, to identify any deficits and to inform initial care planning. Within three weeks of admission,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Interviews, documentation, and observation verified the RNs are familiar with requirements for reassessment of a resident using the interRAI assessment tool when a resident has increasing or changing needs. All residents have current interRAI assessments completed by one of the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Flaxmore Lifecare are paper based. The files reviewed reflected the support needs of the residents, and the outcomes of the integrated assessment process and other relevant clinical information. The needs identified by the interRAI assessments were reflected in the care plans reviewed. A corrective action had been identified by the new clinical nurse manager regarding updating LTCP and ensuring they are all person centred and not generic. This work is currently in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a behaviour management plan in place and de-escalation strategies. Plans were updated as behaviour monitoring documentation determined a review may be required. Each resident also had a “My Life” wheel which offered a quick reference point of the resident’s life and significant events.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 medical and allied health professionals’ notations clearly documented, informative and relevant.  Any change in care required was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NP interviewed confirmed that medical orders are carried out in a timely manner and staff are proactive at contacting the NP should a resident’s condition change, medical orders are followed, and the standard of care for residents was good. Care staff confirmed that care was provided as outlined in the documentation and they have the opportunity for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 of care provided and in accordance with the resident’s needs such as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full time and one part-time activities assistant provide the activities programme. They are supported by a qualified diversional therapist within the Heritage Lifecare group. Flaxmore are currently recruiting for a qualified diversional therapist. The resident’s activity programme is delivered seven days per week 9.30am to 5.30pm.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Each resident has a 24-hour activity plan that addresses the resident’s needs and previous lifestyle patterns. Activities assessments are regularly reviewed to help formulate a plan that is meaningful to the resident.  The activities are evaluated and form part of a six-monthly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It is the aim of the activities assistants to get the residents engaging in the community as much as possible. There is a facility van available for drives in accordance with current Covid-19 restrictions. One drive is for residents who are ambulant, and the second drive is for those who are less ambulant.</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happy hour, movies, BBQs and visiting entertainers prior to the Covid-19 restrictions. There is a lounge area in each of the units, as well as the individual’s bedrooms where they can watch their own television or listen to the radio. The monthly Activities Calendar is on display throughout the facility. The YPD resident has specific activities which they enjoy.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and by completing the resident’s next of kin (NOK) satisfaction survey and the six monthly multi-disciplinary meeting. Residents’ families/whānau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each shift and reported on in the progress notes. If any change is noted, it is reported to the RN. Formal care plan evaluations occur every six months in conjunction with the six monthly interRAl reassessment and the multidisciplinary team meeting, or as the resident’s needs change. The RN documents evaluations.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NP/GP sends a referral to seek specialist input. Examples of referrals were discussed with the clinical nurse manager. The resident and the family/whānau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and education on the use of chemicals. Safety data sheets were available and accessible for staff.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preventive and reactive maintenance programme in place. Staff are aware of the processes of reactive maintenance requests to ensure timely repairs are conducted. This was confirmed at care staff and maintenance staff interviews. The maintenance person is new and confirmed they had received education and orientation on the role.</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This was confirmed in documentation reviewed and staff interviews. The testing and tagging of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are well maintained, with additional sensory planting.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residents’ outings, and these meet all current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a handbasin.</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bathrooms of an appropriate design for residents. Separate toilets are available for staff and visitors. The fixtures, fittings, floors, and wall surfaces are constructed from materials that can be easily cleaned. Toilets and showers have a system that indicates if they are vacant or occupied. Appropriately secured and approved handrails are provided along with other equipment/accessories that are required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rooms. Bedrooms are large enough to allow staff to move around safely and provide space for residents.</w:t>
            </w:r>
          </w:p>
          <w:p w:rsidR="00EB7645" w:rsidRPr="00BE00C7" w:rsidP="00BE00C7">
            <w:pPr>
              <w:pStyle w:val="OutcomeDescription"/>
              <w:spacing w:before="120" w:after="120"/>
              <w:rPr>
                <w:rFonts w:cs="Arial"/>
                <w:b w:val="0"/>
                <w:lang w:eastAsia="en-NZ"/>
              </w:rPr>
            </w:pPr>
            <w:r w:rsidRPr="00BE00C7">
              <w:rPr>
                <w:rFonts w:cs="Arial"/>
                <w:b w:val="0"/>
                <w:lang w:eastAsia="en-NZ"/>
              </w:rPr>
              <w:t>Each bedroom door is a different colour and has a visual picture that reflects the personality of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secure rooms to store mobility aids or other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to lounges, dining areas, and sitting areas/alcoves. Residents were observed moving freely within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Furniture is appropriate to the setting and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activities are being run in one of these areas and residents are free to move to alternative areas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on-site in a dedicated laundry. Dedicated laundry staff demonstrated a sound knowledge of the laundry processes, dirty/clean flow, and handling of soiled linen. Laundry staff demonstrated the process which includes the labelling of residents' personal clothing to ensure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was approved by the New Zealand Fire Services September 2006. The trial fire evacuations are conducted six monthly. The last fire drill was conducted in October 2021. The staff training register evidences all staff have completed first aid training and fire evacuation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lighting, BBQ and gas for cooking, and blankets in case of emergency. Emergency equipment accessibility, storage, and stock availability is to a level appropriate to the service setting requirements. A large emergency water storage tank and separate bottles of water were located on the complex. Documentation was sighted verifying the testing of the tank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and is appropriate to the resident group and setting. Call bells are accessible, within reach, and are available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security systems including internal security cameras are in place. Staff and families confirmed an awareness of security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opening external windows.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ceiling heaters in residents’ rooms and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Areas were warm and well ventilated throughout the audit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Flaxmore Lifecare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prevention and control co-ordinator/nurse (ICN), whose role and responsibilities are defined in a job description.  Infection control matters, including surveillance results, are reported monthly and reviewed at the monthly quality committee meetings. Infection prevention and control matters are also discussed at registered nurse meetings,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with a documented process for each of the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NP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within the facility in response to each of the alert levels. The ICN and the Care Home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documents on each policy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Flaxmore Lifecare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CNM is the restraint coordinator. They provide support and oversight for enabler and restraint management in the facility. The coordinator was familiar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restraint free. The register noted the facility has been restraint free for the past three years. The CNM interviewed was unaware when restraint was last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was evident from interviews with staff who are actively involved in the ongoing process of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training occurs on restraint and enabler use, although enablers would not be utilised in this setting. </w:t>
            </w:r>
          </w:p>
          <w:p w:rsidR="00EB7645" w:rsidRPr="00BE00C7" w:rsidP="00BE00C7">
            <w:pPr>
              <w:pStyle w:val="OutcomeDescription"/>
              <w:spacing w:before="120" w:after="120"/>
              <w:rPr>
                <w:rFonts w:cs="Arial"/>
                <w:b w:val="0"/>
                <w:lang w:eastAsia="en-NZ"/>
              </w:rPr>
            </w:pPr>
            <w:r w:rsidRPr="00BE00C7">
              <w:rPr>
                <w:rFonts w:cs="Arial"/>
                <w:b w:val="0"/>
                <w:lang w:eastAsia="en-NZ"/>
              </w:rPr>
              <w:t>Review of restraint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Flaxmore Care Home</w:t>
    </w:r>
    <w:bookmarkEnd w:id="58"/>
    <w:r>
      <w:rPr>
        <w:rFonts w:cs="Arial"/>
        <w:sz w:val="16"/>
        <w:szCs w:val="20"/>
      </w:rPr>
      <w:tab/>
      <w:t xml:space="preserve">Date of Audit: </w:t>
    </w:r>
    <w:bookmarkStart w:id="59" w:name="AuditStartDate1"/>
    <w:r>
      <w:rPr>
        <w:rFonts w:cs="Arial"/>
        <w:sz w:val="16"/>
        <w:szCs w:val="20"/>
      </w:rPr>
      <w:t>26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