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Springlands Senior Living Limited - Springlands Lifestyle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Springlands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Springlands Lifestyle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January 2022</w:t>
      </w:r>
      <w:bookmarkEnd w:id="7"/>
      <w:r w:rsidRPr="009418D4">
        <w:rPr>
          <w:rFonts w:cs="Arial"/>
        </w:rPr>
        <w:tab/>
        <w:t xml:space="preserve">End date: </w:t>
      </w:r>
      <w:bookmarkStart w:id="8" w:name="AuditEndDate"/>
      <w:r w:rsidR="00A4268A">
        <w:rPr>
          <w:rFonts w:cs="Arial"/>
        </w:rPr>
        <w:t>14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Springlands Lifestyle Village (Springlands) provides rest home and hospital level care for up to 56 residents in the care centre.  There are also 20 serviced apartments certified to provide rest home level care.  On the day of audit there were 59 residents including three residents at rest home level in the serviced apartments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An experienced and appropriately qualified village manager has been in the position for eleven years.  The village manager is supported by a care service manager, operations leader, and food service leader.   They are supported by a team of registered nurses, healthcare assistants and non-clinical staff.  Residents and relatives overall commented very positively on the services and care received at Springlands.</w:t>
      </w:r>
    </w:p>
    <w:p w:rsidRPr="00A4268A">
      <w:pPr>
        <w:spacing w:before="240" w:line="276" w:lineRule="auto"/>
        <w:rPr>
          <w:rFonts w:eastAsia="Calibri"/>
        </w:rPr>
      </w:pPr>
      <w:r w:rsidRPr="00A4268A">
        <w:rPr>
          <w:rFonts w:eastAsia="Calibri"/>
        </w:rPr>
        <w:t>There is an established quality and risk management system.  Residents and families interviewed commented positively on the standard of care and services provided.</w:t>
      </w:r>
    </w:p>
    <w:p w:rsidRPr="00A4268A">
      <w:pPr>
        <w:spacing w:before="240" w:line="276" w:lineRule="auto"/>
        <w:rPr>
          <w:rFonts w:eastAsia="Calibri"/>
        </w:rPr>
      </w:pPr>
      <w:r w:rsidRPr="00A4268A">
        <w:rPr>
          <w:rFonts w:eastAsia="Calibri"/>
        </w:rPr>
        <w:t xml:space="preserve">This surveillance audit identified improvement required around staff training, care documentation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is committed to a culture of open disclosure.  There are effective communication processes at all levels of service delivery.  Families are regularly updated of residents’ condition including any acute health changes or incidents.  Residents and family member interviewed verified ongoing communication regarding Covid19 preparedness strategies.  The rights of the resident and/or their family to make a complaint is understood, respected, and upheld by the service.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Springlands are implementing the organisational quality and risk management system that supports the provision of clinical care.  A village manager, care service manager, operations leader and food service leader are responsible for the day-to-day operations of the facility.  Quality activities are conducted, and this generates improvements in practice and service delivery.</w:t>
      </w:r>
    </w:p>
    <w:p w:rsidRPr="00A4268A">
      <w:pPr>
        <w:spacing w:before="240" w:line="276" w:lineRule="auto"/>
        <w:rPr>
          <w:rFonts w:eastAsia="Calibri"/>
        </w:rPr>
      </w:pPr>
      <w:r w:rsidRPr="00A4268A">
        <w:rPr>
          <w:rFonts w:eastAsia="Calibri"/>
        </w:rPr>
        <w:t>Meetings are held to discuss quality and risk management processes.  An annual resident/relative satisfaction survey is completed and there are regular resident/relative newsletters.  Health and safety policies, systems and processes are implemented to manage risk.  Incidents and accidents are reported and followed through.</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An education and training programme is in place.  A roster provides sufficient and appropriate coverage for the effective delivery of care and support.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complete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There are medication management policies to guide the staff in the management, storage, and administration of medication.  Registered nurses and senior healthcare assistants administering medications have completed annual competencies.  The general practitioners reviewed the medication charts at least three-monthly. </w:t>
      </w:r>
    </w:p>
    <w:p w:rsidRPr="00A4268A" w:rsidP="00621629">
      <w:pPr>
        <w:spacing w:before="240" w:line="276" w:lineRule="auto"/>
        <w:rPr>
          <w:rFonts w:eastAsia="Calibri"/>
        </w:rPr>
      </w:pPr>
      <w:r w:rsidRPr="00A4268A">
        <w:rPr>
          <w:rFonts w:eastAsia="Calibri"/>
        </w:rPr>
        <w:t xml:space="preserve">Meals are prepared and cooked on site under the direction of a food service leader.  A dietitian reviews the menus.  The menu is varied and provides meal options.  Individual and special dietary needs are catered for.  Residents interviewed were complimentary of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and include testing of equipment and maintaining safe water temperatures.  There is sufficient space to allow the movement of residents around the facility with hallways and communal areas being spacious and accessible.  External areas are safe and well maintained with shade and seating available.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receives training in restraint minimisation and challenging behaviour management.  On the day of audit, the service had no residents using restraint and one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(care service manager) is responsible for coordinating/providing education and training for staff.  The infection control officer uses the information obtained through surveillance to determine infection control activities, resources and education needs within the facility.  There is a monthly surveillance programme, where infections are collated, analysed, and trended with previous data.  Where trends are identified, actions are implemented to reduce infections.  The infection surveillance results are reported at the various meetings.  There is evidence of education and staff involvement with any infections that are identified during the surveillance programme.  Covid 19 prevention strategies aligns with the national Covid19 preparedness framework.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7"/>
        <w:gridCol w:w="1280"/>
        <w:gridCol w:w="103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village manager maintains a record of all complaints, both verbal and written, by using a complaint register.  Management interviewed confirmed they have an open-door policy, and all concerns are dealt with in a timely manner.  Documentation including follow-up letters and resolution, demonstrates that complaints are being managed in accordance with guidelines set by the Health and Disability Commissioner.  Interviews with residents and relatives, confirmed their understanding of the complaints process.  Staff interviewed were able to describe the process around reporting of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complaints have been logged for 2020 and 2021 since the last audit.  All complaints documented a comprehensive investigation, follow-up, and replies to the complainant.  Complaints all included a section to confirm that the complainant was happy with the outcome.  Resolution letters reviewed evidence information is provided regarding advocacy services.  There were no complaints lodged to external agencies.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Management interviewed (village manager, care service manager, food service leader) confirmed family are kept informed.  Relatives interviewed (two hospital) stated they are notified promptly of any incidents/accidents or changes in care.  Three residents interviewed (one hospital, two rest home residents including one in the serviced apartments) stated they are involved and kept informed of any changes to their own care and feel informed about the service`s Covid 19 prevention strategies.  </w:t>
            </w:r>
          </w:p>
          <w:p w:rsidR="00EB7645" w:rsidRPr="00BE00C7" w:rsidP="00BE00C7">
            <w:pPr>
              <w:pStyle w:val="OutcomeDescription"/>
              <w:spacing w:before="120" w:after="120"/>
              <w:rPr>
                <w:rFonts w:cs="Arial"/>
                <w:b w:val="0"/>
                <w:lang w:eastAsia="en-NZ"/>
              </w:rPr>
            </w:pPr>
            <w:r w:rsidRPr="00BE00C7">
              <w:rPr>
                <w:rFonts w:cs="Arial"/>
                <w:b w:val="0"/>
                <w:lang w:eastAsia="en-NZ"/>
              </w:rPr>
              <w:t>Seven staff interviewed (four healthcare assistants [HCAs], one RN, one diversional therapist and a health and safety representative) were able to describe the process around open disclosure.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accident/incident forms and progress notes reviewed evidenced relatives are informed of any incidents/accidents.   Residents/relatives have the opportunity to feedback on service delivery through annual surveys and open-door communication with management.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Family and staff are used in the first instance.   Registered nurses completed clinical excellence training including communication with families after adverse events or deterioration of a resident.  Communication to families related to Covid-19 is published newsletters, memos and individual emails are sent to relatives.  The overall pandemic response plan clearly defines communication channels.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premium rooms,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Lifestyle Village provides rest home and hospital (medical and geriatric) level care for up to 56.  All rooms in the hospital and rest home wings are dual-purpose including 11 studio apartments (downstairs).  There are 20 serviced and independent apartments (upstairs) that are certified for rest home level care.  There is a total of 76 beds.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59 residents.  There were three rest home residents in the serviced apartments (upstairs).  There were 56 residents in the rest home/hospital (downstairs).  There was a total of 23 residents at hospital level including two respite residents, and 36 residents at rest home level (upstairs and downstairs), including two respite residents and one resident on a private contract.  All residents were under the aged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statement and key values are documented.  The business plan (2020-2022) is regularly reviewed by the village manager and managing director.  The village manager and managing director reported that they meet regularly to review the progress towards the goals.  Progress towards the goals are shared with staff during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overseen by a board of directors.  The village manager documents quarterly reports to the board and shareholders and monthly reports to the managing director.  The village manager (non-clinical) has been in the position for eleven years with a New Zealand Diploma in Management.  </w:t>
            </w:r>
          </w:p>
          <w:p w:rsidR="00EB7645" w:rsidRPr="00BE00C7" w:rsidP="00BE00C7">
            <w:pPr>
              <w:pStyle w:val="OutcomeDescription"/>
              <w:spacing w:before="120" w:after="120"/>
              <w:rPr>
                <w:rFonts w:cs="Arial"/>
                <w:b w:val="0"/>
                <w:lang w:eastAsia="en-NZ"/>
              </w:rPr>
            </w:pPr>
            <w:r w:rsidRPr="00BE00C7">
              <w:rPr>
                <w:rFonts w:cs="Arial"/>
                <w:b w:val="0"/>
                <w:lang w:eastAsia="en-NZ"/>
              </w:rPr>
              <w:t>A care service manager (registered nurse) is employed to oversee the running of the rest home and hospital and has completed eight hours of professional development related to managing an aged care facility.  The care service manager has been in the role for four months and has previous management experience in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continues to implement the quality and risk management programme which has been purchased from an external consultant.  These policies are current and regularly updated to comply with current good practice, changes in standards and legislation.  Internal audits, data collection, collation of data are all documented as taking place with remedial actions completed in a timely manner.   Two monthly staff meetings, weekly management meetings, three monthly infection control and health and safety meetings, as well as two monthly clinical meetings ensure that quality data is communicated, discussed and issues acted upon in a timely manner.  The clinical meetings include resident care studies and reflective practice as a learning and development process for the RNs.  Covid 19 preparedness is evident at all levels of service delivery and strategies are well documented to reflect the current Covid19 response framework.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November 2020 resident and relative survey results evidences an overall improvement from 2019.  Corrective actions were implemented to work towards the improvement of meals and drinks.  The survey for 2021 had been distributed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collates incidents and accidents and infection control outcomes and implements action plans when the service falls outside the industry norm limits set by the electronic data base.  The service was awarded a rating of continuous improvement at the last audit, and the same strategies continues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system is in place with identified health and safety goals.  Risk management, hazard control and emergency policies and procedures are in place.  There are procedures to guide staff in managing clinical and non-clinical emergencies.    Hazard identification forms and an up-to-date hazard register is in place.  The health and safety officer (administrator) interviewed stated there were no staff injuries were reported or managed in the last 12 months.  Staff completed manual handling and transfer competencies and annual training in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collated online and benchmarked across comparable services.  Thirteen resident related accident/incident forms were reviewed.  Each event involving a resident reflected a clinical assessment and follow-up by a registered nurse.  Incidents are analysed for trends.  Neurological observations are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There were three section 31 notifications made in 2020 for stage three pressure injuries (facility acquired).  In 2021 year to date three notifications have been made including for two pressure injuries (one stage four and one stage three non-facility acquired pressure injuries) and one HealthCERT notification for the change in care service manager.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Five staff files reviewed (kitchen assistant, two HCAs, one RN and the care service manager) evidenced implementation of the recruitment process, employment contracts, completed orientation and annual performance appraisals.  A register of RN and allied health professionals practising certificates are maintained.  The service has an orientation programme in place that provides new staff with relevant information specific to their roles and for safe work practice and includes buddying when first employed.  The initial orientation and associated documentation are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need to be fully vaccinated against Covid19 to commence or continue with employment.  Education sessions include Covid 19 preparedness and drills, using of PPE and isolation precautions.</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Core competencies are completed annually, and a record of completion is maintained (signed competency questionnaires sighted in reviewed files included: cultural, restraint, manual handling, medication, hand hygiene, use of personal protective equipment and medication). The annual education planner was documented for 2020 and 2021 however not implemented.  The 2022 education planner is being implemented for 2022.  The attendance numbers for compulsory topics in 2020/2021 were below 50%.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29 healthcare assistants undertake aged care education (Careerforce) with currently 15 on level 4, three on level three and three on level two.  All RNs and senior healthcare assistants have obtained a first aid certificate and there is at least one person on a shift with a current first aid certificate.  There are six RNs working at Springlands and five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 and policy, staffing levels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includes: the village manager Monday to Friday, the operations leader Monday-Friday (managing gardening and maintenance staff), Food Service leader and the care service manager.  </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manager works Monday- Fridays 8am-4.30pm and is on call after-hours with other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Rest home (Springlands and Willowmeade): 33 beds and 33 residents (and three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 Tuesdays – Thursdays 7am-3.30pm</w:t>
            </w:r>
          </w:p>
          <w:p w:rsidR="00EB7645" w:rsidRPr="00BE00C7" w:rsidP="00BE00C7">
            <w:pPr>
              <w:pStyle w:val="OutcomeDescription"/>
              <w:spacing w:before="120" w:after="120"/>
              <w:rPr>
                <w:rFonts w:cs="Arial"/>
                <w:b w:val="0"/>
                <w:lang w:eastAsia="en-NZ"/>
              </w:rPr>
            </w:pPr>
            <w:r w:rsidRPr="00BE00C7">
              <w:rPr>
                <w:rFonts w:cs="Arial"/>
                <w:b w:val="0"/>
                <w:lang w:eastAsia="en-NZ"/>
              </w:rPr>
              <w:t>AM-HCA team leader (medication competent) Friday-Monday 7am-3.30pm, one HCA 7am-3pm and one 7am-1pm each day of the week, and one HCA 7am-1pm for the service apartments</w:t>
            </w:r>
          </w:p>
          <w:p w:rsidR="00EB7645" w:rsidRPr="00BE00C7" w:rsidP="00BE00C7">
            <w:pPr>
              <w:pStyle w:val="OutcomeDescription"/>
              <w:spacing w:before="120" w:after="120"/>
              <w:rPr>
                <w:rFonts w:cs="Arial"/>
                <w:b w:val="0"/>
                <w:lang w:eastAsia="en-NZ"/>
              </w:rPr>
            </w:pPr>
            <w:r w:rsidRPr="00BE00C7">
              <w:rPr>
                <w:rFonts w:cs="Arial"/>
                <w:b w:val="0"/>
                <w:lang w:eastAsia="en-NZ"/>
              </w:rPr>
              <w:t>PM- HCA team leader (medication competent) 3pm-11.15pm, one 3pm- 9.30pm and one for the service apartments 4pm-8pm.</w:t>
            </w:r>
          </w:p>
          <w:p w:rsidR="00EB7645" w:rsidRPr="00BE00C7" w:rsidP="00BE00C7">
            <w:pPr>
              <w:pStyle w:val="OutcomeDescription"/>
              <w:spacing w:before="120" w:after="120"/>
              <w:rPr>
                <w:rFonts w:cs="Arial"/>
                <w:b w:val="0"/>
                <w:lang w:eastAsia="en-NZ"/>
              </w:rPr>
            </w:pPr>
            <w:r w:rsidRPr="00BE00C7">
              <w:rPr>
                <w:rFonts w:cs="Arial"/>
                <w:b w:val="0"/>
                <w:lang w:eastAsia="en-NZ"/>
              </w:rPr>
              <w:t>NIGHT-one HCA</w:t>
            </w:r>
          </w:p>
          <w:p w:rsidR="00EB7645" w:rsidRPr="00BE00C7" w:rsidP="00BE00C7">
            <w:pPr>
              <w:pStyle w:val="OutcomeDescription"/>
              <w:spacing w:before="120" w:after="120"/>
              <w:rPr>
                <w:rFonts w:cs="Arial"/>
                <w:b w:val="0"/>
                <w:lang w:eastAsia="en-NZ"/>
              </w:rPr>
            </w:pPr>
            <w:r w:rsidRPr="00BE00C7">
              <w:rPr>
                <w:rFonts w:cs="Arial"/>
                <w:b w:val="0"/>
                <w:lang w:eastAsia="en-NZ"/>
              </w:rPr>
              <w:t>Hospital (Wisteria): 23 beds and 23 residents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AM - one RN hospital Monday to Sunday 7am-3.30pm, PM and night - one RN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 two long shifts 7am-3.15pm and two short shifts 7am-1pm </w:t>
            </w:r>
          </w:p>
          <w:p w:rsidR="00EB7645" w:rsidRPr="00BE00C7" w:rsidP="00BE00C7">
            <w:pPr>
              <w:pStyle w:val="OutcomeDescription"/>
              <w:spacing w:before="120" w:after="120"/>
              <w:rPr>
                <w:rFonts w:cs="Arial"/>
                <w:b w:val="0"/>
                <w:lang w:eastAsia="en-NZ"/>
              </w:rPr>
            </w:pPr>
            <w:r w:rsidRPr="00BE00C7">
              <w:rPr>
                <w:rFonts w:cs="Arial"/>
                <w:b w:val="0"/>
                <w:lang w:eastAsia="en-NZ"/>
              </w:rPr>
              <w:t>PM - two long shifts3pm-11pm and one short shift 4pm-8pm</w:t>
            </w:r>
          </w:p>
          <w:p w:rsidR="00EB7645" w:rsidRPr="00BE00C7" w:rsidP="00BE00C7">
            <w:pPr>
              <w:pStyle w:val="OutcomeDescription"/>
              <w:spacing w:before="120" w:after="120"/>
              <w:rPr>
                <w:rFonts w:cs="Arial"/>
                <w:b w:val="0"/>
                <w:lang w:eastAsia="en-NZ"/>
              </w:rPr>
            </w:pPr>
            <w:r w:rsidRPr="00BE00C7">
              <w:rPr>
                <w:rFonts w:cs="Arial"/>
                <w:b w:val="0"/>
                <w:lang w:eastAsia="en-NZ"/>
              </w:rPr>
              <w:t>NIGHT - one HCA.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rostered in the hospital will oversee the rest home where the registered nurse or care service manager is not available or rostered.  Healthcare assistants interview confirm adequate staff skill mix and experience for the acuity of the residents.  Staff confirmed they can extend their hours to complete tasks or when acuity of residents’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that follows recognised standards and guidelines for safe medicine management.  All medicines are stored securely.  Registered nurses and senior HCAs complete annual medication competencies and medication education.  Medication reconciliation occurs against the robotic rolls (for regular medications) and blister packs (for as required medications).  Several entries in the controlled drug register were incomplete.  There were no standing orders or hospital impress stock.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medication reconciliation are entered into the electronic medication system.  Any discrepancies are fed back to the supplying pharmacy who are available after hours if required.  There were two rest home residents self-medicating with current self-medication competencies.  The medication fridge temperature and medication room temperature are being monitored daily and both were within acceptable limits.  There were open undated food related products in the in the dedicated medication fridge, and not all eyedrops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on the electronic medication system were reviewed.  All charts had photo identification however three photos were more than 18 months old and allergy status were not documented on three charts.  The effectiveness of ‘as required’ medications were recorded in the electronic medication system.  All long-term medications charts had been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leader is a qualified chef and have been with the service for almost ten years.  All meals are prepared and cooked on site at Springlands Lifestyle Village.  The food service level is supported by cooks and kitchenhands.  There is a 8 weekly seasonal menu which has been reviewed by a dietician.  The main meal is served at dinner with a lighter option offered at lunch.  The menu offers a second meal option At dinner time for premium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Dietary needs are known with individual likes, dislikes and allergies/sensitivities accommodated.  Pureed meals (using moulded shapes), mince and moist and vegetarian and gluten free meals are provided.   Meals for residents in the rest home are plated from the bain-maire and served to residents in the adjacent dining room.  Meals are plated and delivered in hot boxes to the hospital and service apartment dining room.  Lunch was observed in the hospital dining room and there were plenty of staff at hand to provide assistance with their meals.  Modified utensils are available for residents to maintain independence with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are knowledgeable regarding a resident’s food portion size and normal food and fluid intake and confirm they report any changes in eating habits to the RN and record this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has been verified and expires June 2023.  There are daily chiller, fridge and freezer temperatures taken and recorded.  End-cooked food temperatures are taken.  Cleaning schedules are maintained, and chemical are stored safely.  Dishwasher rinse and wash temperatures are monitored.  Food services staff have completed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food services through resident and relative meetings and surveys.  Residents and relatives commented positively on the food service leader open door policy and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specialist consultation.  RNs interviewed stated that they notify family members about any changes in their relatives’ health status.  Family members interviewed confirmed this.  Conversations and notifications are recorded in the electronic progress notes.  Not all care plans reviewed had detailed interventions recorded to meet the needs of the residents.  Care plans did not always reflect the most recent assessments scores and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24 wounds (11 in the rest home and 13 in the hospital) including skin tears, abrasions, chronic leg wound, surgical wound, lesions and two stage two pressure injuries (facility acquired).  Wound assessments had been completed for all wounds including a body map, sizes and photos as required.  Evaluations and change of dressings had occurred at the documented frequency.  Chronic wounds had been linked to the long-term care plan.  Two hospital level care residents had a facility acquired stage two pressure injury on the heels.  The RNs can access advice and support from the district nurses and wound nurse specialist at the DHB.  There was sufficient pressure relieving devices in use and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is specialist continence advice as required.  There is sufficient amount of continence stock at hand.  A continence advisor is available and can be consulted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included weights, vital signs, neurological observations, bowel records, food and fluids, blood sugar levels, pain, two hourly repositioning charts, fluid balance and challenging behaviour monitoring charts.  Resident weights were noted to be monitored monthly or more frequently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employees a qualified diversional therapist (DT) 8.30 am -4 pm four days a week to implement the activity programme in the rest home and another qualified DT from 9 am – 4 pm in the hospital from Tuesday to Friday.  The facility is in the process of recruiting for a DT to cover the 5th day that is not currently covered by a DT. Residents in the serviced apartments are encouraged to join in activities.  Each resident has a weekly activity calendar in big print, this is also put on notice 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DT implements the resident programme in their area and includes (but not limited to); exercises, discussions, yoga, newspaper reading, quizzes, craft, ball games, walks, poetry, event celebrations and story hour.  Activities meet the cognitive, physical, and emotional abilities of the residents.  Individual activities are provided in resident’s rooms for residents who choose not to participate in the group activities.  There is a weekly knit ‘n knatter group.  The monthly men’s shed (on site) is facilitated by the maintenance person.   Celebrations and festive occasions are celebrated.  There are regular community visitors including church groups, pet therapy and entertainers.  The community centre in the village hosts the bridge club and other community events such as the Christmas market day.  There are regular outings and scenic drives to cafés, picnics, and places of interest.  The service hires a wheelchair mobility van for hospital level residents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Covid-19 lockdown, the service-initiated zoom sessions for all residents to maintain communication with families, which was managed on a day-to-day basis by the activities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a resident profile on or soon after admission and takes a social history that identifies individual interest, person’s identity/life, and past routines.  This information is then used to develop a diversional therapy plan which is evaluated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have the opportunity to feedback on the programme through two monthly resident meetings, six monthly relative meetings and annual surveys.  Residents and relatives interviewed were complimentary of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(MDT) with the RN and DT.  There is a written evaluation against the resident goals that identifies if the goals have been met or unmet.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19 April 2022.  There is a maintenance person during the week who reports to the operations leader.  The operations leader has overall responsibility for building compliance and is on call for maintenance issues.  There is a maintenance and repairs request book at the front entrance that is checked daily and signed as repairs are completed.  The planned maintenance programme has been completed to date, including electrical testing, and tagging of electrical equipment, calibration and testing of clinical equipment, monthly call bell audits and monthly hot water temperatures.  Hot water temperatures in resident areas are maintained below 45 degrees.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downstairs and the service apartments upstairs.  There is an elevator and emergency stairs available for easy access between the floors.  The elevator is spacious to accommodate ambulance transfer equipment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access/movement for the residents and promotes independence with appropriately placed handrails and for residents with mobility aids.  There is ramp access to the outdoors with landscaped gardens and raised garden beds.  There is outdoor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alterations to the building since November 2019 and the village manager confirm painting of rooms and communal areas, carpet and drape cleaning is part of the annual maintenance schedule.  New heat pumps were installed in the hospital wing and an upgrade to the underfloor and hot water heating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HCAs interviewed stated they have all the equipment required to deliver safe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Infection monitoring is the responsibility of the IC coordinator (the care service manager).  All infections are entered into the electronic database, which generates a monthly analysis of the data and includes benchmarking against other similar services.  There is an end of month analysis with any trends identified and corrective actions for infection events above the industry key performance indicators.  There are monthly and annual comparison of infection events.  Outcomes are discussed at the infection control team meeting, registered nurse, staff, and management meetings.  The GPs also monitor and review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preparedness framework is implemented at all levels of service delivery.   All visitors to the facility are required to sign in electronically, wear a mask, show a vaccine passport on entry, complete a health declaration including temperature checks and covid QR scanning. Outbreak management including Covid 19 preparedness specific training was completed in November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clinical and staff meetings.  Interviews with the staff confirmed their understanding of restraints and enablers. Restraint and challenging behaviour training completed in November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there were no residents with restraint and one resident with a lap belt enabler.  The resident’s file included the enabler, any risks associated with its use, and monthly review of the enabler.  Two hourly checks were documented as charted when in the chair.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0"/>
        <w:gridCol w:w="1280"/>
        <w:gridCol w:w="6320"/>
        <w:gridCol w:w="2541"/>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training matrix as part of the staff education policy provides guidance of specific core and other clinical related topics specific to Springlands that need to be completed throughout the year.  The service implemented two annual full study days to ensure the training topics are covered.  The village manager interviewed confirmed prior to 2020 staff were allocated to specific training days however in 2020/2021 due to Covid 19 strategies staff attendance was not scheduled, and staff could choose which days to attend.  Training records, attendance and content are maintained however clinical topics (including diabetes management of chronic heart failure) identified in the training policy did not occur for 2020 and 2021 and one training day that covered intimacy and sexuality, communication, death and dying and risk management and hazard reporting evidence poor attendance for 2020 and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Clinical related topics identified in the training policy specific to the residents of Springlands did not occur for 2020 and 2021.</w:t>
            </w:r>
          </w:p>
          <w:p w:rsidR="00EB7645" w:rsidRPr="00BE00C7" w:rsidP="00BE00C7">
            <w:pPr>
              <w:pStyle w:val="OutcomeDescription"/>
              <w:spacing w:before="120" w:after="120"/>
              <w:rPr>
                <w:rFonts w:cs="Arial"/>
                <w:b w:val="0"/>
                <w:lang w:eastAsia="en-NZ"/>
              </w:rPr>
            </w:pPr>
            <w:r w:rsidRPr="00BE00C7">
              <w:rPr>
                <w:rFonts w:cs="Arial"/>
                <w:b w:val="0"/>
                <w:lang w:eastAsia="en-NZ"/>
              </w:rPr>
              <w:t>(ii). Training related to compulsory topics were poorly attended.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clinical related training identified in the policy is completed.</w:t>
            </w:r>
          </w:p>
          <w:p w:rsidR="00EB7645" w:rsidRPr="00BE00C7" w:rsidP="00BE00C7">
            <w:pPr>
              <w:pStyle w:val="OutcomeDescription"/>
              <w:spacing w:before="120" w:after="120"/>
              <w:rPr>
                <w:rFonts w:cs="Arial"/>
                <w:b w:val="0"/>
                <w:lang w:eastAsia="en-NZ"/>
              </w:rPr>
            </w:pPr>
            <w:r w:rsidRPr="00BE00C7">
              <w:rPr>
                <w:rFonts w:cs="Arial"/>
                <w:b w:val="0"/>
                <w:lang w:eastAsia="en-NZ"/>
              </w:rPr>
              <w:t>(ii). Ensure a scheduled approach to education to improve the number of attendees for compulsory training/topics.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medication management policy that meet legislative requirements and guidelines.  Controlled medication is signed for on the electronic medication system by two medication competent staff.  There are two registers (one for the rest home and one for the hospital), on the day of the audit entries were counter checked by the auditor against the electronic charts and progress notes.  Two signatures appear in the electronic charts and register related to controlled medication.  Not all entries in the register were fully completed.  Weekly stock checks are completed, and six-monthly pharmacy reconciliation and quantity stock take and audit are documented.  There is a list of sample signatures of staff that are medication competent.  Training records sighted evidence all medication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medication trolleys were cleaned and safely stored in a locked room.  Eye drops stored in the trolley drawers were not always dated when first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internal audit was in December 2021 with a 100 % result.  Annual medication management education occurred in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ten electronic medication charts were reviewed did not meet good practice guidelines as set out in the service medication management policy and medication guidelines for aged residential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Several entries in both controlled medication registers (rest home and hospital) were incomplete with missing times of administration and name of prescriber. </w:t>
            </w:r>
          </w:p>
          <w:p w:rsidR="00EB7645" w:rsidRPr="00BE00C7" w:rsidP="00BE00C7">
            <w:pPr>
              <w:pStyle w:val="OutcomeDescription"/>
              <w:spacing w:before="120" w:after="120"/>
              <w:rPr>
                <w:rFonts w:cs="Arial"/>
                <w:b w:val="0"/>
                <w:lang w:eastAsia="en-NZ"/>
              </w:rPr>
            </w:pPr>
            <w:r w:rsidRPr="00BE00C7">
              <w:rPr>
                <w:rFonts w:cs="Arial"/>
                <w:b w:val="0"/>
                <w:lang w:eastAsia="en-NZ"/>
              </w:rPr>
              <w:t>(ii). Two eye drops on the hospital medication trolley were not dated when first opened.</w:t>
            </w:r>
          </w:p>
          <w:p w:rsidR="00EB7645" w:rsidRPr="00BE00C7" w:rsidP="00BE00C7">
            <w:pPr>
              <w:pStyle w:val="OutcomeDescription"/>
              <w:spacing w:before="120" w:after="120"/>
              <w:rPr>
                <w:rFonts w:cs="Arial"/>
                <w:b w:val="0"/>
                <w:lang w:eastAsia="en-NZ"/>
              </w:rPr>
            </w:pPr>
            <w:r w:rsidRPr="00BE00C7">
              <w:rPr>
                <w:rFonts w:cs="Arial"/>
                <w:b w:val="0"/>
                <w:lang w:eastAsia="en-NZ"/>
              </w:rPr>
              <w:t>(iii). There were open food products in the dedicated medication fridge in the hospital treatment room.</w:t>
            </w:r>
          </w:p>
          <w:p w:rsidR="00EB7645" w:rsidRPr="00BE00C7" w:rsidP="00BE00C7">
            <w:pPr>
              <w:pStyle w:val="OutcomeDescription"/>
              <w:spacing w:before="120" w:after="120"/>
              <w:rPr>
                <w:rFonts w:cs="Arial"/>
                <w:b w:val="0"/>
                <w:lang w:eastAsia="en-NZ"/>
              </w:rPr>
            </w:pPr>
            <w:r w:rsidRPr="00BE00C7">
              <w:rPr>
                <w:rFonts w:cs="Arial"/>
                <w:b w:val="0"/>
                <w:lang w:eastAsia="en-NZ"/>
              </w:rPr>
              <w:t>(iv). Two hospital resident electronic medication charts did not have the allergy section completed on the chart as per the policy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Three of ten photo identifications (one hospital and two rest home) were older than 18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(i)-(v). Ensure that medication management processes comply with medication management policies, good practice and related guidelines and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were reviewed.  Three of five files had an InterRAI assessment completed within the required timeframes; care plans addressed the scores and outcomes of the InterRAI assessments and documented individualised goals.  One of three hospital residents care plans did not reflect the most recent falls assessment score and timely GP intervention.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respite care residents did not require and InterRAI assessment.  Care plans evidence documented interventions.   However, one of two rest home resident files reviewed did not evidence documented interventions to a level of detail that can sufficiently guide staff in the management of the resident medical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the registered nurse interviewed stated they are knowledgeable with the care requirements of all residents.  Supplementary documentation including monitoring forms and progress notes evidence the residents are appropriately cared for.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(tracer) had fourteen falls (no injuries) in 90 days, the falls risk assessment outcome was documented as medium in the care plan.  There was no GP input sought at the time of the recurrent falls.  Information relayed to the general practitioner at the time of the three-monthly medical review noted `no concerns` related to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resident on respite care(tracer) with respiratory symptoms and lower leg oedema related to chronic heart failure care plan did not evidence interventions to manage oedema, medication management related to pain and oedema, weight monitoring requirements, tubigrip on the legs and respiratory symptoms.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reflect the most recent risk assessment scores/outcome and ensure the GP is consulted in a timely manner when recurrent/frequent falls occur.</w:t>
            </w:r>
          </w:p>
          <w:p w:rsidR="00EB7645" w:rsidRPr="00BE00C7" w:rsidP="00BE00C7">
            <w:pPr>
              <w:pStyle w:val="OutcomeDescription"/>
              <w:spacing w:before="120" w:after="120"/>
              <w:rPr>
                <w:rFonts w:cs="Arial"/>
                <w:b w:val="0"/>
                <w:lang w:eastAsia="en-NZ"/>
              </w:rPr>
            </w:pPr>
            <w:r w:rsidRPr="00BE00C7">
              <w:rPr>
                <w:rFonts w:cs="Arial"/>
                <w:b w:val="0"/>
                <w:lang w:eastAsia="en-NZ"/>
              </w:rPr>
              <w:t>(ii). Ensure the care plan document detailed interventions to meet all the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Springlands Senior Living Limited - Springlands Lifestyle Village</w:t>
    </w:r>
    <w:bookmarkEnd w:id="58"/>
    <w:r>
      <w:rPr>
        <w:rFonts w:cs="Arial"/>
        <w:sz w:val="16"/>
        <w:szCs w:val="20"/>
      </w:rPr>
      <w:tab/>
      <w:t xml:space="preserve">Date of Audit: </w:t>
    </w:r>
    <w:bookmarkStart w:id="59" w:name="AuditStartDate1"/>
    <w:r>
      <w:rPr>
        <w:rFonts w:cs="Arial"/>
        <w:sz w:val="16"/>
        <w:szCs w:val="20"/>
      </w:rPr>
      <w:t>13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