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Views Lifecare Limited - Bethlehem Views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Views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Bethlehem Views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November 2021</w:t>
      </w:r>
      <w:bookmarkEnd w:id="7"/>
      <w:r w:rsidRPr="009418D4">
        <w:rPr>
          <w:rFonts w:cs="Arial"/>
        </w:rPr>
        <w:tab/>
        <w:t xml:space="preserve">End date: </w:t>
      </w:r>
      <w:bookmarkStart w:id="8" w:name="AuditEndDate"/>
      <w:r w:rsidR="00A4268A">
        <w:rPr>
          <w:rFonts w:cs="Arial"/>
        </w:rPr>
        <w:t>11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applied to the Ministry of Health (letter dated 16 June 2020) which would increase bed numbers from 89 to 90 (a dual-purpose bed to be verified in a shared room). This was to accommodate a married couple. The service no longer wishes to progress the increase in bed numbers. They have also asked to decrease bed numbers from 89 to 88 (noting that a dual-purpose bed was verified and confirmed at the certification audit to accommodate a married couple who wished to share a room). The number of beds is confirmed at this audit to be 88.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Arvida Bethlehem Views is part of the Arvida Group.  The service is certified to provide rest home, hospital, and dementia level of care for up to 88 residents.  On the day of the audit there were 88 residents in the care centre.</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contract with the district health board.  The audit process included the review of quality processes,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The clinical manager has been covering the interim village managers position since May 2021.  The clinical manager is a registered nurse and has been in the clinical managers role for six years.  She is supported by a clinical team leader, an education/health and safety coordinator, two team leaders (registered nurses) and a team of experienced staff.</w:t>
      </w:r>
    </w:p>
    <w:p w:rsidRPr="00A4268A">
      <w:pPr>
        <w:spacing w:before="240" w:line="276" w:lineRule="auto"/>
        <w:rPr>
          <w:rFonts w:eastAsia="Calibri"/>
        </w:rPr>
      </w:pPr>
      <w:r w:rsidRPr="00A4268A">
        <w:rPr>
          <w:rFonts w:eastAsia="Calibri"/>
        </w:rPr>
        <w:t>There is an organisational business, and quality and risk plan documented.  The residents, relatives and the general practitioner spoke highly of the staff and care provided at Bethlehem Views.</w:t>
      </w:r>
    </w:p>
    <w:p w:rsidRPr="00A4268A">
      <w:pPr>
        <w:spacing w:before="240" w:line="276" w:lineRule="auto"/>
        <w:rPr>
          <w:rFonts w:eastAsia="Calibri"/>
        </w:rPr>
      </w:pPr>
      <w:r w:rsidRPr="00A4268A">
        <w:rPr>
          <w:rFonts w:eastAsia="Calibri"/>
        </w:rPr>
        <w:t xml:space="preserve">There were no shortfalls identified at the previous audit. </w:t>
      </w:r>
    </w:p>
    <w:p w:rsidRPr="00A4268A">
      <w:pPr>
        <w:spacing w:before="240" w:line="276" w:lineRule="auto"/>
        <w:rPr>
          <w:rFonts w:eastAsia="Calibri"/>
        </w:rPr>
      </w:pPr>
      <w:r w:rsidRPr="00A4268A">
        <w:rPr>
          <w:rFonts w:eastAsia="Calibri"/>
        </w:rPr>
        <w:t xml:space="preserve">This audit identified shortfalls around meeting minutes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Bethlehem Views has a current business plan and a quality and risk management programme that outlines goals for the year.  Meetings are held to discuss quality and risk management processes.  An internal audit programme identifies corrective actions and areas for improvement which have been implemented.  Residents and families are surveyed annually.  Health and safety policies, systems and processes are implemented to manage risk.  Incidents are collated monthly and reported at facility meetings.  </w:t>
      </w:r>
    </w:p>
    <w:p w:rsidRPr="00A4268A">
      <w:pPr>
        <w:spacing w:before="240" w:line="276" w:lineRule="auto"/>
        <w:rPr>
          <w:rFonts w:eastAsia="Calibri"/>
        </w:rPr>
      </w:pPr>
      <w:r w:rsidRPr="00A4268A">
        <w:rPr>
          <w:rFonts w:eastAsia="Calibri"/>
        </w:rPr>
        <w:t xml:space="preserve">There is an annual education and training programme documented.  Appropriate employment processes are documented.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reviewed in the electronic resident records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caregivers responsible for administration of medicines complete annual education and medication competencies.  The electronic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for each resident group.  The programme includes integrated activities,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All meals are prepared and cooked on site.  Residents' food preferences and dietary requirements are identified on admission.  Dislikes and special dietary requirements are met.  The menu has been reviewed by a dietitian.  There are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and there is a reactive and planned maintenance plan in place.  Residents can freely mobilise within the communal areas with safe access to the outdoors, seating, and shade.  The dementia care household has a safe outdoor walking pathway, gardens, and grounds.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The service has remained restraint free for four years.  On the day of the audit there were no residents with any restraints and three residents using an enabler.  Staff receive training in restraint minimisation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lead is the infection control coordinator, which is overseen by the clinical manager.  The type of surveillance undertaken is appropriate to the size and complexity of the organisation.  Standardised definitions are used for the identification and classification of infection events.  Results of surveillance are acted upon, evaluated, and reported at the quality and risk meeting.  </w:t>
      </w:r>
    </w:p>
    <w:p w:rsidRPr="00A4268A">
      <w:pPr>
        <w:spacing w:before="240" w:line="276" w:lineRule="auto"/>
        <w:rPr>
          <w:rFonts w:eastAsia="Calibri"/>
        </w:rPr>
      </w:pPr>
      <w:r w:rsidRPr="00A4268A">
        <w:rPr>
          <w:rFonts w:eastAsia="Calibri"/>
        </w:rPr>
        <w:t xml:space="preserve">Covid-19 was managed and well documented.  Policies, procedures, and the pandemic plan have been updated to include Covid-19.  There were adequate supplies of outbreak management equipment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complaints received since the previous audit, one in late 2019, none in 2020, and two (year to date) in 2021.  The complaints reviewed have been managed appropriately with acknowledgement, investigation and response recorded.  Residents and relatives interviewed advised that they are aware of the complaints procedure and how to access forms, and all felt comfortable discussing concerns with the registered nurses or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(seven caregivers [wellness partners], two registered nurses, one team leader (dementia), one maintenance man, one education/health and safety coordinator, two diversional therapists [wellness leaders] one chef and one cook) were all aware of the complaint’s procedure in relation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interviewed (two rest home and one hospital)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Twelve incident/accidents reviewed had documented evidence of family notification or noted if family did not wish to be informed.  Interpreter services are available as required.  The five relatives interviewed (three dementia, and two hospital) stated they were promptly informed of any changes in resident health and all incidents. Residents and family interviewed that they were kept updated around protocols for visiting and Covid related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certification audit stated that there were 89 beds following verification at that audit to increase bed numbers by one (total of 89 beds with a single room verified to include two dual purpose beds). The service had applied at this audit to the Ministry of Health (MoH) to reconfigure one room to include two dual purpose beds to accommodate a married couple (this would have taken the number of beds to 90). This configuration is no longer required. The service has also decided to remove the dual-purpose bed verified at the certification audit as there is no requirement to support a married couple.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total number of beds at this audit is confirmed to be 88 (all single rooms).  On the day of the audit, all rooms were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Bethlehem Views is owned and operated by the Arvida Group.  The service provides care for up to 88 residents in total including 20 beds in the memory care (dementia) care unit, and 68 in the dual-purpose rest home and hospital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88 residents in total, including 20 residents were in the dementia unit, 22 rest home residents and 46 hospital including one resident on a long-term support- chronic health contract (LTS-CHC) and one resident on a younger person with a disability (YPD) contract.  The remaining residents were all under the age-related residential contract ARRC).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(registered nurse) has been in her role for six years.  The clinical manager has been covering the interim village manager role since May 2021.  She is supported by a clinical team leader (RN) who has been in her role for three years, an education/health and safety coordinator, who has been in the role for three years and two-unit coordinators (one dementia and one rest home/ hospital).  A village manager has been appointed and is due to commence on 8 December 2021.  They are supported by the organisational team and a stable experienced team of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reported a low turnover of staff.  Arvida has an overall business/strategic plan.  The organisation has a philosophy of care, which includes a mission statement.  Bethlehem Views Lifecare has a business plan 2020/2021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her role for six years and has previous experience in age care.  The clinical manager has been in the acting manager role for five months.  The service has recruited a general manager who is due to commence the role in early December.  The team are supported by the national quality manager and the team at the support office.  Due to covid restrictions support was provided through Teams virtual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in place at Bethlehem Views which is designed to monitor contractual and standards compliance.  There is a 2020/2021 business/strategic plan that includes quality goals and risk management plans for the service.  At present, the clinical manager is responsible for providing oversight of the quality and risk management system on site, which is also monitored at organisational level.  Arvida Group policies are reviewed at least every two years across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risk restraint and infection control meetings are held monthly, a separate monthly health and safety meeting is held.  The quality, risk restraint and infection control meeting minutes evidenced discussion around all aspects of the service, including quality data collated monthly, however, not all meetings have been held according to schedule, and not all meeting minutes could be located.  The full facility meeting has been held six monthly as scheduled, however, there was no evidence of discussions around quality data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The 2020 and 2021 survey results were very similar and evidenced overall satisfaction with the service.  Household meetings have been held in November 2021 for each household for the first time, however, resident meetings have not been held according to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at the monthly meeting which has been held monthly as scheduled.  There are also monthly national health and safety meetings conducted online through Zoom.  Hazard identification forms and an up-to-date hazard register is in place through the Mango system.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An RN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reviewed for October and November 2021 demonstrated that appropriate clinical follow up and investigation occurred following incidents.  Neurological observation forms were documented and completed for unwitnessed falls or potential head injuries.  The GP has reviewed residents in the dementia unit who fall.  The GP has sanctioned that no neurological observations are to be completed for certain residents as this increases challenging behaviours. The list was sighted during the audit and the clinical coordinator described monitoring of the resident post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confirmed that there is an awareness of the requirement to notify relevant authorities in relation to essential notifications.  There have been section 31 incident notifications made following a coroner’s inquest, and for non-facility acquired stage 3 pressure injuries.  The support office has completed section 31 notifications for the change in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Eight staff files were reviewed (one clinical manager, the team leader of the dementia unit, one RN, one diversional therapist, and four wellness partners).  There is evidence that reference checks were completed before employment was offered.  Annual staff appraisals were completed in 2020 for four of the staff files reviewed, one was completed in 2021, one was recently recruited, and two were reported by the clinical manager as scheduled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2020 has been completed and the plan for 2021 is documented.  Discussions with the wellness partners and RNs confirmed that Altura online training is available and implemented by staff.  More than eight hours of staff development or in-service education has been provided annually.  Competencies completed by staff included medication, insulin, wound care, manual handling, hand hygiene, syringe driver and restraint, there was an up-to-date register.  All staff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registered nurses and nine have completed interRAI training.  The clinical manager and RNs are able to attend external training, including sessions provided by the DHB.  Staff are encouraged to gain New Zealand Qualification Authority (NZQA) qualifications through Careerforce. Currently there are 25 wellness partners who have gained level 4, 18 who have completed level 3, and 16 who have completed level 2.  </w:t>
            </w:r>
          </w:p>
          <w:p w:rsidR="00EB7645" w:rsidRPr="00BE00C7" w:rsidP="00BE00C7">
            <w:pPr>
              <w:pStyle w:val="OutcomeDescription"/>
              <w:spacing w:before="120" w:after="120"/>
              <w:rPr>
                <w:rFonts w:cs="Arial"/>
                <w:b w:val="0"/>
                <w:lang w:eastAsia="en-NZ"/>
              </w:rPr>
            </w:pPr>
            <w:r w:rsidRPr="00BE00C7">
              <w:rPr>
                <w:rFonts w:cs="Arial"/>
                <w:b w:val="0"/>
                <w:lang w:eastAsia="en-NZ"/>
              </w:rPr>
              <w:t>There is a total of 15 wellness partners who work in the dementia unit, 12 have completed the required dementia standards, two are in the process and one has recently been employed.  All staff working in the dementia unit have completed a comprehensive induction to include challenging behaviours and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Bethlehem Views has a weekly roster in place which provides sufficient staffing cover for the provision of care and service to residents.  The service has a total of 120 staff.  Rosters were sighted and there is staff on duty to meet the resident needs.  The clinical manager works 40 hours per week and shares on call with the clinical team lead (dementia unit).  They are available on call after-hours for any operational and clinical concerns.  There is at least one RN on duty at all times.  The RN on each shift is aware that extra staff can be called on for increased resident requirements.  There are dedicated housekeeping and laundry staff.  Interviews with staff and residents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Eliza Benfell Suites (dementia unit) had full occupancy of 20 residents on the day of the audit.  The clinical team lead (registered nurse) is rostered Monday to Friday from 8.30 am to 4 pm.  The RN from the rest home/hospital unit provides clinical oversight when the clinical team lead in not available.  A registered nurse is also rostered from 9 am to 4.30 pm across Monday to Friday.  All shifts have at least one senior wellness partner who has a current first aid certificate and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morning shift has four wellness partners rostered; 2x 7 am to 3 pm, 1x 7.30 am to 2 pm and 1x 8 am to 2.45 pm.  The afternoon shift has four wellness partners rostered 2x 3 pm to 11 pm, 1x 4 pm to 9.30 pm, and 1x 4.30 pm to 9.30 pm.  The nightshift is covered by two wellness partners: 1x 11 pm to 7am and 1x 11.15 pm to 7am.  </w:t>
            </w:r>
          </w:p>
          <w:p w:rsidR="00EB7645" w:rsidRPr="00BE00C7" w:rsidP="00BE00C7">
            <w:pPr>
              <w:pStyle w:val="OutcomeDescription"/>
              <w:spacing w:before="120" w:after="120"/>
              <w:rPr>
                <w:rFonts w:cs="Arial"/>
                <w:b w:val="0"/>
                <w:lang w:eastAsia="en-NZ"/>
              </w:rPr>
            </w:pPr>
            <w:r w:rsidRPr="00BE00C7">
              <w:rPr>
                <w:rFonts w:cs="Arial"/>
                <w:b w:val="0"/>
                <w:lang w:eastAsia="en-NZ"/>
              </w:rPr>
              <w:t>Cambridge suites has 25 beds with 25 residents on the day (16 hospital [including one resident on YPD contract and one resident on LTS-CHC] and nine rest home.</w:t>
            </w:r>
          </w:p>
          <w:p w:rsidR="00EB7645" w:rsidRPr="00BE00C7" w:rsidP="00BE00C7">
            <w:pPr>
              <w:pStyle w:val="OutcomeDescription"/>
              <w:spacing w:before="120" w:after="120"/>
              <w:rPr>
                <w:rFonts w:cs="Arial"/>
                <w:b w:val="0"/>
                <w:lang w:eastAsia="en-NZ"/>
              </w:rPr>
            </w:pPr>
            <w:r w:rsidRPr="00BE00C7">
              <w:rPr>
                <w:rFonts w:cs="Arial"/>
                <w:b w:val="0"/>
                <w:lang w:eastAsia="en-NZ"/>
              </w:rPr>
              <w:t>There is one registered nurse on duty on morning and afternoon shifts, who is supported by three wellness partners on the morning shift; 2x 7 am to 3 pm, 1x 7 am to 3 pm, 1x 6 am to 2.30p m.  There is a float wellness partner who works between Cambridge and Sanderson Suites from 6 am to 2.30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four wellness partners: 3x 3.30 pm to 10 pm and 1x 3.30 pm to 12midnight.</w:t>
            </w:r>
          </w:p>
          <w:p w:rsidR="00EB7645" w:rsidRPr="00BE00C7" w:rsidP="00BE00C7">
            <w:pPr>
              <w:pStyle w:val="OutcomeDescription"/>
              <w:spacing w:before="120" w:after="120"/>
              <w:rPr>
                <w:rFonts w:cs="Arial"/>
                <w:b w:val="0"/>
                <w:lang w:eastAsia="en-NZ"/>
              </w:rPr>
            </w:pPr>
            <w:r w:rsidRPr="00BE00C7">
              <w:rPr>
                <w:rFonts w:cs="Arial"/>
                <w:b w:val="0"/>
                <w:lang w:eastAsia="en-NZ"/>
              </w:rPr>
              <w:t>Sanderson suites has 24 beds with 24 residents (20 hospital level, and four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on morning and afternoon shifts, is supported by five wellness partners on the morning shift; 3x 7 am to 3.30 pm, 1x 7 am to 3 pm and 1x 7.15 am to 1.45 pm.  They are also supported by the ‘float’ who works between Cambridge and Sanderson suites on a morning shift.  The afternoon shift has five wellness partners: 3x 3.30 pm to 10 pm and 2x 3.30 pm to 12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Kaimai suites has 19 beds with 19 residents (nine hospital and 10 rest home).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rostered on morning and afternoon shifts and is supported by three wellness partners on the morning shift: 2x 7 am to 3.30 pm and 1x 7 am to 3 pm.  The afternoon shift has 1x 3.30 pm to midnight and 2x 3.30 pm to 10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Nightshift across the rest home/hospital units is covered by one registered nurse and three wellness partners. </w:t>
            </w:r>
          </w:p>
          <w:p w:rsidR="00EB7645" w:rsidRPr="00BE00C7" w:rsidP="00BE00C7">
            <w:pPr>
              <w:pStyle w:val="OutcomeDescription"/>
              <w:spacing w:before="120" w:after="120"/>
              <w:rPr>
                <w:rFonts w:cs="Arial"/>
                <w:b w:val="0"/>
                <w:lang w:eastAsia="en-NZ"/>
              </w:rPr>
            </w:pPr>
            <w:r w:rsidRPr="00BE00C7">
              <w:rPr>
                <w:rFonts w:cs="Arial"/>
                <w:b w:val="0"/>
                <w:lang w:eastAsia="en-NZ"/>
              </w:rPr>
              <w:t>Cambridge, Sanderson and Kaimai is covered by three wellness partners and two RNs overnight.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the four households.  Clinical staff who administer medications (RNs, enrolled nurses, and medication competent caregivers) have been assessed for competency on an annual basis and attend annual medication education.  Registered nurses have completed syringe driver training.  All medication (robotic rolls) are checked on delivery and signed as pack checked on the electronic medication system.  The hospital impress stock is checked monthly by the supplying pharmacy.  Standing orders are used and meet the requirement including annual review by the GP.  A self-medication assessment and three-monthly review had been completed for one rest home resident self-medicating inhalers.  The medication fridge is checked daily, and temperatures are maintained within the acceptable temperature range.  The temperature of all medication rooms are checked daily and have been maintained below 25 degrees Celsius.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on the electronic medication system were reviewed and met prescribing requirements.  Medication charts had photo identification and allergy status notified.  The GP had reviewed the medication charts three monthly.  ‘As required’ medications had prescribed indications for use.  The effectiveness of ‘as required’ medication had been recorded in the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overseen by a qualified food service manager/chef.  He is supported by an experienced cook and kitchenhands.  All meals and baking are prepared and cooked on-site.  All food services staff have completed food safety training.  The Arvida four week rotating seasonal menu has been reviewed by the group dietitian.  The main meal at midday offers two menu options.  The cook receives resident dietary profiles and is notified of any dietary changes for residents including any weight loss. Dislikes and special dietary requirements are accommodated including food allergies, diary free, gluten free, diabetic diets and pureed meals (using pure foods).  The meals are prepared in the kitchen and transported in scan-boxes to the household kitchenettes.  Food service staff plate meals in the households.  There are snacks available for residents in the dementia care household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14 June 2022.  Freezer, fridge and end-cooked foods, re-heating (as required), cooling, inward goods and dishwasher temperatures are taken and recorded daily.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(the chef attends) and resident surveys.  The chef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on the resident electronic system for all resident files reviewed were resident focused and individualised, however not all support needs and interventions had been documented in the long-term care plans.  There is documented evidence the resident (as appropriate) and relative are involved in the development of care plans.  The involvement of allied health professionals involved in the care of residents were linked to the long-term care plans including physiotherapist, moving well coordinator, podiatrist, community mental health services, hospice, speech language therapist and occupational therapist.</w:t>
            </w:r>
          </w:p>
          <w:p w:rsidR="00EB7645" w:rsidRPr="00BE00C7" w:rsidP="00BE00C7">
            <w:pPr>
              <w:pStyle w:val="OutcomeDescription"/>
              <w:spacing w:before="120" w:after="120"/>
              <w:rPr>
                <w:rFonts w:cs="Arial"/>
                <w:b w:val="0"/>
                <w:lang w:eastAsia="en-NZ"/>
              </w:rPr>
            </w:pPr>
            <w:r w:rsidRPr="00BE00C7">
              <w:rPr>
                <w:rFonts w:cs="Arial"/>
                <w:b w:val="0"/>
                <w:lang w:eastAsia="en-NZ"/>
              </w:rPr>
              <w:t>Paper-based short term care plans are used for short-term problems which are regularly reviewed by the RN; however, these are in a list format and not individualised.  There is no record/history held on the individual resident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are being well met.  When a resident's condition alters, the registered nurse initiates a review and if required a GP or NP visit is arranged.  Care plans and worklogs reflect the required health monitoring interventions for individual residents.  A care activity worklog with scheduled tasks is generated for caregivers by the registered nurses.  Monitoring charts including (but not limited to) repositioning, bowel chart, behaviour chart, food and fluid chart, fluid balance chart, weight, blood pressure monitoring, blood sugar levels, pain monitoring, neurological observations and toileting regime are utilised.  Monitoring charts are well utilised.  Family is notified of all changes to health and GP visits as evidenced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maps, photos and wound measurements were reviewed on eCase.  There were 21 wounds (skin tears, abrasions moisture associated skin conditions).  There were five stage 1 pressure injuries on the day of the audit.  Three were facility acquired and one resident had two community acquired pressure injuries.  There is access to the district nursing service and DHB wound nurse specialists.  Registered nurses interviewed stated there were adequate pressure injury resources/equipment available.  Care staff have attended pressure injury prevention training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products and wound care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fulltime qualified diversional therapists/wellness leaders and an activity assistant.  One diversional therapist provides activities in the rest home/hospital and is supported in the afternoons by an activity assistant.  They work Monday to Friday and alternate Saturdays.  One diversional therapist provides activities in the memory care (dementia) suite Monday to Friday.  Caregivers/wellness partners coordinate activities in the weekends.  There are plentiful resources.  A Moving Well Coordinator is involved in the resident exercise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separate activity programmes, one for the dementia care household and one for the hospital and rest home.  The programme aligns with the Arvida living well model and include activities around eating well, moving well, resting well, thinking well, and engaging well.  There are some integrated activities where dementia care residents attend under supervision including church services and entertainment.  Residents receive a copy of the activity programme which has the activities available each day that are also displayed on activity boards throughout the facility.  The programme is resident focused with some activities being resident led.  Some activities in the dementia care household are set with the flexibility to include impromptu activities.  One-on-one activities occur such as individual walks, chats, cooking (with the mobile kitchen) and music for residents who are unable to participate in activities or choose not to be involved in group activities.  There is a Men’s shed and ladies’ group, friendship groups, happy hours, daily exercise groups, quizzes and sing-a-long.  Residents are encouraged to maintain community links.  Families and visitors bring in their pets for pet therapy.  There is a wheelchair van and regular scenic drives.  Covid restrictions have disrupted the activity programme.  Families and residents have Facetime.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younger person and resident under LTS-CHC has individual leisure plans that include their personal recreational preferences.  The qualified diversional therapists/wellness leaders are involved in the six-monthly review with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household meetings and surveys.  The residents and relatives interviewed were happy with the variety of activities provided.  The service has quality initiatives in progress including making fridge magnets for community market stalls, doing ceramics and pottery in the men’s shed and the use of aromatherapy.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in the electronic resident files reviewed.  Family is invited to attend the multidisciplinary review meeting which includes input from the physiotherapist, DT, caregivers, and GP.  Case conference notes are kept on the electronic system.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12 April 2022.  The maintenance person has been in the role six months and has carpentry/joinery experience.  He works fulltime and is available on call for urgent facility matters.  There is a maintenance logbook in each nurses’ station and reception which is checked daily and signed off as repairs are completed.  There is a planned maintenance schedule that includes resident equipment checks, calibration of clinical equipment and testing and tagging of electrical equipment.  Hot water temperatures are checked monthly, and records evidenced these have been maintained below 45 degrees Celsius.  There are preferred contractors available 24 hours for essential services.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for the use of hospital recliner chairs.  Residents were observed moving freely around the areas with mobility aids.  All 88 resident rooms are single occupancy.  The external areas, courtyard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household has secure access.  There is free access to safe outdoor gardens and walking pathways.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staff interviewed stated they have adequate equipment to safely deliver care for rest home, hospital level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support office.  There have been no outbreaks since the previous audit.  One resident was identified as having campylobacter, this resident was transferred to hospital.  No other residents or staff were affected.  This was reported to the public health team and documented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prepared for with adequate supplies of personal protective equipment (PPE) sighted.  Isolation kits are centrally located and easily accessible to staff.  The staff interviewed were knowledgeable around isolation policies and protocols.  Training and competencies were completed around hand hygiene and donning and doffing PPE.  Education sessions around Covid-19 have been completed annually on the online platform.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was conducted under level 2 restrictions.  All staff, visitors and contractors were required to wear masks while in the facility.  All visitors and contractors were required to sign in and complete a wellness declaration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On the day of the audit there were no residents with any restraints and three residents using enablers (both bedrails).  The files for the residents with enablers showed that enabler use was voluntary.  Assessment, consent form and the use or risks associated with the enabler were evidenced in the resident files reviewed.  Monitoring charts were maintained on the electronic system.  Staff receive training on restraint minimisation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563"/>
        <w:gridCol w:w="4188"/>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risk, restraint and infection control meetings, the health and safety meetings and six-monthly full facility meetings have been held monthly as scheduled, however the clinical, household meetings, resident meetings, and kitchen meetings were not evidenced as being held according to schedule.  Meeting minutes were available for the meetings that have been held as scheduled, however not all meeting minutes could be located for meetings not held according to schedule.  The meeting minutes sighted did not evidence discussions held with all staff regarding quality data collated including quality indicators and internal audit results and corrective actions.  Staff confirmed there were no discussions held around this at the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Household meetings, kitchen meetings, clinical nursing meetings, were not evidenced as occurring as scheduled.</w:t>
            </w:r>
          </w:p>
          <w:p w:rsidR="00EB7645" w:rsidRPr="00BE00C7" w:rsidP="00BE00C7">
            <w:pPr>
              <w:pStyle w:val="OutcomeDescription"/>
              <w:spacing w:before="120" w:after="120"/>
              <w:rPr>
                <w:rFonts w:cs="Arial"/>
                <w:b w:val="0"/>
                <w:lang w:eastAsia="en-NZ"/>
              </w:rPr>
            </w:pPr>
            <w:r w:rsidRPr="00BE00C7">
              <w:rPr>
                <w:rFonts w:cs="Arial"/>
                <w:b w:val="0"/>
                <w:lang w:eastAsia="en-NZ"/>
              </w:rPr>
              <w:t>2) Meeting minutes for unscheduled meetings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Meeting minutes for the full facility meetings did not evidence discussions held around quality data, internal audits, and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1&amp;2) Ensure meetings are held according to schedule and meeting minutes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Ensure meeting minutes evidence discussion with staff around quality data.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six residents (two hospital, two rest home and two dementia care) were reviewed.  Care plans had been evaluated six-monthly, however not all support needs and interventions had been documented to meet resident goals.  Short-term care plans are used for short-term problems and reviewed regularly, however these are not individualised but collated as a summary of all residents with short-term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 The use and management of continuous oxygen via a concentrator for one hospital resident (including care of the equipment) was not included in the care plan, b) there were no documented supports/interventions for one resident with deteriorating mood requiring GP involvement and an interRAI re-assessment, c) there were no documented supports/intervention or de-escalation strategies including activities for two residents (one rest home and one dementia care) with known behaviours as described in their behaviour monitoring charts.   </w:t>
            </w:r>
          </w:p>
          <w:p w:rsidR="00EB7645" w:rsidRPr="00BE00C7" w:rsidP="00BE00C7">
            <w:pPr>
              <w:pStyle w:val="OutcomeDescription"/>
              <w:spacing w:before="120" w:after="120"/>
              <w:rPr>
                <w:rFonts w:cs="Arial"/>
                <w:b w:val="0"/>
                <w:lang w:eastAsia="en-NZ"/>
              </w:rPr>
            </w:pPr>
            <w:r w:rsidRPr="00BE00C7">
              <w:rPr>
                <w:rFonts w:cs="Arial"/>
                <w:b w:val="0"/>
                <w:lang w:eastAsia="en-NZ"/>
              </w:rPr>
              <w:t>2) Short-term care plans are in a resident list format and not held in the individual file therefor there is no record/history of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care plans include current support and interventions to support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short-term care plans are integrated into the individual resident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Views Lifecare Limited - Bethlehem Views</w:t>
    </w:r>
    <w:bookmarkEnd w:id="58"/>
    <w:r>
      <w:rPr>
        <w:rFonts w:cs="Arial"/>
        <w:sz w:val="16"/>
        <w:szCs w:val="20"/>
      </w:rPr>
      <w:tab/>
      <w:t xml:space="preserve">Date of Audit: </w:t>
    </w:r>
    <w:bookmarkStart w:id="59" w:name="AuditStartDate1"/>
    <w:r>
      <w:rPr>
        <w:rFonts w:cs="Arial"/>
        <w:sz w:val="16"/>
        <w:szCs w:val="20"/>
      </w:rPr>
      <w:t>10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