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Ilam Lifecare Limited - Ilam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Ilam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Ilam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2021</w:t>
      </w:r>
      <w:bookmarkEnd w:id="7"/>
      <w:r w:rsidRPr="009418D4">
        <w:rPr>
          <w:rFonts w:cs="Arial"/>
        </w:rPr>
        <w:tab/>
        <w:t xml:space="preserve">End date: </w:t>
      </w:r>
      <w:bookmarkStart w:id="8" w:name="AuditEndDate"/>
      <w:r w:rsidR="00A4268A">
        <w:rPr>
          <w:rFonts w:cs="Arial"/>
        </w:rPr>
        <w:t>9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Ilam Lifecare is part of the Arvida Group.  The service is certified to provide rest home, hospital, and dementia level of care for up to 76 residents in the care centre and rest home level care for up to 45 residents in serviced apartments.  On the day of the audit, there were 75 residents in the care centre and six residents at rest home level in the serviced apartments.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a review of policies and procedures, the review of residents and staff files, observations and interviews with residents, staff, management, and general practitioner.</w:t>
      </w:r>
    </w:p>
    <w:p w:rsidRPr="00A4268A">
      <w:pPr>
        <w:spacing w:before="240" w:line="276" w:lineRule="auto"/>
        <w:rPr>
          <w:rFonts w:eastAsia="Calibri"/>
        </w:rPr>
      </w:pPr>
      <w:r w:rsidRPr="00A4268A">
        <w:rPr>
          <w:rFonts w:eastAsia="Calibri"/>
        </w:rPr>
        <w:t xml:space="preserve">The village manager has been in the role for one year and is supported by an experienced clinical manager.  They are supported by management at the support office and an Arvida national quality manager. </w:t>
      </w:r>
    </w:p>
    <w:p w:rsidRPr="00A4268A">
      <w:pPr>
        <w:spacing w:before="240" w:line="276" w:lineRule="auto"/>
        <w:rPr>
          <w:rFonts w:eastAsia="Calibri"/>
        </w:rPr>
      </w:pPr>
      <w:r w:rsidRPr="00A4268A">
        <w:rPr>
          <w:rFonts w:eastAsia="Calibri"/>
        </w:rPr>
        <w:t>The relative and residents interviewed all spoke positively about the care and support provided at Ilam Lifecare.</w:t>
      </w:r>
    </w:p>
    <w:p w:rsidRPr="00A4268A">
      <w:pPr>
        <w:spacing w:before="240" w:line="276" w:lineRule="auto"/>
        <w:rPr>
          <w:rFonts w:eastAsia="Calibri"/>
        </w:rPr>
      </w:pPr>
      <w:r w:rsidRPr="00A4268A">
        <w:rPr>
          <w:rFonts w:eastAsia="Calibri"/>
        </w:rPr>
        <w:t xml:space="preserve">There were no shortfalls identified at the previous certification audit. </w:t>
      </w:r>
    </w:p>
    <w:p w:rsidRPr="00A4268A">
      <w:pPr>
        <w:spacing w:before="240" w:line="276" w:lineRule="auto"/>
        <w:rPr>
          <w:rFonts w:eastAsia="Calibri"/>
        </w:rPr>
      </w:pPr>
      <w:r w:rsidRPr="00A4268A">
        <w:rPr>
          <w:rFonts w:eastAsia="Calibri"/>
        </w:rPr>
        <w:t xml:space="preserve">This audit identified shortfalls around education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Ilam Lifecare is implementing a quality and risk management system that supports the provision of clinical care.  Quality activities are conducted which generates opportunities for improvement.  Residents/family meetings are held regularly, and residents and families are surveyed annually. Meetings are held to discuss quality and risk management processes.  Internal audits are completed, and corrective actions developed and implemented as required.  Health and safety policies, systems and processes are implemented to manage risk.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the assessments, care plans and evaluations with the resident and/or family/whānau input.  Care plans viewed in resident records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medications complete education and medication competencies.  The medication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A separate activity programme is implemented for residents at each level of care including rest home residents in serviced apartments.  The programme includes community visitors and outings, entertainment and activities that meet the individual recreational,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Additional nutritious snacks are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Residents can freely mobilise within the communal areas with safe access to the outdoors, seating, and shade.  Resident bedrooms are personalised with a mix of ensuites and communal facilities.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Ilam Lifecare has restraint minimisation and safe practice policies and procedures in place.  Staff receive training around restraint minimisation and the management of challenging behaviour.  During the audit, one resident was using a restraint and there were no residents with enablers.  The clinical leader of the dementia unit is the designated restraint coordinator.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Adequate supplies of personal protective equipment were sighted during the audit.  Wellness declarations are required to be completed by all visitors and contractors.  There have been two outbreaks which were well managed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  Staff are aware of the complaints process and to whom they should direct complaints.  An electronic complaints register is available.  There have been 19 complaints received since the previous audit: four in 2019, five in 2020 and ten in 2021 year to date.  Complaints received included one resident not receiving the activity planner, laundry services, and newspaper not delivered.  One complaint was made around lack of staffing, lack of support for staff training, lack of RN cover, dirty kitchen, and lack of personal protective equipment (PPE).  On the day of the audit, there was adequate staffing as sighted on rosters, and confirmed by relatives and residents, adequate supplies of PPE were available to staff and centrally located.  The education records evidenced good numbers of compliance with completing education sessions online and attending face to face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reviewed (verbal and written) have been managed appropriately with acknowledgement, investigation and response recorded.  Residents interviewed advised that they are aware of the complaints procedure and how to access forms.  The neighbourhood meetings held provide for residents to discuss any concerns they have.  The residents and relatives interviewed stated they felt comfortable discussing issues and concerns with the interim manager.  Staff interviewed (eight wellness partners [caregivers], three clinical coordinators [RNs], the chef, two wellness leaders [activities] and the maintenance person) all confirmed there was discussion around complaints at the combined quality and risk/infection control/health and safety meeting, and the six-monthly full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residents interviewed (three rest home and two hospital)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Twelve incident/accidents reviewed had documented evidence of family notification or noted if family did not wish to be informed.  The four relatives interviewed (one rest home, and three dementia, noting no relatives from the hospital unit were available to be interviewed) all complimented the service for prompt notification of changes in the resident’s condition or any incidents or accidents.  Interpreter services are available as required.  There were no residents requiring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Ilam Lifecare is owned and operated by the Arvida Group.  The service provides care for up to 121 residents in total; 76 beds (22 rest home, 34 hospital, and 20 dementia in the care centre) and 45 serviced apartments certified for rest home level care.  There are three dual purpose beds in the rest home which were occupied with rest home residents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81 residents in total, including 22 rest home residents, 33 hospital residents including one resident on an end-of-life contract and 20 residents in the dementia unit and six rest home residents in the serviced apartments including one resident on respite care.  All other residents were under the age-related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position is currently vacant, and the clinical manager (registered nurse) has been covering the interim village manager position for four weeks.  The clinical manager has been in the role for 14 years.  The operations manager visits the facility regularly to provide support and oversight.  The clinical manager is supported by a clinical coordinator, administration staff and a team of nurses, wellness partners (caregivers) and non-clinical staff.  The service is currently recruiting for a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currently provides a monthly report to the Arvida CEO on a variety of operational issues.  Arvida has an overall business/strategic plan that reflects a person/family centred approach.  The organisation has a philosophy of care, which includes a mission statement.  Ilam Lifecare has a business plan 2020/2021 and 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completed in excess of eight hours of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quality and risk management system in place at Ilam Lifecare which is designed to monitor contractual and standards compliance.  There is a 2020/2021 business/strategic plan that includes quality goals and risk management plans for Ilam Lifecare.  There is an established culture of seeking to continually review and analyse data to improve resident outcomes.  The clinical manager is responsible for providing oversight of the quality and risk management system on site, which is also monitored at organisational level.  Interviews with staff confirmed that there is discussion about quality data at various facility meetings.  Arvida Group policies are reviewed at least every two years across the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with corrective actions resolved in a timely manner.  Restraint and enabler use are reported within the monthly combined quality, risk, infection control and health and safety meetings.  As full facility meetings are held six- monthly, the clinical manager prepares a report monthly for each unit updating them of their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provided and the outcomes are communicated to residents, staff, and families.  The 2020 and 2021 resident/relative satisfaction surveys evidenced similar results with overall satisfaction with all areas of the service and overall result shows overall satisfaction with services provided.  There were corrective actions required from the survey in 2021 with these currently being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Electronic risk management, hazard control and emergency policies and procedures are being implemented and are monitored by the combined committee at the monthly meeting.  There are also monthly national health and safety meetings conducted online.  Hazard identification forms and an up-to-date hazard register is in place through the electronic Mango system.  Individualised fall prevention strategies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incidents reporting policy.  The clinical manager investigates accidents and near misses and analyses the monthly data for trends.  There is a discussion of incidents/accidents at staff meetings including actions to minimise future risks.  An RN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incident forms reviewed for October and November 2021 demonstrated that appropriate clinical follow up and investigation occurred following incidents.  Neurological observation forms were documented and completed for six reviewed unwitnessed falls or potential head injuries.  Discussions with the clinical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section 31 incident notifications made since the last audit for a resident absconding and two stage 3 pressure injuries.  The public health service was notified of two outbreaks, one on 2020 and one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Seven staff files were reviewed (one clinical coordinator, one RN, four wellness partners, and one kitchen manager).  There is evidence that reference checks were completed before employment was offered.  Annual staff appraisals were evident in four staff files who have been employed for more than a year.  A copy of annual practising certificates is kept.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2021 is documented, however, not all compulsory sessions have been completed according to the planner.  Discussions with the wellness partners and RNs confirmed that Altura online training is available and implemented by staff.  More than eight hours of staff development or in-service education has been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 RNs including coordinators and the clinical manager; and seven RNs including the three coordinators have completed interRAI training.  The clinical manager and RNs are able to attend external training, including sessions provided by the DHB.  Competencies completed by staff included medication, insulin, wound care, manual handling, hand hygiene, syringe driver and restraint, there was an up-to-date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complete New Zealand Qualification Authority (NZQA) qualifications through Careerforce.  Currently there are 26 wellness partners who have completed level 4, 12 who have completed level 3 and 9 who have completed level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13 staff who are employed in the dementia unit, six have completed the required standards, five (who have been in the service less than 18 months) have not yet completed the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Ilam Lifecare has a weekly roster in place which provides sufficient staffing cover for the provision of care and service to residents.  The service has a total of 108 staff in various roles.  Staffing rosters were sighted and there is staff on duty to meet the resident needs.  The clinical manager and the clinical coordinators work 40 hours per week and are available on call after hours for any operational and clinical concerns respectively.  There is at least one RN on duty at all times.  The RN on each shift is aware that extra staff can be called on for increased resident requirements.  There are dedicated housekeeping and laundry staff.  Interviews with staff and residents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serviced apartments can have up to 45 rest home level residents; and on the day there were six residents receiving rest home level care.  There is a registered nurse across seven days a week from 8 am to 4.30 pm.  The clinical coordinator and a registered nurse are both rostered on a Sunday to complete documentation.  A registered nurse is rostered on afternoon shifts from 4 pm to 10 pm.  The registered nurse from the hospital covers the night duty.</w:t>
            </w:r>
          </w:p>
          <w:p w:rsidR="00EB7645" w:rsidRPr="00BE00C7" w:rsidP="00BE00C7">
            <w:pPr>
              <w:pStyle w:val="OutcomeDescription"/>
              <w:spacing w:before="120" w:after="120"/>
              <w:rPr>
                <w:rFonts w:cs="Arial"/>
                <w:b w:val="0"/>
                <w:lang w:eastAsia="en-NZ"/>
              </w:rPr>
            </w:pPr>
            <w:r w:rsidRPr="00BE00C7">
              <w:rPr>
                <w:rFonts w:cs="Arial"/>
                <w:b w:val="0"/>
                <w:lang w:eastAsia="en-NZ"/>
              </w:rPr>
              <w:t>The morning shift has three wellness partners rostered on morning duty; 1x 6.45 am to 3 pm, 1x 7 am to 3 pm, and 1x 8 am to 4 pm.  The afternoon shift has three wellness partners rostered: 2x 3 pm to 11 pm and 1x 4 pm to 9.30 pm.  One wellness partner is rostered overnight from 10.45 pm to 7 am.</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has 22 beds and 22 rest home level residents on the day of the audit.  There is a registered nurse rostered morning shifts across Monday to Friday, with two RNs rostered on a Friday for documentation.</w:t>
            </w:r>
          </w:p>
          <w:p w:rsidR="00EB7645" w:rsidRPr="00BE00C7" w:rsidP="00BE00C7">
            <w:pPr>
              <w:pStyle w:val="OutcomeDescription"/>
              <w:spacing w:before="120" w:after="120"/>
              <w:rPr>
                <w:rFonts w:cs="Arial"/>
                <w:b w:val="0"/>
                <w:lang w:eastAsia="en-NZ"/>
              </w:rPr>
            </w:pPr>
            <w:r w:rsidRPr="00BE00C7">
              <w:rPr>
                <w:rFonts w:cs="Arial"/>
                <w:b w:val="0"/>
                <w:lang w:eastAsia="en-NZ"/>
              </w:rPr>
              <w:t>There are four wellness partners rostered on morning shifts (one of whom has a current first aid certificate and in medication competent); 2x 6.45 am to 3 pm and 2x 8 am to 2 pm.  The afternoon shift has four wellness partners: 1x 1 pm to 4 pm, 1x 2 pm to 9.30 pm, 1x 3 pm to 11 pm and 1x 5 pm to 9.30 pm.  There is one wellness partner rostered overnight from 10.45 pm to 7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has 34 beds 33 residents.  The registered nurse is rostered across each shift seven days a week, two registered nurses are rostered on Wednesday and Thursdays to cover the GP rounds and documentation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shifts have seven wellness partners rostered: 4x 7 am to 3 pm, 1x 8 am to 1.30 pm, and 2x 10 am to 8 pm.  The afternoon shift has three wellness partners rostered from 3 pm to 11 pm.  Two wellness partner and one RN cover nightshifts from 11 pm to 7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20 beds with 20 residents.  One registered nurse is rostered on morning and nightshifts across seven days a week, two RNs are rostered on Wednesdays for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wellness partners rostered on morning duty from 7 am to 3 pm, three wellness partners rostered on afternoon shift; 2x 3 pm to 11 pm (one of whom is medication competent and has a current first aid certificate), and 1x 3 pm to 9 pm.  Night shift is covered by one wellness partner and one RN from 11 pm to 7 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days of audit.  There are three medication rooms (dementia, hospital, and rest home) and all have secured access.  Medication fridge and treatment/medication rooms had weekly temperature checks recorded and were within normal ranges.  All medications were securely and appropriately stored.  Registered nurses and wellness partners administer medications, who have passed their competency to administer medications.  Medication competencies are updated annually and include syringe drivers and subcutaneous fluids for RNs.    There is a signed agreement with the pharmacy.  Medications are checked on arrival and any pharmacy errors recorded and fed back to the supplying pharmacy.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Twelve medication profiles were sampled (four hospital, four rest home and four dementia level of care).  All charts had photo identification and allergy status documented.  All medication charts evidenced three monthly reviews by the GP.  Prescribed medication is signed electronically after being administered as witnessed on the day of the audit.  Effectiveness of ‘as required’ medications administered were documented in the electronic prescription.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Ilam Lifecare has a large commercial kitchen where all food is prepared.  The service employs a qualified chef (kitchen manager) that works Monday to Friday and a part time chef that covers the weekends.  The kitchen manager has experience in aged care and been in the role for the last three months.  The chef on duty is supported by morning and afternoon kitchenhands.  All kitchen staff have completed food safety certificates.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fully equipped kitchenettes on site, in the dementia unit, hospital and ground floor of the studio apartments.  Food is transported from the main kitchen to the unit kitchenettes in hotboxes to the bain maries.  There is a service lift between the main kitchen and hospital wing.  There is a kitchen manual and a range of policies and procedures to safely manage the kitchen and meal services.  Audits are implemented to monitor performance and the environment.  The kitchen was observed to be clean and well organised.  A record was provided of a recent comprehensive cleaning regimen including high equipment, ceiling clean and flooring clean.  New equipment has been introduced including an oven and purchased and include a second gas hob.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food, freezer, and dishwasher temperatures were monitored and documented daily and were within safe limits.  End cooked food temperatures were recorded daily.  Perishable foods sighted in all fridges were dated.  The dishwasher is checked regularly by the chemical supplier.  Staff have received training in chemical safety.  Chemicals were stored safely.  A maintenance and cleaning schedule are maintained.  There is a food control plan in place which expires June 2023 with a recent dietitian menu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likes, and dislikes.  Nutritional profiles were evident in a folder for kitchen staff to access.  Special diets were noted on the kitchen noticeboard.  Dietary supplements are available as prescribed.  The menu is a four-weekly seasonal menu that was approved by the Arvida group dietitian.  Nutritional snacks are available 24 hours to residents in the dementia unit.  The menu provides options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a decrease in food satisfaction from February 2020 to February 2021 the kitchen manager implemented a new menu with new options after adverse comments about menu fatigue.  Residents and families interviewed, stated improved satisfaction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wellness partners follow the care plan and report progress against the care plan at each shift handover.  If external nursing or allied health advice is required, the RNs will initiate a referral (e.g. to the wound care nurse specialist or the mental health team).  If external medical advice is required, this will be actioned by the GP.  When a resident's condition alters, the registered nurse initiates a GP review as evidenced in the resident files reviewed, however, not all care plan interventions were current.  There is documented evidence on the family contact form in each resident’s file that family were notified of any changes to their relative’s health status including (but not limited to) accident/incidents, behaviours, infections, health professional visits, referrals,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 and treatment forms, ongoing evaluation form and evaluation notes were in place for fourteen hospital residents, one rest home and two dementia care residents with wounds.  There was one hospital level resident with stage two and one resident with a stage one facility acquired pressure injury.  The files of the two residents with pressure injuries had evidence of GP involvement.  The RNs interviewed could describe how to access wound specialist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included a urinary continence assessment, bowel management, and continence products identified.  Interviews with registered nurses and caregivers demonstrated understanding of the individualised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requirements and assessments are completed on admission identifying resident nutritional status and preferences.  Monitoring occurs for weight, vital signs, blood glucose, and pain, challenging behaviour, turning charts,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made up of two wellness leaders that oversee the activities programme.  Wellness partners in each unit assist to facilitate the activities programme.  Each unit has a specific programme.  The six rest home residents in the serviced apartments can choose to participate in the rest home or serviced apartments programme.    The activity programme is delivered from Monday to Friday till 4 pm in the hospital, rest home and studio apartments and till 2 pm over weekends.  The dementia unit activities programme operates over seven days from 11 am to 4pm.  The wellness leader working in the dementia unit has completed the dementia unit standards.</w:t>
            </w:r>
          </w:p>
          <w:p w:rsidR="00EB7645" w:rsidRPr="00BE00C7" w:rsidP="00BE00C7">
            <w:pPr>
              <w:pStyle w:val="OutcomeDescription"/>
              <w:spacing w:before="120" w:after="120"/>
              <w:rPr>
                <w:rFonts w:cs="Arial"/>
                <w:b w:val="0"/>
                <w:lang w:eastAsia="en-NZ"/>
              </w:rPr>
            </w:pPr>
            <w:r w:rsidRPr="00BE00C7">
              <w:rPr>
                <w:rFonts w:cs="Arial"/>
                <w:b w:val="0"/>
                <w:lang w:eastAsia="en-NZ"/>
              </w:rPr>
              <w:t>There are four activity planners (studio apartments, dementia unit, the hospital and rest home) available for residents to participate in.  A copy of the activity’s planner is on the relevant unit noticeboards and residents also get an individual copy for their bedrooms.  Residents are encouraged to join activities in all units, including the rest home residents in the studio apartments.  Residents have the choice of a variety of activities and every effort is made to ensure activities are meaningful and tailored to residents’ needs.  Those residents who prefer to stay in their room or who need individual attention have one-on-one visits to check if there is anything they need and to have a chat.  Activities (observed) in the dementia unit were unhurried and include sensory experiences.  There is a quiet sensory room where residents can be supported to alleviate anxiety.  There is a library and hair salon.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daily morning exercises, games, book club, quizzes, music, sensory dough play and walks outside.  The Arvida Living Well model eating well, thinking well, engaging well, resting well forms the basis of the activities programme.  The residents play bingo, housie and bowls in the common lounge areas.  On the days of audit, residents were observed participating in exercises and news reading.  There are interdenominational church services held in the facility every second Sunday.  There are weekly van outings that include scenic drives.  The programme has entertainers booked regularly on Thursdays.  Special events like birthdays, Easter, Mothers’ Day, Anzac Day, and the Melbourne Cup are celebrated.  There is community input however this had been restricted in the last 12 months due to Covid-19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A leisure plan and resident profile is completed on admission and reviewed six-monthly.  The activity team are also involved in the six-monthly multidisciplinary review.  Individual activity plans were seen in all ten long-term resident files.  Residents in the dementia unit had a completed diversional care plan that assist wellness partners to support the resident with a normal routine and de-escalating activities or diversion techniques to assist with behaviours and anxiety.  The environment in the dementia unit enables individuals to find their way with ease and independence and include coloured doors.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surveys and two monthly resident meetings.  Residents and family members interviewed spoke positively about the activities programme and the activities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re-assessments have been completed six-monthly in support of reviewing the care plan.  Each section of the care plan is evaluated as care needs change, and six-monthly (link 1.3.6.1).  Written evaluations are documented and show progression towards goals in the care plan evaluation section.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are invited to attend the six-monthly multidisciplinary meetings (MDT/case conference) review and informed of any changes if unable to attend.  The MDT meeting includes a holistic evaluation of care and support including input from allied health and medical staff.  Short term interventions for acute needs are added to the electronic long-term care plan then resolved.  All changes in health status were documented and followed up.  The multidisciplinary review involved the RN, wellness leaders, wellness partners, resident/family and clinical coordinator.  There is at least a three-monthly review by the medical practitioner with the majority of the hospital level residents being seen monthly.  The family members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September 2022.  The service employs a full-time maintenance manager who is on call after hours.  The maintenance manager ensures daily maintenance requests are addressed and a planned maintenance schedule is maintained.  Essential contractors are available 24 hours.  Electrical testing is completed annually by an external contractor.  Annual calibration and functional checks of medical equipment including hoists, is completed by an external contractor.  The maintenance team completes regular visual and physical checks of transferring equipment, beds, and call bells.  Hot water temperatures in resident areas are monitored monthly and are maintained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sufficient space for residents to safely mobilise using mobility aids or for the use of hospital recliners on wheels.  There is safe access to the well-manicured outdoor areas and courtyards.  Seating and shade are provided.  The wellness partners and RNs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programme.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This data is monitored and analysed for trends monthly and annually.  Infection control surveillance is discussed at facility meetings and meeting minutes are displayed for staff.  Action plans are required for any infection rates of concern.  Internal infection control audits are completed with corrective actions for areas of improvement.  The service receives benchmarking feedback from support office.  There have been two outbreaks notified to the public health team, one in 2020 and one in 2021.  Both outbreaks were logged, documented, and reported to the public health team.  Debrief meetings were included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prepared for with resource folders, extra training staff was provided around Covid-19 using the electronic education platform, and competencies around donning and doffing personal protective equipment.  Isolation kits are centrally located, and easily accessible to staff.  The staff interviewed were knowledgeable around isolation procedures.  As this audit was conducted under level 2 restrictions, all visiting was by appointment only.  All visitors are required to sign in and complete an electronic wellness declaration.  All staff, visitors and contractors are required to wear masks.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On the day of the audit there were no residents with any enablers and one resident with restraint.  The file for the resident with restraint included an assessment, consent form and the use or risks associated with the use of bedrails were evidenced in the resident file reviewed.  Staff receive training on restraint minimisation and enabler use.  Monitoring forms were maintained while the bedrails were in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45"/>
        <w:gridCol w:w="1280"/>
        <w:gridCol w:w="5196"/>
        <w:gridCol w:w="4546"/>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education planner is documented.  There is a mixture of face-to-face training sessions the organisation utilises and online training platform.  Not all compulsory sessions were evidenced as completed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compulsory education sessions had been completed according to the schedule including cultural safety, falls management, challenging behaviour, skin, and pressure injury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compulsory education is completed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files were reviewed.  InterRAI assessments had been completed for residents who had a significant change in their health however the long-term care plan did not reflect the interventions needed to appropriately support the needs of two (one hospital and one dementia level of care) residents.  Worklogs are created with the required frequency for monitoring.</w:t>
            </w:r>
          </w:p>
          <w:p w:rsidR="00EB7645" w:rsidRPr="00BE00C7" w:rsidP="00BE00C7">
            <w:pPr>
              <w:pStyle w:val="OutcomeDescription"/>
              <w:spacing w:before="120" w:after="120"/>
              <w:rPr>
                <w:rFonts w:cs="Arial"/>
                <w:b w:val="0"/>
                <w:lang w:eastAsia="en-NZ"/>
              </w:rPr>
            </w:pPr>
            <w:r w:rsidRPr="00BE00C7">
              <w:rPr>
                <w:rFonts w:cs="Arial"/>
                <w:b w:val="0"/>
                <w:lang w:eastAsia="en-NZ"/>
              </w:rPr>
              <w:t>Monitoring is completed within the stated frequencies and include turning charts for pressure relieving food and fluid and weight.  When weight loss occurs a mini nutritional assessment (MNA) is completed to appropriate interventions that can include a food first approach or dietitian input.  There are weight graphs on the individual electronic file with weight parameters and BMI recordings.  Monthly weights were completed in all files.  Progress notes evidence care was provided.  Wellness partners interviewed confirmed to be knowledgeable about the care needs of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care plan interventions did not provide sufficient detail to guide staff to support and manage an expected outcome for one resident (dementia level of care) who presented with progressive frailty and was waiting for a transfer to a higher level of care.  (ii). Interventions were not updated in the care plan of a hospital resident including interventions to support: a) unintentional weight loss; b) changes in mobility and assistance needed and c) a pressure relieving strategy for a pressure injury on the foot.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interventions are updated to support the residents’ current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Ilam Lifecare Limited - Ilam Lifecare</w:t>
    </w:r>
    <w:bookmarkEnd w:id="58"/>
    <w:r>
      <w:rPr>
        <w:rFonts w:cs="Arial"/>
        <w:sz w:val="16"/>
        <w:szCs w:val="20"/>
      </w:rPr>
      <w:tab/>
      <w:t xml:space="preserve">Date of Audit: </w:t>
    </w:r>
    <w:bookmarkStart w:id="59" w:name="AuditStartDate1"/>
    <w:r>
      <w:rPr>
        <w:rFonts w:cs="Arial"/>
        <w:sz w:val="16"/>
        <w:szCs w:val="20"/>
      </w:rPr>
      <w:t>8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