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Gladys Mary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Gladys Mary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October 2021</w:t>
      </w:r>
      <w:bookmarkEnd w:id="7"/>
      <w:r w:rsidRPr="009418D4">
        <w:rPr>
          <w:rFonts w:cs="Arial"/>
        </w:rPr>
        <w:tab/>
        <w:t xml:space="preserve">End date: </w:t>
      </w:r>
      <w:bookmarkStart w:id="8" w:name="AuditEndDate"/>
      <w:r w:rsidR="00A4268A">
        <w:rPr>
          <w:rFonts w:cs="Arial"/>
        </w:rPr>
        <w:t>21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Gladys Mary Rest Home is part of the Bupa group.  The service is certified to provide rest home and dementia level care for up to 39 residents.  There were 35 residents on the day of audit.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services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Systems, processes, policies and procedures are structured to provide appropriate quality care for people who use the service.  Implementation is supported through the Bupa quality and risk management programme.  </w:t>
      </w:r>
    </w:p>
    <w:p w:rsidRPr="00A4268A">
      <w:pPr>
        <w:spacing w:before="240" w:line="276" w:lineRule="auto"/>
        <w:rPr>
          <w:rFonts w:eastAsia="Calibri"/>
        </w:rPr>
      </w:pPr>
      <w:r w:rsidRPr="00A4268A">
        <w:rPr>
          <w:rFonts w:eastAsia="Calibri"/>
        </w:rPr>
        <w:t>The service is currently managed by a relief care home manager who is a registered nurse.  She has been at the facility since May and has worked for Bupa approximately a year.  She has an extensive background in aged care and management both in New Zealand and overseas.  The care home manager is supported by a clinical manager who has been in the role for two years and has a background in mental health and spark of life.</w:t>
      </w:r>
    </w:p>
    <w:p w:rsidRPr="00A4268A">
      <w:pPr>
        <w:spacing w:before="240" w:line="276" w:lineRule="auto"/>
        <w:rPr>
          <w:rFonts w:eastAsia="Calibri"/>
        </w:rPr>
      </w:pPr>
      <w:r w:rsidRPr="00A4268A">
        <w:rPr>
          <w:rFonts w:eastAsia="Calibri"/>
        </w:rPr>
        <w:t xml:space="preserve">The service has addressed on of the two shortfalls around quality data.  Further improvements continue to be required around water storage. This audit identified further shortfalls around self-administration of medication and interRAI assessments.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the resident’s condition, including any acute changes or incidents.  The complaints process is implemented and managed in line with the Code of Health and Disability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are developed systems, processes, policies and procedures that are structured to provide appropriate quality care for people who live at Bupa Gladys Mary.  Quality initiatives are implemented, which provide evidence of improved services for residents.  Interviews with staff, and the review of meeting minutes demonstrated staff involvement in the quality and risk management programme.</w:t>
      </w:r>
    </w:p>
    <w:p w:rsidRPr="00A4268A">
      <w:pPr>
        <w:spacing w:before="240" w:line="276" w:lineRule="auto"/>
        <w:rPr>
          <w:rFonts w:eastAsia="Calibri"/>
        </w:rPr>
      </w:pPr>
      <w:r w:rsidRPr="00A4268A">
        <w:rPr>
          <w:rFonts w:eastAsia="Calibri"/>
        </w:rPr>
        <w:t>Human resources are managed in accordance with good employment practice.  An orientation programme is in place for new staff.  There is an in-service training calendar in place.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Care plans guide staff in the safe delivery of care to residents.  The care plans are personalised, and goal orientated.  Care plans are reviewed every six months or earlier if required, with input from the resident/family as appropriate.  Files sampled identified integration of allied health and a team approach is evident in the overall resident file.  There is a review by the general practitioner at least every three months.   </w:t>
      </w:r>
    </w:p>
    <w:p w:rsidRPr="00A4268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residents.  The programme encourages the maintenance of community links.  There are regular entertainers, outings, and celebrations.   </w:t>
      </w:r>
    </w:p>
    <w:p w:rsidRPr="00A4268A" w:rsidP="00621629">
      <w:pPr>
        <w:spacing w:before="240" w:line="276" w:lineRule="auto"/>
        <w:rPr>
          <w:rFonts w:eastAsia="Calibri"/>
        </w:rPr>
      </w:pPr>
      <w:r w:rsidRPr="00A4268A">
        <w:rPr>
          <w:rFonts w:eastAsia="Calibri"/>
        </w:rPr>
        <w:t xml:space="preserve">Registered nurses and senior caregivers who administer medications have an annual competency assessment and receive annual education.  Medication charts are reviewed three monthly by the general practitioner.   </w:t>
      </w:r>
    </w:p>
    <w:p w:rsidRPr="00A4268A" w:rsidP="00621629">
      <w:pPr>
        <w:spacing w:before="240" w:line="276" w:lineRule="auto"/>
        <w:rPr>
          <w:rFonts w:eastAsia="Calibri"/>
        </w:rPr>
      </w:pPr>
      <w:r w:rsidRPr="00A4268A">
        <w:rPr>
          <w:rFonts w:eastAsia="Calibri"/>
        </w:rPr>
        <w:t>Residents' food preferences and dietary requirements are identified at admission and accommodated.  All meals and baking are cooked on site.  This includes consideration of any particular dietary preferences or needs.  There is a four-week rotational menu that is reviewed by a dietitian.  Nutritional snacks are available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Ongoing maintenance issues are addressed.  Chemicals are stored safely throughout the facility.  Cleaning and maintenance staff are providing appropriate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 clinical manager (RN) is the restraint coordinator.  At the time of the audit there were no residents were using a restraint and no residents were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  There have been three outbreaks since the previous audit, all of which were reported and managed appropriately.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5"/>
        <w:gridCol w:w="1280"/>
        <w:gridCol w:w="99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are being managed in line with Right 10 of the Health and Disability Commissioner’s (HDC) Code of Health and Disability Consumers’ Rights (the Code).  Residents (two rest home) and family members interviewed advised that they are aware of the complaint’s procedure.  Discussions around concerns and complaints were evident in facility meeting minutes.  Families interviewed stated that complaints are followed up and the care home and clinical manager are both very approachable.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complaints, both verbal and written, is maintained by the care home manager using an electronic complaints’ register.  There were two complaints on the complaints register for 2021 (year to date) and both complaints have been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from external providers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accident/incident forms reviewed identified that family are kept informed.  Relatives interviewed (two rest home and one dementia) stated they are kept informed when their family member’s health status changes or if there has been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w:t>
            </w:r>
          </w:p>
          <w:p w:rsidR="00EB7645" w:rsidRPr="00BE00C7" w:rsidP="00BE00C7">
            <w:pPr>
              <w:pStyle w:val="OutcomeDescription"/>
              <w:spacing w:before="120" w:after="120"/>
              <w:rPr>
                <w:rFonts w:cs="Arial"/>
                <w:b w:val="0"/>
                <w:lang w:eastAsia="en-NZ"/>
              </w:rPr>
            </w:pPr>
            <w:r w:rsidRPr="00BE00C7">
              <w:rPr>
                <w:rFonts w:cs="Arial"/>
                <w:b w:val="0"/>
                <w:lang w:eastAsia="en-NZ"/>
              </w:rPr>
              <w:t>Family/enduring power of attorney (EPOA) are informed prior to entry of the scope of services and any items they have to pay for that are not covered by the agreement.  The information pack is available in large print and has specific information relating to the dementia level care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Gladys Mary is certified to provide dementia and rest home levels of care for up to 39 residents.  On the day of audit there were 35 residents: 21 at rest home level and 14 residents at dementia level of care.  All residents were on the age-related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relief care home manager who is a registered nurse and has been at the facility since May 2021.  The care home manager has previously worked as an RN, clinical manager and relief manager at other sites.  The clinical manager has been in the role since 2019.  She worked in mental health for the DHB prior to this role.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Progress towards the achievement of annual goals for the facility are regularly reviewed by the relief care home manager with progress reported in the monthly staff and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Both managers have completed over eight hours of professional development relating to their job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meeting minutes and interviews with staff (four caregivers, one RN, one maintenance, two kitchen staff, and one administrator) confirmed staff are made aware of any new/reviewed policies and are involved in the quality and risk management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meetings are held including staff meetings, quality meetings, family/resident meetings, infection control and health and safety meetings, restraint meetings and RN meetings.  Meeting minutes sighted evidenced staff discussion around accident/incident data, health and safety, infection control, and audit outcomes.  Meeting minutes are posted in the staffroom for staff to read.  Staff interviewed stated they are well informed and receive quality and risk management information such as a monthly adverse event summary.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collates accident/incident and infection control data.  Monthly comparisons include trend analysis and graphs.  An annual internal audit schedule confirmed audits are being completed as per the schedule.  Corrective actions to address issues identified from internal audit results and adverse event data results are developed where opportunities for improvements are identified and are signed off by the clinical manager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health and safety and risk management system in place including policies to guide practice.  There is a current hazard register.  Staff confirmed they are kept informed on health and safety matters at meetings.  Contractors are orientated to health and safety processes via reception with additional site orientation provided by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including physiotherapist input (as required). updated resident transfer plans; regular toolbox talks, in-services and discussions at handover to alert staff to residents who are at risk or who have had a fall.  </w:t>
            </w:r>
          </w:p>
          <w:p w:rsidR="00EB7645" w:rsidRPr="00BE00C7" w:rsidP="00BE00C7">
            <w:pPr>
              <w:pStyle w:val="OutcomeDescription"/>
              <w:spacing w:before="120" w:after="120"/>
              <w:rPr>
                <w:rFonts w:cs="Arial"/>
                <w:b w:val="0"/>
                <w:lang w:eastAsia="en-NZ"/>
              </w:rPr>
            </w:pPr>
            <w:r w:rsidRPr="00BE00C7">
              <w:rPr>
                <w:rFonts w:cs="Arial"/>
                <w:b w:val="0"/>
                <w:lang w:eastAsia="en-NZ"/>
              </w:rPr>
              <w:t>The shortfalls identified at the previous audit related to data analysis and communication to staff have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electronically (RiskMan).  The clinical manager reviews all incidents each month and summarises results.  Incidents and accidents are trended and benchmarked.  This information is shared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reviewed identified a timely RN assessment of the resident and corrective actions to minimise resident risk.  Neurological observations are completed for unwitnessed falls and any known head injury.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could discuss the incident reporting process.  Staff related incident forms are discussed at the health and safety meeting.</w:t>
            </w:r>
          </w:p>
          <w:p w:rsidR="00EB7645" w:rsidRPr="00BE00C7" w:rsidP="00BE00C7">
            <w:pPr>
              <w:pStyle w:val="OutcomeDescription"/>
              <w:spacing w:before="120" w:after="120"/>
              <w:rPr>
                <w:rFonts w:cs="Arial"/>
                <w:b w:val="0"/>
                <w:lang w:eastAsia="en-NZ"/>
              </w:rPr>
            </w:pPr>
            <w:r w:rsidRPr="00BE00C7">
              <w:rPr>
                <w:rFonts w:cs="Arial"/>
                <w:b w:val="0"/>
                <w:lang w:eastAsia="en-NZ"/>
              </w:rPr>
              <w:t>The relief care home manager interviewed is able to describe situations that would require reporting to relevant authorities.  Section 31 reports completed since the previous audit included one attempted break-in, one absconder, three outbreaks and one unstageable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register of RNs and external health professionals practising certificates (e.g., GP, physiotherapist, pharmacy, podiatry, dietitian) is maintained.  Five staff files were reviewed (one RN, one clinical manager, two caregivers [one dementia unit], and one activities assistant).  All files contained relevant employment documentation including a signed employment agreement and job description, and reference checking.  Performance appraisals are completed a minimum of annually.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stated that new staff are adequately orientated to the service on employment, which includes being buddied with more experienced staff.  Evidence of completed orientation programmes were sighted in all five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planner in place that covers compulsory education requirements.  The planner and individual attendance records are updated after each session.  The service provides regular training for staff including impromptu tool box talks.  Staff complete competency assessments that are specific to their job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All three RNs (including the clinical manager) have completed interRAI training.  Caregivers are encouraged to complete their CareerForce qualifications and all who work in the dementia unit have achieved the required unit standards.  Across all caregivers employed, seven have achieved lever 4, six level 3, four level 2 and there are no level 0.  Additionally, the activities assistant has achieved the required unit standards necessary to work in the dementia level care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that determines staffing levels and skill mix for safe service delivery.  The staff roster provides sufficient and appropriate coverage for the effective delivery of care and support.  Staff interviewed confirmed the service attempts to fill vacant shifts and described difficulties on occasion when shifts cannot be filled at short notice.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manager/RN and care home manager/RN are rostered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work 0645-1515 on a four on – two off roster, meaning there are days when there are two RNs on shift plus the clinical manager.  An enrolled nurse (EN) also works 0645-1515 two days per week plus fills in as required to provide assistance to the RN during GP rounds and paperwork days.  In the dementia unit there is either an RN, EN or level four caregiver as team leader during the morning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They are supported by two caregivers on morning shifts in the rest home (0645-1515) and two on the same hours in the dementia unit.  In the afternoon there are two caregivers in the rest home (1445-2300) and two in the dementia unit (one 1330-2130 and one 1445-2300).  There are two caregivers working 2245-0700 overnight covering both rest home and the dementia unit between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on-call schedule is shared between facilities in the region, with a clinical manager and a care home manager being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There are policies available for safe medicine management that meet legislative requirements.  All clinical staff (RNs, EN and senior caregivers) who administer medications have been assessed for competency on an annual basis.  Education around safe medication administration has been provided.  Staff were observed to be safely administering medications.  Registered nurses and caregivers interviewed could describe their role regarding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currently uses robotics for regular medication and ‘as required’ medications.  All medications are checked on delivery against the medication chart and any discrepancies are fed back to the supplying pharmacy.  Medications were appropriately stored in the facility medication rooms.  The medication fridge and medication room temperatures are monitored daily, and the temperatures were within acceptable ranges.  All medications are checked weekly and signed on the checklist form.  All eyedrops have been dated on opening.  Two residents were self-medicating on the day of audit and had safe and secure storage in their room.  Self-medication assessments were in place authorised by the GP; however, these were not consistently reviewed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use of antipsychotic medication and if required, makes a referral to the psychogeriatrician.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Gladys Mary are prepared and cooked on site.  There is a food control plan expiring September 2022.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date-labelled in the pantry, chiller and freezers.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surveys and one-to-one interaction with kitchen staff in the main dining room allow the opportunity for resident feedback on the meals and food services generally.  There is a four-weekly seasonal menu with dietitian review and audit of menus.  The menu is adapted to ensure resident’s food preferences are considered.  Finger foods and snacks are available for residents over a 24-hour period.  Meals are prepared in the main kitchen and sent to the dementia unit in a temperature-controlled bain marie.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Adapted cutlery, sipper cups and lipped plates are available for resident use.  Dietary profiles are completed on admission and likes and dislikes and any changes to dietary needs are communicated to the kitchen via the RNs.  A dietitian is available on request.  Supplements and fortified foods are provided to residents with identified weight loss issues.  The cook (interviewed) is familiar with all residents’ likes and dislikes and those residents with specific dietary needs.  </w:t>
            </w:r>
          </w:p>
          <w:p w:rsidR="00EB7645" w:rsidRPr="00BE00C7" w:rsidP="00BE00C7">
            <w:pPr>
              <w:pStyle w:val="OutcomeDescription"/>
              <w:spacing w:before="120" w:after="120"/>
              <w:rPr>
                <w:rFonts w:cs="Arial"/>
                <w:b w:val="0"/>
                <w:lang w:eastAsia="en-NZ"/>
              </w:rPr>
            </w:pPr>
            <w:r w:rsidRPr="00BE00C7">
              <w:rPr>
                <w:rFonts w:cs="Arial"/>
                <w:b w:val="0"/>
                <w:lang w:eastAsia="en-NZ"/>
              </w:rPr>
              <w:t>Relatives confirmed on interview, that there are always snacks, fruit and sandwiches available for residents to eat.  Relatives also reported that meals are well presented, and that staff assist those residents in the dementia unit who require help with food and fluid intake.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completed by the RNs.  When a resident's condition alters, the RN initiates a review and if required, GP or mental health services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physiotherapist, dietitian and wound nurse specialist are available by referral and a podiatrist visits residents regularly.  The older persons’ mental health team are readily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interviewed stated they are kept informed of the resident’s health status and have the opportunity to meet with the GP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the continence products that are required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are available.  Wound management policies and procedures are in place and weights are recorded at least monthly.  The wound register currently includes two chronic ulcers and two skin tears.  There are no current pressure injuries.  All wound documentation reviewed was fully completed.  There was evidence of wound nurse specialist and GP involvement in chronic wound management.</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range of monitoring forms available for use and these have been completed as needed.</w:t>
            </w:r>
          </w:p>
          <w:p w:rsidR="00EB7645" w:rsidRPr="00BE00C7" w:rsidP="00BE00C7">
            <w:pPr>
              <w:pStyle w:val="OutcomeDescription"/>
              <w:spacing w:before="120" w:after="120"/>
              <w:rPr>
                <w:rFonts w:cs="Arial"/>
                <w:b w:val="0"/>
                <w:lang w:eastAsia="en-NZ"/>
              </w:rPr>
            </w:pPr>
            <w:r w:rsidRPr="00BE00C7">
              <w:rPr>
                <w:rFonts w:cs="Arial"/>
                <w:b w:val="0"/>
                <w:lang w:eastAsia="en-NZ"/>
              </w:rPr>
              <w:t>The care team and activities staff interviewed were able to describe strategies for de-escalation and the provision of a low stimulus environment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coordinator works 8.30 am to 3 pm Monday to Friday, across the rest home and dementia communities.  The activities coordinator is currently undertaking the diversional therapy qualification and attends regional diversional therapy meetings.  The service is currently recruiting for an activity assistant to provide cover for six hours a week over three days.  These times are currently covered with care staff assisting with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activity programmes for the rest home and dementia care with integrated activities such as exercises, ball games, happy hours with music and entertainment, pet therapy and church services.  There are resident-led activities in the rest home including sing-alongs, quizzes, and board games as observed on the day of audit.  Caregivers incorporate activities in their role in the dementia care community with oversight from the activity’s coordinator.  A quiet/family/whānau room has been designated in the dementia community with memorabilia and activity resources available for residents, staff and family.  Activities are offered to meet the cognitive, physical, intellectual and emotional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residents in both areas were observed being actively involved in a variety of activities with support and involvement of staff.  The programme is developed monthly and displayed throughout the facility.  The weekly drives/outings for dementia care residents and twice weekly for rest home residents to places of interest are currently temporarily suspended due to Covid restrictions.  There are regular entertainer visits.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and “Map of Life” is completed on admission in consultation with the resident/family (as appropriate).  Socialising and activity plans were incorporated into the long-term care plan and reviewed six monthly at the same time as the care plans.  Resident meetings are held monthly, and residents reported that they are satisfied with the variety of activities offered.  The residents and families interviewed spoke positively about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have been documented and evaluated by the RN within three weeks of admission.  Long-term care plans have been reviewed at least six-monthly or earlier for any health changes.  Evaluation includes documenting progress towards the achievement of the intended goals.  The multidisciplinary review involves the RN, GP, community mental health team (as required), activities staff and family.  The family are invited to attend and/or are notified of the outcome.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1 November 2022.  Fire equipment is checked by an external provider.  The maintenance person interviewed described the reactive and preventative maintenance programme.  There is a 52-week planned maintenance programme in place.  Electrical equipment has been tested and tagged.  Hot water temperature is monitored weekly in resident areas and at hot water cylinders.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around the facility with handrails available to promote safe mobility.  Residents were observed moving freely around the facility with mobility aids where required.  There are areas to wander inside and outside with secure garden areas extending off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equipment available to staff in all areas that is calibrated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There are outdoor areas with seating and shade.  There is wheelchair access to all areas.</w:t>
            </w:r>
          </w:p>
          <w:p w:rsidR="00EB7645" w:rsidRPr="00BE00C7" w:rsidP="00BE00C7">
            <w:pPr>
              <w:pStyle w:val="OutcomeDescription"/>
              <w:spacing w:before="120" w:after="120"/>
              <w:rPr>
                <w:rFonts w:cs="Arial"/>
                <w:b w:val="0"/>
                <w:lang w:eastAsia="en-NZ"/>
              </w:rPr>
            </w:pPr>
            <w:r w:rsidRPr="00BE00C7">
              <w:rPr>
                <w:rFonts w:cs="Arial"/>
                <w:b w:val="0"/>
                <w:lang w:eastAsia="en-NZ"/>
              </w:rPr>
              <w:t>Improvements since the previous audit include general refurbishments to the nurse’s station in the rest home and an ongoing painting programme within the facility as seen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are scheduled every six months.  The orientation programme and annual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food supplies available in the event of a civil defence emergency, however the shortfall in the amount of potable water identified at the last audit still does not comply with the Hawkes Bay DHB requirements.  The shortfall identified at the previous audit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available 24/7 with a current first aid/CPR certificate on all shifts, including night shift.  The shortfall identified at the previous audit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(clinical manager) uses the information obtained through surveillance to determine infection control activities, resources and education needs within the facility.  Infections are included on a monthly register and a monthly report is completed by the infection control officer.  There are standard definitions of infections in place appropriate to the complexity of service provided.  Infection control data is collated monthly.  Meeting minutes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Individual infection report forms are completed for all infections.  Infections are included on a monthly register and a monthly report is completed by the infection control officer.  Infection control data is collated monthly and discussed at the staff meetings.  The infection control programme is linked with the quality management programme.</w:t>
            </w:r>
          </w:p>
          <w:p w:rsidR="00EB7645" w:rsidRPr="00BE00C7" w:rsidP="00BE00C7">
            <w:pPr>
              <w:pStyle w:val="OutcomeDescription"/>
              <w:spacing w:before="120" w:after="120"/>
              <w:rPr>
                <w:rFonts w:cs="Arial"/>
                <w:b w:val="0"/>
                <w:lang w:eastAsia="en-NZ"/>
              </w:rPr>
            </w:pPr>
            <w:r w:rsidRPr="00BE00C7">
              <w:rPr>
                <w:rFonts w:cs="Arial"/>
                <w:b w:val="0"/>
                <w:lang w:eastAsia="en-NZ"/>
              </w:rPr>
              <w:t>One Covid and one gastro outbreak occurred in 2020, and one RSV outbreak affecting six residents and one staff member occurred in July 2021.  All were reported to public health, contained and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The majority of residents have received both doses of the Pfizer Covid-19 vaccine with staff vaccination ongoing in conjunction with the local DHB.  Residents and staff are offered the influenza vaccine.  Covid-19 scanning/manual sign in is mandatory on entry to the facility and the use of face masks is required as part of level 2 restrictions.</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 and internal Bupa infection control specialist who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restraint coordinator (clinical manager), RN and care staff confirmed their understanding of restraints and enablers.  At the time of the audit, the service had no residents using any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Bupa Gladys Mary is classed by Bupa as being restraint free, having had no restraints or enablers for at least six months.  Staff training is provided around restraint minimisation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5"/>
        <w:gridCol w:w="1280"/>
        <w:gridCol w:w="3424"/>
        <w:gridCol w:w="5268"/>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in place to safety manage self-administration medication reviews.  Self-administration assessments and reviews had been completed; however, this had not occurred consistently within the three-month review schedule as detailed in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GP reviews for self-administration of medications could not be consistently evidenced within the required timeframes for two of two self-administering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self-administration medication reviews are completed at least three monthly and that this is clearly evidenced.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and contractual timeframes for the completion of resident assessments.  Not all interRAI assessments were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reviewed had not had interRAI assessments completed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interRAI assessments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training for staff begins during their orientation to the service and continues annually with six-monthly fire evacuation drills.  There are adequate food stores, however additional water storage is required. The risk rating has been raised from low at the previous audit to moderate.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 facility has the equivalent of three litres of emergency water (bottles expired 22/08/21) stored on site per person per day for three days.  The requirement for the Hawkes Bay DHB area is that the amount of potable water available for emergency situations be three litres per resident for ten days (1170 litres).  The purchase and installation of a 1000 litre tank which was to be arranged following the last audit has not yet been actioned.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minimum of three litres of water per resident per day for ten days in the event of a civil emergency.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Gladys Mary Rest Home</w:t>
    </w:r>
    <w:bookmarkEnd w:id="58"/>
    <w:r>
      <w:rPr>
        <w:rFonts w:cs="Arial"/>
        <w:sz w:val="16"/>
        <w:szCs w:val="20"/>
      </w:rPr>
      <w:tab/>
      <w:t xml:space="preserve">Date of Audit: </w:t>
    </w:r>
    <w:bookmarkStart w:id="59" w:name="AuditStartDate1"/>
    <w:r>
      <w:rPr>
        <w:rFonts w:cs="Arial"/>
        <w:sz w:val="16"/>
        <w:szCs w:val="20"/>
      </w:rPr>
      <w:t>20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