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Springvale Manor Limited - Springvale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Springvale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Springvale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November 2021</w:t>
      </w:r>
      <w:bookmarkEnd w:id="7"/>
      <w:r w:rsidRPr="009418D4">
        <w:rPr>
          <w:rFonts w:cs="Arial"/>
        </w:rPr>
        <w:tab/>
        <w:t xml:space="preserve">End date: </w:t>
      </w:r>
      <w:bookmarkStart w:id="8" w:name="AuditEndDate"/>
      <w:r w:rsidR="00A4268A">
        <w:rPr>
          <w:rFonts w:cs="Arial"/>
        </w:rPr>
        <w:t>3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Springvale Manor provides care for up to 27 residents at rest home and secure dementia level of care.  On the day of audit there were 19 residents.</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has a mission that supports residents to maximise their physical and emotional wellbeing. </w:t>
      </w:r>
    </w:p>
    <w:p w:rsidRPr="00A4268A">
      <w:pPr>
        <w:spacing w:before="240" w:line="276" w:lineRule="auto"/>
        <w:rPr>
          <w:rFonts w:eastAsia="Calibri"/>
        </w:rPr>
      </w:pPr>
      <w:r w:rsidRPr="00A4268A">
        <w:rPr>
          <w:rFonts w:eastAsia="Calibri"/>
        </w:rPr>
        <w:t>The service is managed by an experienced manager and a registered nurse.  Residents and relatives interviewed spoke positively about the service provided.</w:t>
      </w:r>
    </w:p>
    <w:p w:rsidRPr="00A4268A">
      <w:pPr>
        <w:spacing w:before="240" w:line="276" w:lineRule="auto"/>
        <w:rPr>
          <w:rFonts w:eastAsia="Calibri"/>
        </w:rPr>
      </w:pPr>
      <w:r w:rsidRPr="00A4268A">
        <w:rPr>
          <w:rFonts w:eastAsia="Calibri"/>
        </w:rPr>
        <w:t xml:space="preserve">Eleven of the 15 shortfalls identified at the previous audit have been addressed. These related to review of policies, internal audits, training, integration of records, timeframes, involvement of residents in care planning, referrals to other services, medication management, the environment and equipment, emergency water supplies, infection control programme review and surveillance. </w:t>
      </w:r>
    </w:p>
    <w:p w:rsidRPr="00A4268A">
      <w:pPr>
        <w:spacing w:before="240" w:line="276" w:lineRule="auto"/>
        <w:rPr>
          <w:rFonts w:eastAsia="Calibri"/>
        </w:rPr>
      </w:pPr>
      <w:r w:rsidRPr="00A4268A">
        <w:rPr>
          <w:rFonts w:eastAsia="Calibri"/>
        </w:rPr>
        <w:t xml:space="preserve">There continues to be improvements required around the quality and risk system, timeframes, care plan interventions, and evaluation of care plans remain areas for improvement.  </w:t>
      </w:r>
    </w:p>
    <w:p w:rsidRPr="00A4268A">
      <w:pPr>
        <w:spacing w:before="240" w:line="276" w:lineRule="auto"/>
        <w:rPr>
          <w:rFonts w:eastAsia="Calibri"/>
        </w:rPr>
      </w:pPr>
      <w:r w:rsidRPr="00A4268A">
        <w:rPr>
          <w:rFonts w:eastAsia="Calibri"/>
        </w:rPr>
        <w:t xml:space="preserve">This audit identified a further shortfall around wound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the resident’s condition, including any acute changes or incidents.  The complaints process is implemented and managed in line with the Code of Health and Disability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programme is documented.  Data is collected and analysed, and changes are made as a result of trend analysis.  Quality improvement plans are developed when service shortfalls are identified.  Residents receive appropriate services from suitably qualified staff.  An orientation programme is in place for new staff and an annual training plan is documented.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an information pack available for residents and families/whānau at entry.  The RN or EN is responsible for assessments, care plans, interventions, and evaluations. The general practitioner reviews residents at least three-monthly.  Other allied health professionals are involved in the care of residents. </w:t>
      </w:r>
    </w:p>
    <w:p w:rsidRPr="00A4268A" w:rsidP="00621629">
      <w:pPr>
        <w:spacing w:before="240" w:line="276" w:lineRule="auto"/>
        <w:rPr>
          <w:rFonts w:eastAsia="Calibri"/>
        </w:rPr>
      </w:pPr>
      <w:r w:rsidRPr="00A4268A">
        <w:rPr>
          <w:rFonts w:eastAsia="Calibri"/>
        </w:rPr>
        <w:t xml:space="preserve">A diversional therapist coordinates and implements an activity programme that meets the abilities and individual recreational needs of all residents.  There are integrated group activities such as entertainment and weekly outings into the community.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w:t>
      </w:r>
    </w:p>
    <w:p w:rsidRPr="00A4268A" w:rsidP="00621629">
      <w:pPr>
        <w:spacing w:before="240" w:line="276" w:lineRule="auto"/>
        <w:rPr>
          <w:rFonts w:eastAsia="Calibri"/>
        </w:rPr>
      </w:pPr>
      <w:r w:rsidRPr="00A4268A">
        <w:rPr>
          <w:rFonts w:eastAsia="Calibri"/>
        </w:rPr>
        <w:t>All meals and baking are prepared and cooked on site by qualified cooks.  Resident's individual dietary needs and dislikes were identified and accommodated.  Staff have attended food safety and hygiene training.  Additional snacks are available 24-hours.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Ongoing maintenance issues are addressed.  Chemicals are stored safely throughout the facility.  Cleaning and maintenance staff are providing appropriate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 facility manager (EN) is the restraint coordinator.  At the time of the audit there were three residents assessed for restraint use, with one using a restraint daily.  There were no residents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0"/>
        <w:gridCol w:w="1280"/>
        <w:gridCol w:w="98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are being managed in line with Right 10 of the Health and Disability Commissioner’s (HDC) Code of Health and Disability Consumers’ Rights (the Code).  Residents (three rest home) and family members interviewed advised that they are aware of the complaint’s procedure.  Families interviewed stated they had every confidence any complaint would be followed up should they have cause to raise one and the facility manager and registered nurse are both very approachable.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both verbal and written, is maintained by the facility manager.  There have been no complaints on the complaints register for 2021 (year to date) and none for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contact sheet, which is held in each resident’s file.  Accident/incident forms have a section to indicate if next of kin have been informed (or not) of an accident/incident.  Ten accident/incident forms reviewed identified that family are kept informed.  Relatives interviewed (two dementia) stated they are kept informed when their family member’s health status changes 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Family/enduring power of attorney (EPOA) are informed prior to entry of the scope of services and any items they have to pay for that are not covered by the agreement.  The information pack is available in large print and has specific information relating to the dementia level care unit.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received regular communication and updates regarding Covid-19 levels, restrictions, and associated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Rest home provides care for up to 27 residents at rest home and secure dementia level of care.  On the day of audit there were three rest home residents in the five rest home beds and 16 residents in the 22-bed dementia unit.  All residents were under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including the wife and husband owner/operators are the governing body for Springvale Manor Limited.  The manager was able to describe the company quality goals.  The service organisation philosophy and strategic plan reflect a person/family centred approach to all services.  The company vision statement is visible on the wall at the front entrance and in the information brochures that are readily available.  There is a 2021 business plan that outlines objectives for the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manager (an enrolled nurse) who was the assistant manager prior to this role.  The manager is experienced in elderly care management both in New Zealand and Australia.  She reports to one of the directors monthly and is supported by a registered nurse (RN) who works full time Monday to Friday.  The registered nurse has had experience and training in the care of older people with dementia and the ageing process and works full time Monday to Friday. The manager has maintained at least eight hours annually of professional development activities related to managing a rest home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There are policies and procedures implemented to provide assurance that the service is meeting accepted good practice and adhering to relevant standards - including those standards relating to the Health and Disability Services (Safety) Act 2001.  The service’s business plan includes clear and timebound objectives to enable evaluation of progress.  The shortfall in this regard identified at the previous audit has been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reflected staff involvement in quality and risk management processes.  Resident and relative surveys are completed with 2020 and 2019 returns sighted.  The 2021 survey is currently in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bought in and embedded a quality management system which includes all relevant policies.  These policies are now current, and the shortfall related to policy reviews identified at the last audit has been satisfied.    </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monitoring programme to monitor contractual and standards compliance and the quality-of-service delivery in the facility.  There are clear guidelines and templates for reporting.  The facility collects, analyses, and evaluates data.  An annual internal audit schedule was sighted for the service, with evidence of internal audits occurring as per the audit schedule and corrective actions being implemented when service shortfalls are identified and signed off when completed.  The shortfall related to audits at the certification audit has also been satisfied.  The service documents and analyses incidents/accidents, unplanned or untoward events and provides feedback to the service and staff so that improvements are made.</w:t>
            </w:r>
          </w:p>
          <w:p w:rsidR="00EB7645" w:rsidRPr="00BE00C7" w:rsidP="00BE00C7">
            <w:pPr>
              <w:pStyle w:val="OutcomeDescription"/>
              <w:spacing w:before="120" w:after="120"/>
              <w:rPr>
                <w:rFonts w:cs="Arial"/>
                <w:b w:val="0"/>
                <w:lang w:eastAsia="en-NZ"/>
              </w:rPr>
            </w:pPr>
            <w:r w:rsidRPr="00BE00C7">
              <w:rPr>
                <w:rFonts w:cs="Arial"/>
                <w:b w:val="0"/>
                <w:lang w:eastAsia="en-NZ"/>
              </w:rPr>
              <w:t>Action plans are developed when service shortfalls are identified and followed up.  However, the reporting of quality data and outcomes to staff meetings remains an area for improvement. Resident and relative surveys are completed with 2020 and 2019 returns sighted.  These confirmed resident and family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manager.  Risk management, hazard control and emergency policies and procedures are in place.  There are procedures to guide staff in managing clinical and non-clinical emergencies.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and corrective action.   Individual incident/accident reports are completed for each incident/accident with immediate action noted and any follow-up action required.  A review of ten incident/accident forms identified that forms were fully completed and include follow-up by the manager and RN.  Neurological observations are completed for any suspected injury to the head.  The manager was able to identify situations that would be reported to statutory authorities.   There has not been any requirement to report a section 31 to HealthCERT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 EN and external health professionals practising certificates (e.g., GP, physiotherapist, pharmacy, podiatry, dietitian) is maintained.  Five staff files were reviewed (one RN, one DT, two HCAs, and one cook).  All files contained relevant employment documentation including a signed employment agreement and job description, and reference checking.  Performance appraisals are completed a minimum of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stated that new staff are adequately orientated to the service on employment, which includes being buddied with more experienced staff.  Evidence of completed orientation programmes were sighted in all five staff files reviewed. The service has an orientation programme in place that provides new staff with relevant information for safe work practice, including how to implement activities and therapies for dementia level clients.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two-yearly education plan in place that covers compulsory education requirements.  The planner and individual attendance records are updated after each session.  The service provides regular training for staff including impromptu toolbox talks.  The previous audit finding related to the provision of staff training has been fully satisfied. Staff complete competency assessments that are specific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manager (EN) has completed interRAI training and the RN is booked for training.  HCAs are encouraged to complete their Careerforce qualifications and of the 19 staff who work in the dementia unit, 11 have completed the dementia unit standards, and eight are in the process of attaining them.  This includes the diversional therapist and diversional therapy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Across all HCAs employed outside of the dementia unit, one has achieved level 4, seven level 3, nine level 2 and there are four level 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first aid trained staff is always on duty (24/7).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confirmed they received regular communication and updates regarding Covid-19 levels, restrictions, and associated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The RN and the manager are on site Monday to Friday.  The manager and RN share on call when not on site.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staffed as one unit with the RN and EN/senior HCA based in the dementia unit; rosters are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twenty-two beds with sixteen residents and the rest home with five beds and three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Four HCAs: Senior 0800-1600, one HCA 0700-1500 and two HCAs 0800-1600 (one HCA covers the rest home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Two HCAs working 1600 to midnight (one in dementia unit and one in rest home), and one senior HCA working 1600 until midnight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senior HCA and one HCA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staffing levels are adequate for current occupancy.  Residents and relatives stated there were adequate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HCA, EN or RN including designation.  Files are integrated, and include progress notes, short-term care plans and long-term care plans (link 1.3.5.2).  The shortfall related to file integration identified at the previous audit has been fully satisfied.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There are policies available for safe medicine management that meet legislative requirements.  All clinical staff (RN, EN and senior HCAs) who administer medications have been assessed for competency on an annual basis.  Education around safe medication administration has been provided.  Staff were observed to be safely administering medications.  The registered nurse and senior HCA interviewed could describe their role regarding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uses blister packs for regular medication and ‘as required’ medications.  All medications are checked on delivery against the medication chart and any discrepancies are fed back to the supplying pharmacy.  Medications were appropriately stored in the facility medication room.  The medication fridge and medication room temperatures are monitored daily, and the temperatures were within acceptable ranges.  All medications are checked weekly and signed on the checklist form.  All eyedrops have been dated on opening.  There were no residents self-medicating on the day of audit and no standing orders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The shortfalls related to medication management around expired medications, standing orders, controlled drug checks and the temperature of the medication room identified at the previous audit have been fully satisfied.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Springvale Manor are prepared and cooked on site.  There is a food control plan expiring January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surveys and one-to-one interaction with kitchen staff in the two dining rooms (both adjoin the kitchen) allow the opportunity for resident feedback on the meals and food services generally.  There is a four-weekly seasonal menu with dietitian review and audit of menus.  The menu is adapted to ensure resident’s food preferences are considered.  Finger foods and snacks are available for residents over a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Adapted cutlery, sipper cups and lipped plates are available for resident use.  Dietary profiles are completed on admission and likes and dislikes and any changes to dietary needs are communicated to the kitchen via the RN/EN.  A dietitian is available on request.  Supplements and fortified foods are provided to residents with identified weight loss issues.  Two cooks (interviewed) were familiar with all residents’ likes and dislikes and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Relatives confirmed on interview that there are always nutritious snacks available for residents to eat.  Relatives also reported that meals are well presented, and that staff assist those residents in the dementia unit who require help with food and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care plans were reviewed, however there were no care plans available (or could be located) for two resident files (one rest home and one dementia).  One care plan (dementia care) had not been updated to meet the resident’s current needs and supports including chest pain and supra-pubic catheter care.  Resident files for three residents on restraint were reviewed and did not include risks and interventions associated with the use of restraint.  These items remain an area for improvement as identified in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changes to care or health and reviewed regularly by the RN and signed off when the problem has been resolved.  These were sighted for skin tears, behaviour incidents,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evidenced of resident (as appropriate) and family/whānau involvement in the care plan process, and the care plans sighted identified allied health professionals involved in the care of the resident.  The shortfalls related to family/whānau involvement and involvement of health professionals identified at the previous audit have been fully satisfied.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completed by the RN and EN.  When a resident's condition alters, the RN initiates a review and if required, GP or mental health services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physiotherapist, dietitian and wound nurse specialist are available by referral and a podiatrist visits residents regularly.  The older persons’ mental health team are readily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stated they are kept informed of the resident’s health status and have the opportunity to meet with the GP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are available.  Wound management policies and procedures are in place and weights are recorded at least monthly.  The wound register currently includes four skin tears, one blister and one abrasion.  There were two stage 2 (facility acquired) pressure injuries.  Wound dressing charts were being completed however, not all wounds had wound assessments or care plans.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(including intentional rounding, behavioural management, and repositioning charts) and these had been completed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care team and activities staff interviewed were able to describe strategies for de-escalation and the provision of a low stimulus environment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and two diversional therapy assistants who cover the hours of 1000-1800 seven days per week between them.  HCAs incorporate activities into their role for resident needs outside of the DT teams hours.  There is an activity room with plentiful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DT provides a weekly programme designed to meet the cognitive, physical, intellectual, and emotional needs of the residents in both the dementia care unit and rest home.  These include daily walks or exercises, newspaper reading, board games, colouring, movies, and happy hours.  There is another quieter lounge in the dementia unit with a pool table.  The rest home has an outdoor area and access to a neighbouring local reserve for supervised walks.  There is access to safe an outdoor walking pathway and gardens for dementia residents to safely wander.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Indoor physical exercise is provided using an elliptical trainer (electric foot and leg exerciser) which is shared between residents for individual exercises (sighted in use).  Residents are able to listen to their music of choice through Bluetooth headphones using iPad, iPhone and iPod set up by staff as seen on the days of audit.  Recent activities in the programme have included (but are not limited to) pet therapy, poetry tree, meditation, and sing-alongs.  There are also foot spa and pampering sessions.       </w:t>
            </w:r>
          </w:p>
          <w:p w:rsidR="00EB7645" w:rsidRPr="00BE00C7" w:rsidP="00BE00C7">
            <w:pPr>
              <w:pStyle w:val="OutcomeDescription"/>
              <w:spacing w:before="120" w:after="120"/>
              <w:rPr>
                <w:rFonts w:cs="Arial"/>
                <w:b w:val="0"/>
                <w:lang w:eastAsia="en-NZ"/>
              </w:rPr>
            </w:pPr>
            <w:r w:rsidRPr="00BE00C7">
              <w:rPr>
                <w:rFonts w:cs="Arial"/>
                <w:b w:val="0"/>
                <w:lang w:eastAsia="en-NZ"/>
              </w:rPr>
              <w:t>Consent is gained from rest home residents and their families to join some activities in the dementia unit such as entertainment, church services, board games, guest speakers and outings.  There is a large double lounge that can be closed off from the dementia unit (if required) to provide an entertainment area.  Community visitors include monthly entertainers, monthly church services and canine friends.  The facility has a number of canaries in mobile aviaries which the residents were observed to enjoy on the days of audit.  There is one-on-one time spent with residents.  Daily contact is made with rest home residents who prefer individual activities and choose which group activities they would like to attend.  There are weekly van outings to places of interest or scenic drives.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a life history are completed within two weeks of admission as sighted in five resident files.  A resident DT plan with individualised activities and goals had been developed and evaluated six-monthly for residents who had been at the service six months.  Monthly progress notes are maintained.  The DT meets with the resident (as appropriate) and relative/EPOA to discuss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long-term care plans (one rest home and two dementia care) did not have an evaluation documented six-monthly.  The shortfall identified at the certification audit has not been met.  </w:t>
            </w:r>
          </w:p>
          <w:p w:rsidR="00EB7645" w:rsidRPr="00BE00C7" w:rsidP="00BE00C7">
            <w:pPr>
              <w:pStyle w:val="OutcomeDescription"/>
              <w:spacing w:before="120" w:after="120"/>
              <w:rPr>
                <w:rFonts w:cs="Arial"/>
                <w:b w:val="0"/>
                <w:lang w:eastAsia="en-NZ"/>
              </w:rPr>
            </w:pPr>
            <w:r w:rsidRPr="00BE00C7">
              <w:rPr>
                <w:rFonts w:cs="Arial"/>
                <w:b w:val="0"/>
                <w:lang w:eastAsia="en-NZ"/>
              </w:rPr>
              <w:t>The GP reviews the residents at least three-monthly or earlier if required.  Short-term care plans were evaluated regularly for progress against short-term needs.  Ongoing nursing evaluations occur daily/as indicated and are documented within the progress notes.  This remains an area for improvement as identified in the previous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produced detailed evidence of referral to other health and disability services including resident reassessments for hospital and psychogeriatric levels of care.  The shortfall in this respect identified at the previous audit has been fully satisfied.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26 June 2022.  Fire equipment is checked by an external provider.  Facility records evidenced a reactive and preventative maintenance programme.  Electrical equipment has been tested and tagged.  Hot water temperature is monitored weekly in resident areas and at hot water cylinders with corrective actions documented if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with handrails available to promote safe mobility.  Residents were observed moving freely around the facility with mobility aids where required.  There are areas to wander inside and outside with secure garden areas extending off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equipment available to staff in all areas that is calibrated annually; next due 18 December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outdoor areas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shortfalls related to hot water temperature monitoring and calibration of equipment identified at the last audit have been fully satisfied.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are scheduled every six months.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There is a minimum of one staff available 24/7 with a current first aid/CPR certificate on all shifts, including night shift.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food supplies available in the event of a civil defence emergency and sufficient emergency potable water for three litres per resident per day for three days.  The shortfall in this respect identified at the last audit has been fully satisfied.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has an established infection control programme.  The infection control programme, its content and detail, is appropriate for the size, complexity and degree of risk associated with the service.  The registered nurse is the designated infection control nurse with support from the manager.  The quality/staff meeting team is the infection control team.  Minutes are available for staff (link 1.2.3.6).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 shortfall regarding the annual review of the infection control programme identified at the previous audit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Springvale Manor Rest Home infection control manual.  Effective monitoring is the responsibility of the infection control coordinator (facility manager).  An individual resident infection report is completed for all infections which includes signs and symptoms of infection, treatment, follow-up, review, and resolution.  Short-term care plans are used for residents diagnosed with infections as evidenced in the resident files reviewed.  Surveillance of all infections are documented, collated and any trends analysed.  The shortfall in this regard identified at the previous audit has been fully satisfied.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shares infection control data, trends and relevant information to the Board and care staff (link 1.2.3.6).  Areas for improvement are identified, corrective actions developed and followed up.  This data is monitored and evaluated monthly.  If there is an emergent issue, it is acted upon in a timely manner.  On review of the surveillance data the infection rate continues to be very low at the facility and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and staff have received both doses of the Pfizer Covid-19 vaccine.  Residents and staff are offered the influenza vaccine.  Covid-19 scanning/manual sign in is mandatory on entry to the facility and the use of face masks is required as part of level 2 restrictions.  The service has invested in automatic temperature scanners at each entrance for visitors, contactors, and staff to use prior to entry.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and external quality consultant who both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restraint coordinator (facility manager), RN and care staff confirmed their understanding of restraints and enablers.  At the time of the audit, there were three residents assessed as requiring restraint but only one resident currently using a restraint and none using enablers (link 1.3.5.2).  Staff training is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2"/>
        <w:gridCol w:w="1280"/>
        <w:gridCol w:w="7156"/>
        <w:gridCol w:w="1957"/>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system.  The system has not been fully embedded into practice.  The service is small, and the manager and RN monitor the service on a daily basis. The service has a documented quality system which includes the reporting of quality data and outcomes to staff, however this does not occur consistently.   The reporting of quality data and outcomes to the monthly quality/staff meeting remains an area for improvement from the previous audit therefore the risk rating has increased to moderate and the timeframe for correction decreased from 90 days to 60.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quality data analysis and outcomes are reported at meetings, this included health and safety information, incidents, accidents, and restraint review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quality information is reported to the quality/staff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evidenced an initial assessment and initial care plan completed within 24 hours of admission, however interRAI assessments had not been completed for all resident files.  One rest home file and one dementia file had no initial interRAI assessment.  Three routine interRAI assessments had not been completed for one rest home and two dementia level clients within the required timeframes.  One rest home and two dementia care long-term care plans had not been evaluated six-monthly.  Two resident files (one rest home and one dementia care) did not have care plans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initial interRAI assessments (one rest home and one dementia care) were not completed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routine interRAI assessments (one rest home and two dementia care) were not competed six monthly or earlier due to health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long-term care plans reviewed (one rest home and two dementia care), had not been evaluated six monthly or earlier due to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were no long-term care plans for two residents (one rest home and one dementia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initial interRAI assessments are completed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routine interRAI assessments are competed six monthly or earlier for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long-term care plans are evaluated six monthly or earlier due to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(iv0. Ensure all residents have long-term care plans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Of the care plans available, both dementia care plans reviewed met the residents needs in terms of behaviour management, however, did not document signs and symptoms for chest pain to guide staff in the use of a GTN spray, or the care and change frequency for a supra-pubic catheter.  InterRAI assessments identified and triggered risks and required needs and supports to be care planned, however not all care plans had been updated and in two files, long-term care plans had not been commenced.  Resident files for three residents assessed as requiring restraint were reviewed and did not include risks and interventions associated with the use of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shortfall identified at the certification audit remains. While the rating remains as moderate, the timeframe to address this has been moved from 60 days at the certification audit to 30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dementia care plan had not been updated to meet the resident’s current needs and supports related to signs and symptoms of chest pain and the care of a supra-pubic catheter. </w:t>
            </w:r>
          </w:p>
          <w:p w:rsidR="00EB7645" w:rsidRPr="00BE00C7" w:rsidP="00BE00C7">
            <w:pPr>
              <w:pStyle w:val="OutcomeDescription"/>
              <w:spacing w:before="120" w:after="120"/>
              <w:rPr>
                <w:rFonts w:cs="Arial"/>
                <w:b w:val="0"/>
                <w:lang w:eastAsia="en-NZ"/>
              </w:rPr>
            </w:pPr>
            <w:r w:rsidRPr="00BE00C7">
              <w:rPr>
                <w:rFonts w:cs="Arial"/>
                <w:b w:val="0"/>
                <w:lang w:eastAsia="en-NZ"/>
              </w:rPr>
              <w:t>(ii) There were no long-term care plans in place for two residents (one rest home and one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Risks and interventions associated with the use of restraint were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are updated to reflect the resident’s current needs and supports.</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have a current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risks and interventions associated with restraint use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wound management policies and procedures in place, however seven of eight current wounds (including two pressure injuries) did not have a wound care plan or assessment.  All eight wounds had dressing changes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wounds reviewed for six dementia level residents did not have a wound assessment or wound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wounds are assessed and a plan of care documented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written evaluations sighted, documents the resident’s progress against identified goals and states the EPOA/relative involved in the evaluation, however these documents had not been dated within the last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current six-monthly written evaluation for one rest home and two dementia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are evaluated at least six-monthly for progress towards meeting the desired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Springvale Manor Limited - Springvale Manor Rest Home</w:t>
    </w:r>
    <w:bookmarkEnd w:id="58"/>
    <w:r>
      <w:rPr>
        <w:rFonts w:cs="Arial"/>
        <w:sz w:val="16"/>
        <w:szCs w:val="20"/>
      </w:rPr>
      <w:tab/>
      <w:t xml:space="preserve">Date of Audit: </w:t>
    </w:r>
    <w:bookmarkStart w:id="59" w:name="AuditStartDate1"/>
    <w:r>
      <w:rPr>
        <w:rFonts w:cs="Arial"/>
        <w:sz w:val="16"/>
        <w:szCs w:val="20"/>
      </w:rPr>
      <w:t>2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