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George Manning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George Manning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2021</w:t>
      </w:r>
      <w:bookmarkEnd w:id="7"/>
      <w:r w:rsidRPr="009418D4">
        <w:rPr>
          <w:rFonts w:cs="Arial"/>
        </w:rPr>
        <w:tab/>
        <w:t xml:space="preserve">End date: </w:t>
      </w:r>
      <w:bookmarkStart w:id="8" w:name="AuditEndDate"/>
      <w:r w:rsidR="00A4268A">
        <w:rPr>
          <w:rFonts w:cs="Arial"/>
        </w:rPr>
        <w:t>15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George Manning Lifecare and Village provides rest home, hospital and residential disability service for younger people with a lifelong disability for up to 88 residents. </w:t>
      </w:r>
    </w:p>
    <w:p w:rsidRPr="00A4268A">
      <w:pPr>
        <w:spacing w:before="240" w:line="276" w:lineRule="auto"/>
        <w:rPr>
          <w:rFonts w:eastAsia="Calibri"/>
        </w:rPr>
      </w:pPr>
      <w:r w:rsidRPr="00A4268A">
        <w:rPr>
          <w:rFonts w:eastAsia="Calibri"/>
        </w:rPr>
        <w:t xml:space="preserve">This certification audit was conducted in conjunction with a pilot audit of Nga Paerewa Health and Disability Services Standard NZS 8134:2021. The audit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Strengths of the service included using data to improve service delivery, and a well-maintained environment.</w:t>
      </w:r>
    </w:p>
    <w:p w:rsidRPr="00A4268A">
      <w:pPr>
        <w:spacing w:before="240" w:line="276" w:lineRule="auto"/>
        <w:rPr>
          <w:rFonts w:eastAsia="Calibri"/>
        </w:rPr>
      </w:pPr>
      <w:r w:rsidRPr="00A4268A">
        <w:rPr>
          <w:rFonts w:eastAsia="Calibri"/>
        </w:rPr>
        <w:t>Improvements are required in relation to:</w:t>
      </w:r>
    </w:p>
    <w:p w:rsidRPr="00A4268A">
      <w:pPr>
        <w:spacing w:before="240" w:line="276" w:lineRule="auto"/>
        <w:rPr>
          <w:rFonts w:eastAsia="Calibri"/>
        </w:rPr>
      </w:pPr>
      <w:r w:rsidRPr="00A4268A">
        <w:rPr>
          <w:rFonts w:eastAsia="Calibri"/>
        </w:rPr>
        <w:t>•</w:t>
        <w:tab/>
        <w:t>ensuring all policies and procedures are current, develop an employment policy</w:t>
      </w:r>
    </w:p>
    <w:p w:rsidRPr="00A4268A">
      <w:pPr>
        <w:spacing w:before="240" w:line="276" w:lineRule="auto"/>
        <w:rPr>
          <w:rFonts w:eastAsia="Calibri"/>
        </w:rPr>
      </w:pPr>
      <w:r w:rsidRPr="00A4268A">
        <w:rPr>
          <w:rFonts w:eastAsia="Calibri"/>
        </w:rPr>
        <w:t>•</w:t>
        <w:tab/>
        <w:t>interRAI assessments</w:t>
      </w:r>
    </w:p>
    <w:p w:rsidRPr="00A4268A">
      <w:pPr>
        <w:spacing w:before="240" w:line="276" w:lineRule="auto"/>
        <w:rPr>
          <w:rFonts w:eastAsia="Calibri"/>
        </w:rPr>
      </w:pPr>
      <w:r w:rsidRPr="00A4268A">
        <w:rPr>
          <w:rFonts w:eastAsia="Calibri"/>
        </w:rPr>
        <w:t>•</w:t>
        <w:tab/>
        <w:t>activities for under 65 year olds</w:t>
      </w:r>
    </w:p>
    <w:p w:rsidRPr="00A4268A">
      <w:pPr>
        <w:spacing w:before="240" w:line="276" w:lineRule="auto"/>
        <w:rPr>
          <w:rFonts w:eastAsia="Calibri"/>
        </w:rPr>
      </w:pPr>
      <w:r w:rsidRPr="00A4268A">
        <w:rPr>
          <w:rFonts w:eastAsia="Calibri"/>
        </w:rPr>
        <w:t>•</w:t>
        <w:tab/>
        <w:t>locked storage for residents who self-administer medication</w:t>
      </w:r>
    </w:p>
    <w:p w:rsidRPr="00A4268A">
      <w:pPr>
        <w:spacing w:before="240" w:line="276" w:lineRule="auto"/>
        <w:rPr>
          <w:rFonts w:eastAsia="Calibri"/>
        </w:rPr>
      </w:pPr>
      <w:r w:rsidRPr="00A4268A">
        <w:rPr>
          <w:rFonts w:eastAsia="Calibri"/>
        </w:rPr>
        <w:t>•</w:t>
        <w:tab/>
        <w:t>ensuring the hot water temperature is safe</w:t>
      </w:r>
    </w:p>
    <w:p w:rsidRPr="00A4268A">
      <w:pPr>
        <w:spacing w:before="240" w:line="276" w:lineRule="auto"/>
        <w:rPr>
          <w:rFonts w:eastAsia="Calibri"/>
        </w:rPr>
      </w:pPr>
      <w:r w:rsidRPr="00A4268A">
        <w:rPr>
          <w:rFonts w:eastAsia="Calibri"/>
        </w:rPr>
        <w:t>•</w:t>
        <w:tab/>
        <w:t>laundering of hoist equipment</w:t>
      </w:r>
    </w:p>
    <w:p w:rsidRPr="00A4268A">
      <w:pPr>
        <w:spacing w:before="240" w:line="276" w:lineRule="auto"/>
        <w:rPr>
          <w:rFonts w:eastAsia="Calibri"/>
        </w:rPr>
      </w:pPr>
      <w:r w:rsidRPr="00A4268A">
        <w:rPr>
          <w:rFonts w:eastAsia="Calibri"/>
        </w:rPr>
        <w:t>•</w:t>
        <w:tab/>
        <w:t xml:space="preserve">the policy for laundry services </w:t>
      </w:r>
    </w:p>
    <w:p w:rsidRPr="00A4268A">
      <w:pPr>
        <w:spacing w:before="240" w:line="276" w:lineRule="auto"/>
        <w:rPr>
          <w:rFonts w:eastAsia="Calibri"/>
        </w:rPr>
      </w:pPr>
      <w:r w:rsidRPr="00A4268A">
        <w:rPr>
          <w:rFonts w:eastAsia="Calibri"/>
        </w:rPr>
        <w:t>•</w:t>
        <w:tab/>
        <w:t>conducting a quality review of all restraint practices.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Personal privacy, gender, independence, individuality and dignity are supported.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Additional communication devices such as picture cards/word charts have been used to provide assistance to younger people with lifelong disabilities.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 Links are also in place through external organisations that support services to younger people with lifelong disabilities.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governing body assumes accountability for delivering a high-quality service. This includes honouring Te Tiriti o Waitangi and reducing barriers to improve outcomes for Māori and people with disabilities. </w:t>
      </w:r>
    </w:p>
    <w:p w:rsidRPr="00A4268A">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rsidRPr="00A4268A">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An integrated approach includes collection and analysis of quality improvement data, identifies trends, and leads to improvements. Actual and potential risks are identified and mitigated. </w:t>
      </w:r>
    </w:p>
    <w:p w:rsidRPr="00A4268A">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rsidRPr="00A4268A">
      <w:pPr>
        <w:spacing w:before="240" w:line="276" w:lineRule="auto"/>
        <w:rPr>
          <w:rFonts w:eastAsia="Calibri"/>
        </w:rPr>
      </w:pPr>
      <w:r w:rsidRPr="00A4268A">
        <w:rPr>
          <w:rFonts w:eastAsia="Calibri"/>
        </w:rPr>
        <w:t xml:space="preserve">Staffing levels and skill mix meet the clinical needs of residents.  Staff are appointed, orientated, and managed using current good practice. A systematic approach to identify and deliver ongoing learning supports safe equitable service delivery.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The young people with disability do not have an activity programme.</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Waste and hazardous substances are well managed.</w:t>
      </w:r>
    </w:p>
    <w:p w:rsidRPr="00A4268A">
      <w:pPr>
        <w:spacing w:before="240" w:line="276" w:lineRule="auto"/>
        <w:rPr>
          <w:rFonts w:eastAsia="Calibri"/>
        </w:rPr>
      </w:pPr>
      <w:r w:rsidRPr="00A4268A">
        <w:rPr>
          <w:rFonts w:eastAsia="Calibri"/>
        </w:rPr>
        <w:t xml:space="preserve">There was a current building warrant of fitness. Electrical equipment has been tested as required. </w:t>
      </w:r>
    </w:p>
    <w:p w:rsidRPr="00A4268A">
      <w:pPr>
        <w:spacing w:before="240" w:line="276" w:lineRule="auto"/>
        <w:rPr>
          <w:rFonts w:eastAsia="Calibri"/>
        </w:rPr>
      </w:pPr>
      <w:r w:rsidRPr="00A4268A">
        <w:rPr>
          <w:rFonts w:eastAsia="Calibri"/>
        </w:rPr>
        <w:t>External areas are accessible, safe and provide shade and seating, and meet the needs of people with disabilities.</w:t>
      </w:r>
    </w:p>
    <w:p w:rsidRPr="00A4268A">
      <w:pPr>
        <w:spacing w:before="240" w:line="276" w:lineRule="auto"/>
        <w:rPr>
          <w:rFonts w:eastAsia="Calibri"/>
        </w:rPr>
      </w:pPr>
      <w:r w:rsidRPr="00A4268A">
        <w:rPr>
          <w:rFonts w:eastAsia="Calibri"/>
        </w:rPr>
        <w:t xml:space="preserve">There are safe and effective laundry services. The facility meets the needs of residents and was clean and well maintained. </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w:t>
      </w:r>
    </w:p>
    <w:p w:rsidRPr="00A4268A">
      <w:pPr>
        <w:spacing w:before="240" w:line="276" w:lineRule="auto"/>
        <w:rPr>
          <w:rFonts w:eastAsia="Calibri"/>
        </w:rPr>
      </w:pPr>
      <w:r w:rsidRPr="00A4268A">
        <w:rPr>
          <w:rFonts w:eastAsia="Calibri"/>
        </w:rPr>
        <w:t>Residents reported a timely staff response to call bells.  Staff, residents and whānau understood emergency and security arrangements.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service aims for a restraint free environment. This is supported by the governing body and policies and procedures. One resident was using restraint at the time of audit, and one was using an enabler. </w:t>
      </w:r>
    </w:p>
    <w:p w:rsidRPr="00A4268A">
      <w:pPr>
        <w:spacing w:before="240" w:line="276" w:lineRule="auto"/>
        <w:rPr>
          <w:rFonts w:eastAsia="Calibri"/>
        </w:rPr>
      </w:pPr>
      <w:r w:rsidRPr="00A4268A">
        <w:rPr>
          <w:rFonts w:eastAsia="Calibri"/>
        </w:rPr>
        <w:t xml:space="preserve">A comprehensive assessment, approval and monitoring process, with regular reviews occurs for any restraint used.  </w:t>
      </w:r>
    </w:p>
    <w:p w:rsidRPr="00A4268A">
      <w:pPr>
        <w:spacing w:before="240" w:line="276" w:lineRule="auto"/>
        <w:rPr>
          <w:rFonts w:eastAsia="Calibri"/>
        </w:rPr>
      </w:pPr>
      <w:r w:rsidRPr="00A4268A">
        <w:rPr>
          <w:rFonts w:eastAsia="Calibri"/>
        </w:rPr>
        <w:t xml:space="preserve">Staff demonstrated a sound knowledge and understanding of providing the least restrictive practice, de-escalation techniques and alternative interventions.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from district health board and public health unit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07"/>
        <w:gridCol w:w="1280"/>
        <w:gridCol w:w="84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George Manning Lifecare has developed policies, procedures and processes to meet its obligations in relation to the Code of Health and Disability Services Consumers’ Rights (the Code) but not all policies are current (refer 1.2.3.3).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(16 November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Additional consents were sighted for Covid-19 and flu vaccines.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services manager provided an example of the involvement of Advocacy Services in relation to a resident contacting them independently about a personal issue. An email from the advocacy service was on file documenting that the issue had been resolved to the resident’s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 Younger people with lifelong disabilities are encouraged to participate in community activities with assistance of whānau, friends, and support workers (refer 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fair, transparent, and equitable system is in place to receive and resolve complaints that leads to improvements. This meets the requirements of the Code. Complaint forms and a box are at reception. Residents and whānau understood their right to make a complaint and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have been received over the past year and that actions taken, through to an agreed resolution, were documented and completed within the timeframes.  Action plans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responsible for complaints management and follow up. All staff interviewed confirmed a sound understanding of the complaint process and what actions are required. If the complaint is minor, the registered nurse talks to the complainant. Each nurses’ station has a concerns notebook for minor issues which were observed to be signed off by the care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One Health and Disability Commissioner (HDC) complaint has been investigated by management and forwarded to HDC for a response. It is yet to be closed. </w:t>
            </w:r>
          </w:p>
          <w:p w:rsidR="00EB7645" w:rsidRPr="00BE00C7" w:rsidP="00BE00C7">
            <w:pPr>
              <w:pStyle w:val="OutcomeDescription"/>
              <w:spacing w:before="120" w:after="120"/>
              <w:rPr>
                <w:rFonts w:cs="Arial"/>
                <w:b w:val="0"/>
                <w:lang w:eastAsia="en-NZ"/>
              </w:rPr>
            </w:pPr>
            <w:r w:rsidRPr="00BE00C7">
              <w:rPr>
                <w:rFonts w:cs="Arial"/>
                <w:b w:val="0"/>
                <w:lang w:eastAsia="en-NZ"/>
              </w:rPr>
              <w:t>Documentation sighted on the complaints register showed that complainants had been informed of findings following investigation. The process works equitably for residents identifying as Māori.  The Code is available in te reo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the admission information provided and time is provided for discussion of these with staff. The Code is displayed in the reception area and outside the two nurses’ stations in English, te reo Māori and sign language. This also includes information on advocacy services. Complaint/compliment forms were available at reception with a box to post them in at reception. Each nurse station has a ‘minor concerns’ book were staff note concerns, such as maintenance issues, and these were observed to be signed off as actioned by the care home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including younger people with lifelong disabilities (YPD), confirmed that they receive services in a manner that has regard for their dignity, privacy, sexuality, spirituality and choices. Staff were observed to maintain privacy throughout the audit. All residents have a private room. Residents are encouraged to maintain their independence by attending community activities, arranging their own visits to the doctor, and participation in clubs of their choosing. The YPD are mainly independent in socialising outside the facility (refer 1.3.7.1).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(9 November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Māori residents and their whānau interviewed reported that staff acknowledge and respect their individual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Staff are educated as part of the mandatory education provided on cultural safety and cultural appropriateness (19 November 2021). Cultural activities are included in the activities programme to celebrate the cultures represented at the facility. Church services are available to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(RNs)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wound care specialist, and education of staff.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was supported by policies and procedures that meet the requirements of the Code. Staff knew how to access interpreter services, although reported this was rarely required due to the use of family members and communication cards for those with communication difficulties. The YPD were able to express their needs and preferences (refer1.3.7.1.)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governing body assumes accountability for delivering a high-quality service through:</w:t>
            </w:r>
          </w:p>
          <w:p w:rsidR="00EB7645" w:rsidRPr="00BE00C7" w:rsidP="00BE00C7">
            <w:pPr>
              <w:pStyle w:val="OutcomeDescription"/>
              <w:spacing w:before="120" w:after="120"/>
              <w:rPr>
                <w:rFonts w:cs="Arial"/>
                <w:b w:val="0"/>
                <w:lang w:eastAsia="en-NZ"/>
              </w:rPr>
            </w:pPr>
            <w:r w:rsidRPr="00BE00C7">
              <w:rPr>
                <w:rFonts w:cs="Arial"/>
                <w:b w:val="0"/>
                <w:lang w:eastAsia="en-NZ"/>
              </w:rPr>
              <w:t>•</w:t>
              <w:tab/>
              <w:t>defining a governance and leadership structure, including for clinical governance, that is appropriate to the size and complexity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w:t>
              <w:tab/>
              <w:t>appointing an experienced and suitably qualified person to manage the service</w:t>
            </w:r>
          </w:p>
          <w:p w:rsidR="00EB7645" w:rsidRPr="00BE00C7" w:rsidP="00BE00C7">
            <w:pPr>
              <w:pStyle w:val="OutcomeDescription"/>
              <w:spacing w:before="120" w:after="120"/>
              <w:rPr>
                <w:rFonts w:cs="Arial"/>
                <w:b w:val="0"/>
                <w:lang w:eastAsia="en-NZ"/>
              </w:rPr>
            </w:pPr>
            <w:r w:rsidRPr="00BE00C7">
              <w:rPr>
                <w:rFonts w:cs="Arial"/>
                <w:b w:val="0"/>
                <w:lang w:eastAsia="en-NZ"/>
              </w:rPr>
              <w:t>•</w:t>
              <w:tab/>
              <w:t>identifying the purpose, values, direction, scope and goals for the organisation, and monitoring and reviewing performance at planned intervals</w:t>
            </w:r>
          </w:p>
          <w:p w:rsidR="00EB7645" w:rsidRPr="00BE00C7" w:rsidP="00BE00C7">
            <w:pPr>
              <w:pStyle w:val="OutcomeDescription"/>
              <w:spacing w:before="120" w:after="120"/>
              <w:rPr>
                <w:rFonts w:cs="Arial"/>
                <w:b w:val="0"/>
                <w:lang w:eastAsia="en-NZ"/>
              </w:rPr>
            </w:pPr>
            <w:r w:rsidRPr="00BE00C7">
              <w:rPr>
                <w:rFonts w:cs="Arial"/>
                <w:b w:val="0"/>
                <w:lang w:eastAsia="en-NZ"/>
              </w:rPr>
              <w:t>•</w:t>
              <w:tab/>
              <w:t>demonstrating leadership and commitment to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being focused on improving outcomes for Māori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confirmed knowledge of the sector, regulatory and reporting requirements and maintains currency within the field. The service holds contracts with the Accident Compensation Corporation (ACC), District Health Board (DHB), Ministry of Health (MoH) for YPD, respite care, complex medical conditions and palliative care.  Eighty-two residents were receiving services at the time of audit; 37 residents were receiving hospital level care, including seven YPD, and 45 were in the rest home. The organisation’s philosophy reflected a person centred and maximum compatibility approach between residents for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care home manager is absent, the regional quality manager carries out all the required duties under delegated authority. Support is provided by the operations manager, and the clinician with quality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It has executive commitment and includes management of incidents and complaints, audit activities, a regular resident satisfaction survey, monitoring of outcomes, and clinical incidents, including infections and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whānau and staff contribute to quality improvement through meetings. The recent satisfaction survey of residents, including (YPD), was benchmarked with a good result. A corrective action plan was created to ensure outcomes were followed up. For example, a request for more interesting activities was discussed at the December residents’ meeting.  </w:t>
            </w:r>
          </w:p>
          <w:p w:rsidR="00EB7645" w:rsidRPr="00BE00C7" w:rsidP="00BE00C7">
            <w:pPr>
              <w:pStyle w:val="OutcomeDescription"/>
              <w:spacing w:before="120" w:after="120"/>
              <w:rPr>
                <w:rFonts w:cs="Arial"/>
                <w:b w:val="0"/>
                <w:lang w:eastAsia="en-NZ"/>
              </w:rPr>
            </w:pPr>
            <w:r w:rsidRPr="00BE00C7">
              <w:rPr>
                <w:rFonts w:cs="Arial"/>
                <w:b w:val="0"/>
                <w:lang w:eastAsia="en-NZ"/>
              </w:rPr>
              <w:t>The document control system is managed by the national office. The service has not ensured all policies and procedures are current. The service was not able to provide an employment policy. Policies around laundry bag usage and cleaning of hoist slings were not evidenced.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described two areas where quality improvements have been made and these were sighted.  Progress against quality outcomes is evaluated. Relevant corrective actions are developed and implemented to address any shortfalls.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the national quality and risk manager described the processes for the identification, documentation, monitoring, review and reporting of risks, including health and safety risks, and development of mitigation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in line with the National Adverse Event Reporting Policy. A sample of incidents forms reviewed showed these were fully completed, incidents were investigated, action plans developed and actions followed-up in a timely manner and signed off by the care home manager.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understood essential notification reporting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nine staff files were reviewed. Position descriptions were sighted. Five of eight registered nurses hold a current interRAI assessment certificate. Three of three registered nurses have a current annual practising certificate. Annual practising certificates were sighted for the physiotherapist, pharmacist, dietitian, and all were within the expiry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reported the recruitment process includes referee checks, police vetting and validation of qualifications and annual practising certificates (APCs),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New care staff are buddied with an experienced staff member for up to one week.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reviewed and discussed at regular intervals.  The care home manager uses a checklist to ensure employment practices are met. The checklist was sighted. New employee documents are forwarded to the national support office for processing. The care home manager reported that all documents must be processed before an employee begins their employment.</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There is a documented and implemented system to ensure competency assessments are completed and this supports equitable service delivery.  Where training has not been completed, additional training sessions are held for staff to complete requirements. Care staff have either completed or commenced a New Zealand Qualification Authority (NZQA) education programme to meet the requirements of the provider’s agreement with the DHB.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and implemented process, ‘Safe Rostering tool’, is used for determining staffing levels and skill mixes to provide culturally and clinically safe care, 24 hours a day, seven days a week (24/7). </w:t>
            </w:r>
          </w:p>
          <w:p w:rsidR="00EB7645" w:rsidRPr="00BE00C7" w:rsidP="00BE00C7">
            <w:pPr>
              <w:pStyle w:val="OutcomeDescription"/>
              <w:spacing w:before="120" w:after="120"/>
              <w:rPr>
                <w:rFonts w:cs="Arial"/>
                <w:b w:val="0"/>
                <w:lang w:eastAsia="en-NZ"/>
              </w:rPr>
            </w:pPr>
            <w:r w:rsidRPr="00BE00C7">
              <w:rPr>
                <w:rFonts w:cs="Arial"/>
                <w:b w:val="0"/>
                <w:lang w:eastAsia="en-NZ"/>
              </w:rPr>
              <w:t>The facility adjusts staffing levels to meet the changing needs of residents.  Care staff reported there were adequate staff to complete the work allocated to them.  Residents and whānau interviewed supported this. At least one staff member on duty has a current first aid certificate and there is 24/7 RN coverage in the facility. Observations and review of a six-week roster cycle confirmed adequate staff cover has been provided, with staff replaced in any unplanned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integrated and legible and met current documentation standards. This includes interRAI assessment information entered into the Momentum electronic database. George Manning Lifecare uses an electronic system for residents’ files. GP and allied health service providers have access to document in the files. Each staff member has a unique password to maintain privacy and only have access to information pertinent to their scope of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securely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Relevant NASC assessments and authorisations for YPD were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and/or their families are encouraged to visit the facility prior to admission and are provided with written information about the service and the admission process. Family members and residents interviewed stated they were satisfied with the admission process and the information that had been made available to them on admission and that opportunity was provided for discussion with staff.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and at the time of transition between services, appropriate information is provided for the ongoing management of the resident using the aged residential care transfer form. There is open communication between all services, the resident and the family/whānau. All referrals are documented in the progress notes. Family communication during a transfer of relative was documented in a file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 and understood their roles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from a contracted pharmacy. Medication reconciliation occurs.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stored safely, including controlled drugs. The required stock checks have been completed. Medicines were stored were within the recommended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meet requirements. The required three-monthly GP review was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were administering their own medication. Appropriate assessments, documentation and review by the GP was in place. The residents keep their medicines in a drawer out of sight, but these are not lockable, resulting in a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Residents, including Māori residents and their whānau, are supported to understand their medications.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three cooks and kitchen team and was in line with recognised nutritional guidelines for older people. The menu follows summer and winter patterns and has been reviewed by a qualified dietitian within the last two years (3 December 2020). No recommendations were made at that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for high risk items, are monitored appropriately and recorded as part of the plan. The service operates with an approved food safety plan and registration issued by Christchurch City Council - current until 4 September 2022. All kitchen staff have attended in-service training (2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and in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and nutritional screening,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(refer 1.3.3.3 above)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the majority of care plans reviewed (refer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at handover.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that care provided to residents was consistent with their needs, goals and the plan of care. The attention to meeting a diverse range of resident’s individualised needs was evident in all areas of service provision. The GP was interviewed and verified that medical input is sought in a timely manner, that medical orders are followed, and care is of a high standard.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levels of care provided and in accordance with the residents’ needs. The YPD had their own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(DT) holding the national Certificate in Diversional Therapy. 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by observing resident engagement and as part of the formal six monthly care plan review. Activities reflected residents’ goals, ordinary patterns of life and included normal community activities. Individual, group activities and regular events are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are involved in evaluating and improving the programme through monthly residents’ meetings with each resident receiving a copy of the meeting minutes. Residents interviewed confirmed they find the programme varied and interesting and were observed to be actively engaged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are seven younger residents in the facility. In the past, activities and meetings were scheduled with poor attendance, so they were discontinued. They sort out their own activities and outings and were happy doing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using a ‘stop and watch’ tool.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and updated as observed in the case of a chronic wound.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Residents may choose to use the ‘house doctor’ or another medical practitioner. If the need for other non-urgent services are indicated or requested, the GP or RN sends a referral to seek specialist input. Copies of referrals were sighted in residents’ files for the wound nurse specialist. The resident and the family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on the 1st of January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as required. Tagging and records were 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meets the needs of residents and was clean and well maintained. Furniture is appropriate to the setting and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accessible, safe and provided shade and seating, and meet the needs of people with disabilities. The maintenance personnel described the maintenance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provide single accommodation and were personalised with furnishings, photos and other personal items displayed. There is room to store mobility aids, wheelchairs and mobility scooters.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included the ‘voice of a resident’ who identified as Māori during the planning of the rebuild of the west wing following the Christchurch earthquake.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their own en-suite. There are adequate numbers of accessible bathroom and toilet facilities throughout the facility for visitors and staff. Appropriately secured and approved handrails are provided in the toilet/shower areas, and other equipment and accessories are available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hot water reading in three rooms exceeded 45°degrees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Residents and whanau reported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Four dining rooms and two lounge areas are spacious and enable easy access for residents and staff.  Residents and whanau reported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by dedicated laundry staff who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undertake the New Zealand Qualifications Authority Certificate in Cleaning (Level 2), as confirmed in interview of cleaning staff and review of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Chemicals were stored in a lockable cupboard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Policies were not evidenced for either the use of laundry bags or for the cleaning of hoists, although staff were able to explain the process. (refer 1.2.3.4).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Staff files evidenced staff are trained in emergency procedures, use of emergency equipment and supplies and attend regular fire drills. Staff files evidenced registered nurses have a current first aid certificate. At least one staff member on duty has a current first aid certificate. The orientation programme includes fire and security training. Fire extinguishers, alarms, fire action plans, call boxes, floor plans with exits, hose reels, and sprinklers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12 December 2018. A trial evacuation takes place six-monthly with a copy sent to the New Zealand Fire Service, the most recent being on the 19th of October 2021.</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blankets, mobile phones, torches, medical supplies and water were sighted and meet the requirements for the residents. Food is kept in the kitchen. Gas is supplied to the kitchen for cooking. A water storage tank is on site. Residents are informed of the emergency and security arrangements on admission to the service and again at residents’ meetings. The service signed a memorandum of understanding with the neighbouring school on 17 September 2021, giving the service access to use the hall for emergency accommodation.</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Windows have security stays. Doors and windows are locked at 6pm and a security company checks the premises each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by individually controlled radiators in residents’ rooms and in the communal areas. Areas were warm and well ventilated throughout the audit and residents and families confirmed the facilities are maintained at a comfortable temperature. Residents were happy with the environment, including heating and ventilation, privacy and maintenance.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the role is overseen by the clinical services manager (CSM). Infection control matters, including surveillance results, are reported monthly to the care home manager, and tabled at the quality/risk meeting. </w:t>
            </w:r>
          </w:p>
          <w:p w:rsidR="00EB7645" w:rsidRPr="00BE00C7" w:rsidP="00BE00C7">
            <w:pPr>
              <w:pStyle w:val="OutcomeDescription"/>
              <w:spacing w:before="120" w:after="120"/>
              <w:rPr>
                <w:rFonts w:cs="Arial"/>
                <w:b w:val="0"/>
                <w:lang w:eastAsia="en-NZ"/>
              </w:rPr>
            </w:pPr>
            <w:r w:rsidRPr="00BE00C7">
              <w:rPr>
                <w:rFonts w:cs="Arial"/>
                <w:b w:val="0"/>
                <w:lang w:eastAsia="en-NZ"/>
              </w:rPr>
              <w:t>QR codes are available at the main entrance, as is sign in declarations and temperature scanning equipment.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has appropriate skills, knowledge and qualifications for the role, and has only been in this role a short time. They are supported by the CSM. Additional support and information are accessed from the infection control team at the DHB, the community laboratory, the GP and public health unit,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coordinator has access to residents’ records and diagnostic results to ensure timely treatment and resolution of any infections. 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2021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washing and sanitiser dispensers were readily available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outbreak or an increase in infection incidence has occurred, there was evidence that additional staff education has been provided in response. An example of this occurred during a gastrointestinal event and a Covid-19 outbreak. Both events were clearly documented, and appropriate documentation was sighted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reminders about handwashing and advice about remaining in their room if they are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and scabies.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reviews all reported infections and these are documented.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services manager and reported at the quality meeting. Data is benchmarked within the group and externally with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Summary reports for a recent gastrointestinal infection outbreak and Covid-19 outbreak were reviewed and demonstrated a thorough process for investigation and follow up. Learnings from the events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Maintaining a restraint free environment is the aim of the service. The business plan demonstrated commitment to this.  Monthly reports are forwarded and discussed at the quality meeting. Minutes from that meeting are forwarded to the national quality and risk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 is used, this is as a last resort when all alternatives have been explored. At the time of audit, one resident was using a restraint. </w:t>
            </w:r>
          </w:p>
          <w:p w:rsidR="00EB7645" w:rsidRPr="00BE00C7" w:rsidP="00BE00C7">
            <w:pPr>
              <w:pStyle w:val="OutcomeDescription"/>
              <w:spacing w:before="120" w:after="120"/>
              <w:rPr>
                <w:rFonts w:cs="Arial"/>
                <w:b w:val="0"/>
                <w:lang w:eastAsia="en-NZ"/>
              </w:rPr>
            </w:pPr>
            <w:r w:rsidRPr="00BE00C7">
              <w:rPr>
                <w:rFonts w:cs="Arial"/>
                <w:b w:val="0"/>
                <w:lang w:eastAsia="en-NZ"/>
              </w:rPr>
              <w:t>One resident had requested and consented to using an enabler in the form a bed rail and was able to lower it without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reported she is the restraint coordinator. The position description was sighted. There are clear lines of accountability.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and records confirmed attendance at de-escalation and safe restraint minimisation and safe practice training. Annual competency records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for the use of restraint were documented and included all requirements of the Standard. The restraint co-ordinator explained the process. The enduring power of attorney (EPOA) was involved in decision making, as was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including the clinical nurse manager, are responsible for the approval of the use of restraints and the restraint processes. The use of restraint is being monitored hourly, documented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and reviewed at each restraint approval group meeting. The register contained enough information to provide an auditable record. There have been no episodes of emergency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explained the requirements of the evaluation of restraint process. Evidence was sighted and included all requirements of the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group undertook a review of all restraint use between September 2019 and December 2021. The review did not include the review of the policy and procedures. The outcome of the review is reported to the governance body. The use of restraint has been reduced by eight following the review. The use of alternative solutions, such as sensor mats, high-low beds and mattresses, have been introduced.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51"/>
        <w:gridCol w:w="1280"/>
        <w:gridCol w:w="3417"/>
        <w:gridCol w:w="2098"/>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Forty percent (40%) of the policies and procedures were out of date. The provider was aware of this. The care home manager and the national quality and risk manager reported that the reviewed policies and procedures were due to be released the day after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Forty percent (40%) of policies and procedures were not current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policies and procedures are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was not able to provide an employment policy. Policy was available for laundry practices but despite the presence of different coloured laundry bags there was no guidance on what colour laundry bag was used for what product (for example, separate coloured bags for personal laundry and kitchen laundry). Cleaning policy has no reference to the cleaning of reusable equipment (for example, sling hoists).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not developed and implemented an employment policy. Policies around laundry practices need specific guidance on the use of different coloured laundry bags for different laundry products. Policies on cleaning need to include the process for cleaning of reusable equipment (for example, hoist slings).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an employment policy has been developed and implemented in accordance with good employment practice to meet the requirements of legislation. </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of policies in relation to laundry bag usage and cleaning of reusable equipment (for example, hoist slings).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administer their own medications are appropriately assessed and reviewed as competent to do so by a registered nurse and GP on a regular basis, as confirmed in files reviewed. Interviewing the residents confirmed they were competent and understood their responsibilities, but do not keep medicines secure at all times as no locked receptacle has been provided by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who administer their own medications do not have a secure place to store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locked receptacle is provided for storage of medicines.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residents needs and interventions were carried out appropriately according to the plan of care. Three out of ten files reviewed showed that initial long term care plans, dating back to admission in 2019, were developed before interRAI assessments were completed so information obtained from interRAI assessments were not used to inform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completed, however, they are completed after the LTCP is written, which is not consistent with contractual requirements around development of individual care and support plans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completed before the long term care plans are developed.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Younger residents spoken to are happy to independently access community events (such as shopping/movies/outings) and are assisted in this by family and friends. Previously there was a programme, however low attendance resulted in cancellation, leaving these residents without a formal programme or the opportunity to have input into one.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younger residents do not have a programme provided that caters for their interests and abilities.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younger residents have the opportunity to attend planned activities that are age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random sample on the day of the audit showed the hot water in three residents’ rooms exceeded 45°C degrees. The water was 52.6°C degrees. The hot water readings in some residents’ rooms exceeded 45°C degrees at a recent audit. A contractor advised a tempering value needed to be replaced. The work was to be completed as soon as possible. The care home manager reported that signs warning people that the hot water exceeded the recommended standard is put in all rooms. This includes staff and visitor bathrooms.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hot water reading in three rooms exceeded 45°C degrees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hot water in all residents’ rooms does not exceed the required 45°C degrees.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group undertook a review of all restraint use between September 2019 and December 2021. The review did not incorporate the review of the policy and procedures. The policy was out of date however it did meet the requirements of the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provider has not conducted a comprehensive review at least six-monthly of all restraint practices used by the service in line with the specific standard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comprehensive review at least six-monthly of all restraint practices used by the service in line with the specific standard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George Manning Lifecare</w:t>
    </w:r>
    <w:bookmarkEnd w:id="58"/>
    <w:r>
      <w:rPr>
        <w:rFonts w:cs="Arial"/>
        <w:sz w:val="16"/>
        <w:szCs w:val="20"/>
      </w:rPr>
      <w:tab/>
      <w:t xml:space="preserve">Date of Audit: </w:t>
    </w:r>
    <w:bookmarkStart w:id="59" w:name="AuditStartDate1"/>
    <w:r>
      <w:rPr>
        <w:rFonts w:cs="Arial"/>
        <w:sz w:val="16"/>
        <w:szCs w:val="20"/>
      </w:rPr>
      <w:t>14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