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Mateus Enterprises Limited - Seaview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Mateus Enterprises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Seaview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December 2021</w:t>
      </w:r>
      <w:bookmarkEnd w:id="7"/>
      <w:r w:rsidRPr="009418D4">
        <w:rPr>
          <w:rFonts w:cs="Arial"/>
        </w:rPr>
        <w:tab/>
        <w:t xml:space="preserve">End date: </w:t>
      </w:r>
      <w:bookmarkStart w:id="8" w:name="AuditEndDate"/>
      <w:r w:rsidR="00A4268A">
        <w:rPr>
          <w:rFonts w:cs="Arial"/>
        </w:rPr>
        <w:t>15 December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Mateus Enterprises Ltd, trading as Seaview Home, provides rest home level care for up to 28 residents. Short stay /respite and day programme attendance can also be provided subject to bed availability. Day to day operations is provided by a facility manager who is also the clinical manager and an operations manager. Governance is provided by two directors who are often on site. The only significant change to the service since the previous audit in 2018 was the appointment of a new facility manager/ clinical manager in 2020. </w:t>
      </w:r>
    </w:p>
    <w:p w:rsidRPr="00A4268A">
      <w:pPr>
        <w:spacing w:before="240" w:line="276" w:lineRule="auto"/>
        <w:rPr>
          <w:rFonts w:eastAsia="Calibri"/>
        </w:rPr>
      </w:pPr>
      <w:r w:rsidRPr="00A4268A">
        <w:rPr>
          <w:rFonts w:eastAsia="Calibri"/>
        </w:rPr>
        <w:t>This re-certification audit was conducted against the Health and Disability Services Standards and the service’s contract with the Nelson Marlborough district health board (DHB). The audit process included a pre audit review of policies and procedures, review of residents’ and staff files, observations and interviews with residents, family members, one of the directors, staff, and a general practitioner (GP). The GP, residents and families spoke positively about the care provided.</w:t>
      </w:r>
    </w:p>
    <w:p w:rsidRPr="00A4268A">
      <w:pPr>
        <w:spacing w:before="240" w:line="276" w:lineRule="auto"/>
        <w:rPr>
          <w:rFonts w:eastAsia="Calibri"/>
        </w:rPr>
      </w:pPr>
      <w:r w:rsidRPr="00A4268A">
        <w:rPr>
          <w:rFonts w:eastAsia="Calibri"/>
        </w:rPr>
        <w:t xml:space="preserve">There were no areas identified from this audit which required improvement.  The three non-compliances that resulted from the most recent  (2018)  audit have been resolved.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Information regarding the Health and Disability Commissioners’ Code of Health and Disability Consumers’ Rights (the Code) and the Health and Disability Advocacy Service is made available to residents and their families on admission and is also accessible in the facility.</w:t>
      </w:r>
    </w:p>
    <w:p w:rsidRPr="00A4268A">
      <w:pPr>
        <w:spacing w:before="240" w:line="276" w:lineRule="auto"/>
        <w:rPr>
          <w:rFonts w:eastAsia="Calibri"/>
        </w:rPr>
      </w:pPr>
      <w:r w:rsidRPr="00A4268A">
        <w:rPr>
          <w:rFonts w:eastAsia="Calibri"/>
        </w:rPr>
        <w:t xml:space="preserve">Staff, residents and family interviews demonstrated an understanding of residents' rights. Staff were observed to uphold residents’ rights during service delivery. </w:t>
      </w:r>
    </w:p>
    <w:p w:rsidRPr="00A4268A">
      <w:pPr>
        <w:spacing w:before="240" w:line="276" w:lineRule="auto"/>
        <w:rPr>
          <w:rFonts w:eastAsia="Calibri"/>
        </w:rPr>
      </w:pPr>
      <w:r w:rsidRPr="00A4268A">
        <w:rPr>
          <w:rFonts w:eastAsia="Calibri"/>
        </w:rPr>
        <w:t xml:space="preserve">Residents have their needs met in a manner that respects their cultural values and beliefs, including residents who identify themselves as Māori. Informed consent is practised, and written consent is obtained when required. </w:t>
      </w:r>
    </w:p>
    <w:p w:rsidRPr="00A4268A">
      <w:pPr>
        <w:spacing w:before="240" w:line="276" w:lineRule="auto"/>
        <w:rPr>
          <w:rFonts w:eastAsia="Calibri"/>
        </w:rPr>
      </w:pPr>
      <w:r w:rsidRPr="00A4268A">
        <w:rPr>
          <w:rFonts w:eastAsia="Calibri"/>
        </w:rPr>
        <w:t>Services are provided that respect the independence, personal privacy, individual needs, and dignity of residents. Residents are treated in a professional and respectful manner. Policies are in place to ensure residents are free from discrimination, abuse and neglect. Interviews confirmed that the environment is conducive to communication and that staff are respectful of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An annual strategic plan describes the scope, direction, goals, values and mission statement of the organisation. The directors and a small senior management team are monitoring all aspects of the services provided. The facility manager/clinical manager was appointed to the role in 2020. This person has been working at the home as a registered nurse for four years and is suitably qualified to manage an aged care service.  </w:t>
      </w:r>
    </w:p>
    <w:p w:rsidRPr="00A4268A">
      <w:pPr>
        <w:spacing w:before="240" w:line="276" w:lineRule="auto"/>
        <w:rPr>
          <w:rFonts w:eastAsia="Calibri"/>
        </w:rPr>
      </w:pPr>
      <w:r w:rsidRPr="00A4268A">
        <w:rPr>
          <w:rFonts w:eastAsia="Calibri"/>
        </w:rPr>
        <w:t xml:space="preserve">The quality and risk management system collects quality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Policies were current and are reviewed and updated as needed at regular intervals. </w:t>
      </w:r>
    </w:p>
    <w:p w:rsidRPr="00A4268A">
      <w:pPr>
        <w:spacing w:before="240" w:line="276" w:lineRule="auto"/>
        <w:rPr>
          <w:rFonts w:eastAsia="Calibri"/>
        </w:rPr>
      </w:pPr>
      <w:r w:rsidRPr="00A4268A">
        <w:rPr>
          <w:rFonts w:eastAsia="Calibri"/>
        </w:rPr>
        <w:t xml:space="preserve">The appointment, orientation and management of staff is based on good employment practices. A systematic approach to identify and deliver ongoing education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Residents’ information is accurately recorded, securely stored and not accessible to unauthorised people.  Resident records are intergrated.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are assessed on their admission to the facility. The initial assessment / care plan guides care and service provision during the first three weeks after the resident’s admission.</w:t>
      </w:r>
    </w:p>
    <w:p w:rsidRPr="00A4268A" w:rsidP="00621629">
      <w:pPr>
        <w:spacing w:before="240" w:line="276" w:lineRule="auto"/>
        <w:rPr>
          <w:rFonts w:eastAsia="Calibri"/>
        </w:rPr>
      </w:pPr>
      <w:r w:rsidRPr="00A4268A">
        <w:rPr>
          <w:rFonts w:eastAsia="Calibri"/>
        </w:rPr>
        <w:t>The interRAI assessments identify residents’ needs and these are completed within the required timeframes, as are the long term care plans. The general practitioner (GP) completes an initial medical assessment and medical reassessment occur thereafter on a regular basis.</w:t>
      </w:r>
    </w:p>
    <w:p w:rsidRPr="00A4268A" w:rsidP="00621629">
      <w:pPr>
        <w:spacing w:before="240" w:line="276" w:lineRule="auto"/>
        <w:rPr>
          <w:rFonts w:eastAsia="Calibri"/>
        </w:rPr>
      </w:pPr>
      <w:r w:rsidRPr="00A4268A">
        <w:rPr>
          <w:rFonts w:eastAsia="Calibri"/>
        </w:rPr>
        <w:t>Long term care plans demonstrate evaluations are completed at least six-monthly. Residents and their relatives are notified regarding any changes in a resident’s health status. Handovers between shifts guide continuity of care and teamwork is encouraged.</w:t>
      </w:r>
    </w:p>
    <w:p w:rsidRPr="00A4268A" w:rsidP="00621629">
      <w:pPr>
        <w:spacing w:before="240" w:line="276" w:lineRule="auto"/>
        <w:rPr>
          <w:rFonts w:eastAsia="Calibri"/>
        </w:rPr>
      </w:pPr>
      <w:r w:rsidRPr="00A4268A">
        <w:rPr>
          <w:rFonts w:eastAsia="Calibri"/>
        </w:rPr>
        <w:t>The activity programme is managed by an activities coordinator. The programme provides residents with a variety of individual and group activities and maintains their links with the community.</w:t>
      </w:r>
    </w:p>
    <w:p w:rsidRPr="00A4268A" w:rsidP="00621629">
      <w:pPr>
        <w:spacing w:before="240" w:line="276" w:lineRule="auto"/>
        <w:rPr>
          <w:rFonts w:eastAsia="Calibri"/>
        </w:rPr>
      </w:pPr>
      <w:r w:rsidRPr="00A4268A">
        <w:rPr>
          <w:rFonts w:eastAsia="Calibri"/>
        </w:rPr>
        <w:t>An electronic medication management system is in place. Medications are administered by registered nurses and care staff who have completed current medication competency requirements.</w:t>
      </w:r>
    </w:p>
    <w:p w:rsidRPr="00A4268A" w:rsidP="00621629">
      <w:pPr>
        <w:spacing w:before="240" w:line="276" w:lineRule="auto"/>
        <w:rPr>
          <w:rFonts w:eastAsia="Calibri"/>
        </w:rPr>
      </w:pPr>
      <w:r w:rsidRPr="00A4268A">
        <w:rPr>
          <w:rFonts w:eastAsia="Calibri"/>
        </w:rPr>
        <w:t>The food service meets the nutritional needs of the residents. All meals are prepared on-site.. Residents and family confirmed satisfaction with meals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is well maintained and all furniture is in good condition and meets the needs of the resident group. Electrical and medical equipment is tested and calibrated as required. External areas are accessible and safe for residents’ use. There is a current building warrant of fitness.</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Care staff carry out cleaning and laundry duties. The effectiveness of cleaning and laundry is regularly evaluated.</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Communal and individual spaces are maintained at a comfortable temperature.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Seaview Home has a philosophy and practice of no restraint. There were no restraints in use. On the days of audit there was one enabler in place to assist the resident to sit up in bed. This had been requested and consented to by the resident using it. Policies and procedures meet the requirements if a restraint is required and staff education is ongoing.</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is appropriate to the size and complexity of the service. The infection control nurse is the facility manager/ clinical manager. Infection data is collated, analysed, and trended. Monthly surveillance data is reported to staff. The facility has up to date information and policies relating to Covid-19 processes and these were observed during this on-site audit.There has been no outbreaks at the facility since the previous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65"/>
        <w:gridCol w:w="1280"/>
        <w:gridCol w:w="88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Seaview Rest Home has documented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of residents.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on the Code is included as part of the staff orientation process and in ongoing training for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family are provided with information about the services the rest home provides. Staff interviewed discussed the principles of informed consent, and methods used to determine that the resident has understood the information provided. Residents and relatives interviewed confirmed they were provided information that contributed to making informed decisions.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clinical records sampled, signed consent forms included, but was not limited to: consent for photographs; outings; storage of health records and permission to share health information. A signed admission agreement was held for all residents. </w:t>
            </w:r>
          </w:p>
          <w:p w:rsidR="00EB7645" w:rsidRPr="00BE00C7" w:rsidP="00BE00C7">
            <w:pPr>
              <w:pStyle w:val="OutcomeDescription"/>
              <w:spacing w:before="120" w:after="120"/>
              <w:rPr>
                <w:rFonts w:cs="Arial"/>
                <w:b w:val="0"/>
                <w:lang w:eastAsia="en-NZ"/>
              </w:rPr>
            </w:pPr>
            <w:r w:rsidRPr="00BE00C7">
              <w:rPr>
                <w:rFonts w:cs="Arial"/>
                <w:b w:val="0"/>
                <w:lang w:eastAsia="en-NZ"/>
              </w:rPr>
              <w:t>Signed and appropriately recorded resuscitation status forms and advanced directives were sighted in the residents’ clinical files sampled. Clinical staff interviews confirmed their understanding and the facility’s process around not for resuscitation status and advanced directives.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evidence residents and family members have been provided with information relating to their right to have an advocate/ support person of their choice. Residents and family interviewed confirmed staff and management provide them with information and choices to have support persons present when they wish.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there was open visiting at the facility, prior to Covid-19 restrictions. Currently visiting is monitored under the Covid-19 guidelines. Visitors were observed coming and going during the on-site audit, in accordance with the Covid-19 protection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service encourages the residents to maintain relationships with their family, friends and community groups by encouraging their attendance at functions and events. The service provides assistance to ensure that the residents are able to participate in these as much as they wish and can do so safely.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said they felt comfortable and would not hesitate to raise a concern if they had one.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Facility manager interview and complaint register revealed there have been no formal or informal complaints received since 2017.  Results of an internal audit regarding complaints showed that a sample of residents and families understood the complaints process. Those interviewed during the audit confirmed the same and said they would have no hesitation in approaching any staff member or the directors if they had concerns.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manager/clinical manager is responsible for complaints management and follow up. All staff interviewed confirmed a sound understanding of the complaint process and what actions are required. There have been no complaints to the Office of the Health and Disability Commissioner (HDC) nor any requests for advocacy services to provide support in this certification period.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are provided with a copy of the Code and the Nationwide Health and Disability Advocacy Service, as part of the admission information and discussion with staff on admission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Code is displayed throughout the facility together with information on advocacy services, how to make a complaint and feedback forms.  Residents and family interviewed stated they would feel comfortable raising issues with staff and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involvement with community activities when this is possible in the Covid-19 environment.  Residents’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clinical records sampled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was confirmed to occur during orientation and ongoing.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Māori health plan that guides staff in meeting the needs of the residents who identify as Māori. Any additional cultural support, if required would be accessed locally. This was confirmed during interviews with management and review of the documentation and residents’ clinical records.  </w:t>
            </w:r>
          </w:p>
          <w:p w:rsidR="00EB7645" w:rsidRPr="00BE00C7" w:rsidP="00BE00C7">
            <w:pPr>
              <w:pStyle w:val="OutcomeDescription"/>
              <w:spacing w:before="120" w:after="120"/>
              <w:rPr>
                <w:rFonts w:cs="Arial"/>
                <w:b w:val="0"/>
                <w:lang w:eastAsia="en-NZ"/>
              </w:rPr>
            </w:pPr>
            <w:r w:rsidRPr="00BE00C7">
              <w:rPr>
                <w:rFonts w:cs="Arial"/>
                <w:b w:val="0"/>
                <w:lang w:eastAsia="en-NZ"/>
              </w:rPr>
              <w:t>There were two residents who identified as Māori at the facility on audit days. Māori residents’ clinical records evidenced acknowledgement of their individual cultural needs. Staff and management interviews confirmed they support residents in the service who identify as Māori to integrate their cultural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Seaview Rest Home recognises the cultural diversity of its residents, families, and staff. The facility’s policies and procedures reflect key relationships with churches and community groups.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personal needs and values were identified on admission and this information is gathered from previous interRAI assessments and residents, family and/or enduring power of attorney. All residents’ care plans sampled included the resident’s social, spiritual and cultural needs. Care staff were able to give examples of how they meet the individual needs of the residents they care for.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to protect residents from any form of discrimination, coercion, harassment, or exploitation. Relevant policies and procedures have been implemented. Staff orientation and in-service education provide ongoing awareness around prevention of any discrimination, coercion, and harassment.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and staff interviewed demonstrated a clear understanding of professional boundaries. Documented job descriptions describe the functions and limitations of each position. </w:t>
            </w:r>
          </w:p>
          <w:p w:rsidR="00EB7645" w:rsidRPr="00BE00C7" w:rsidP="00BE00C7">
            <w:pPr>
              <w:pStyle w:val="OutcomeDescription"/>
              <w:spacing w:before="120" w:after="120"/>
              <w:rPr>
                <w:rFonts w:cs="Arial"/>
                <w:b w:val="0"/>
                <w:lang w:eastAsia="en-NZ"/>
              </w:rPr>
            </w:pPr>
            <w:r w:rsidRPr="00BE00C7">
              <w:rPr>
                <w:rFonts w:cs="Arial"/>
                <w:b w:val="0"/>
                <w:lang w:eastAsia="en-NZ"/>
              </w:rPr>
              <w:t>Families interviewed acknowledged the openness of the service and stated that staff were all approachable and welcoming.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implements policies and procedures that comply with legislation and good practice guidelines.  Policies align with the Health and Disability Services Standards and ensure safe, current evidence-based practice.</w:t>
            </w:r>
          </w:p>
          <w:p w:rsidR="00EB7645" w:rsidRPr="00BE00C7" w:rsidP="00BE00C7">
            <w:pPr>
              <w:pStyle w:val="OutcomeDescription"/>
              <w:spacing w:before="120" w:after="120"/>
              <w:rPr>
                <w:rFonts w:cs="Arial"/>
                <w:b w:val="0"/>
                <w:lang w:eastAsia="en-NZ"/>
              </w:rPr>
            </w:pPr>
            <w:r w:rsidRPr="00BE00C7">
              <w:rPr>
                <w:rFonts w:cs="Arial"/>
                <w:b w:val="0"/>
                <w:lang w:eastAsia="en-NZ"/>
              </w:rPr>
              <w:t>Staff, management and resident interviews, residents’ clinical records and observation of service delivery confirmed that resident care was based on good practice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alert staff to their responsibility to notify family/enduring power of attorney of any accident/incident that occurs. Interviews with family members confirmed they are kept informed of their family members progress and any adverse events if they occur.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required the services of an interpreter. Staff and management interviews advised that interpreter services would be sourced through the district health board (DHB) if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 are informed prior to entry of the scope of services and any items they have to pay for that are not covered by the admission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provides newsletters to residents and family members. Resident/relative meetings are held six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Seaview Home has been owned and operated by the same directors for 25 years. Day to day operations are now being overseen by a full time facility manager (FM) who is also the clinical manager and an operations manager. The FM/clinical manager is a registered nurse (RN) with a current practicing certificate and has been employed at Seaview for close to five years. This person demonstrated knowledge of the sector, regulatory and reporting requirements and maintains currency through ongoing professional development in nursing and at least eight hours of education per annum as required in the agreement with the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fully described strategic plan which is reviewed annually. This outlines the purpose, values, scope, direction and goals of the organisation. The documents describe annual and longer-term objectives and the associated operational plans including the facilities response to Covid 19.  A sample of directors/management meeting minutes confirmed regular discussions and actions to monitor performance for example, occupancy, human resources (HR), service performance, and any emerging risks and issues. Interview with a director and the operations manager and documents reviewed verified effective methods for ensuring services are provided in ways to meet the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Nelson Marlborough DHB, for rest home level care and respite. There is also a young person with disability (YPD) contract for one person who is now over the age of 65 years. The facility has a maximum capacity of 28 beds, on the days of audit 26 beds were occupied. One resident was being cared for as respite/short term and all others were long term care.  The Needs Assessment and Service Coordination agency (NASC) had been advised that the needs and level of care required by one resident was likely to be hospital care. A request for dispensation for this person to stay at Seaview Home at the family’s request, has been submitted to the Ministry of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other full time registered nurse (RN) carries out all the required duties under delegated authority with the directors support, when the FM//clinical manager is absent. Staff reported this arrangement is seldom needed but works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Seaview Home has an established quality and risk management system for determining compliance and where improvement is needed. Service delivery monitoring includes collation and analysis of quality data such as incidents/accidents, complaints and infections, and the outcomes of internal audits.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Minutes of staff meetings including for example management group/quality/infection control and restraint, RN, staff, health and safety and resident meetings, evidenced regular reporting and review of data. Resident and family satisfaction surveys are completed annually. Feedback from residents was conducted by independent surveyors in June 2021. Participation by 22 residents showed 99.4% satisfaction.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Minutes from the directors/management meetings and monthly staff meetings reviewed, confirmed that service delivery information is reported and discussed. Staff reported their involvement in quality and risk management activities through adapting their practices and via internal audit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service shortfalls are identified (from feedback or internal audits) relevant corrective actions are decided and implemented. Corrective or preventative actions were also noted on incident forms. Evidence that these matters are clearly communicated back to staff was confirmed by staff interview who said they receive memos or verbally at handover or general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and procedure set cover all necessary aspects of the service and contractual requirements. Policies are based on best practice and were current. The document control system includes regular review of policies, citing references,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directors described their processes for the identification, monitoring, review and reporting of risks and development of mitigation strategies. A risk management plan 2021-2022 is in place. Actual and potential risks are identified and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operations manager has completed a level one health and safety certificate and is familiar with the Health and Safety at Work Act (2015) and its requirements. This person manages the hazard register, conducts environmental inspections, provides education and mentoring about safe lifting/manual handling and inducts all new staff to the health and safety systems in place. There have been no staff injuries requiring notification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accident/incident forms. A sample of forms from 2020-2021 were consistent in clearly describing and detailing the incident and recording who had been notified. Each unwitnessed fall event had attached records of post fall neurological observations.  The FM/clinical manager reviews all incidents, investigates where necessary and documents preventative actions which are followed-up. The FM/clinical manager demonstrated understanding about essential notification reporting requirements, including for pressure injuries.  Notifications to the Ministry of Health since the previous audit have been for the change in FM/clinical manager and request for dispensation for a hospital level care resident. There have been no significant events requiring notification, and no police or coroners investigations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management policies and processes are based on good employment practice and relevant legislation. The recruitment process includes referee checks, police vetting and validation of qualifications and practising certificates (APCs) where required. Copies of practising certificates for the registered health practitioners providing services at Seaview Home are on file. A sample of staff records sampled confirmed the organisation’s policies are being consistently implemented and records are maintained. Internal audits of personnel records ensure compliance with policy and employment legislation.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period and then annually.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and occurs each month. These include mandatory training requirements such as fire drills, first aid and medicines competency for those who administer medicines and other education to meet the requirements of the provider’s agreement with the DHB. A majority of carers have educational achievements related to care of older people. Of the eight care staff employed, four have achieved level four of the national certificate in health and wellness, two are at level three and two at level two. The staff records sampled demonstrated attendance at ongoing training and completion of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The two registered nurses are trained and maintaining their annual competency requirements to undertake interRAI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Observations and review of a two-week roster cycle confirmed more than adequate staff cover has been provided, with staff replaced in any unplanned absence.  All staff have a current first aid certificate. The director, managers and care staff interviewed stated that staffing levels are adjusted to meet the changing needs of residents.  There is an afterhours on call roster shared by the FM/clinical manger and the other RN, with staff reporting that good access to advice is available when needed.  Care staff reported there were adequate staff available to complete the work allocated to them.  The residents and family interviewed supported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clinical records are in hard copy and the medication charts are managed electronically. Residents’ information, including progress notes, are entered into the resident’s clinical records in an accurate and timely manner. The name and designation of the person making the entry is identifiable. Residents’ progress notes are completed every shift, detailing resident’s response to service provision. The clinical records are integrated, including information such as medical notes, assessment information and reports from other health professionals.</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to ensure the privacy and confidentiality of resident information. Staff interviews confirmed an awareness of their obligations to maintain the confidentiality of resident information. Resident care and support information can be accessed in a timely manner and is protected from unauthorised access. There is electronic password protection and any hard copy information is securely stored when not in use. Documentation containing sensitive resident information is not displayed in a way that could be viewed by other residents or members of the public.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Needs assessment and service coordination (NASC) assessments are completed for resident’s entry to the service. The service communicates with needs assessors and other appropriate agencies prior to the resident’s admission regarding the resident’s level of care requirements.</w:t>
            </w:r>
          </w:p>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provided to residents and their families prior to admission. Review of residents’ files confirmed entry to service processes are implemented, ensuring compliance with entry criteria.</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they were satisfied with the admission process which was completed in a timely manner. Records evidenced residents’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Transition, exit, discharge, or transfer is managed in a planned and coordinated manner.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management and review of residents’ files confirmed there is open communication between services, the resident, and the family/whānau. Relevant information is documented and communicated to health providers. A transfer form accompanies residents when they are moved to another service or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medication management policy identifies all aspects of medicine management in line with relevant legislation and guidelines. Medications are stored securely in accordance with requirements. Weekly checks of medications and six monthly stocktakes are conducted in line with policy and legislation</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using an electronic system was observed on the days of audit. Prescribing practices are in line with legislation, protocols, and guidelines. The required three-monthly reviews by the GP were completed. Resident allergies and sensitivities were documented on the electronic medication chart and in the residents’ clinical records.</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pharmacy pre-packed medicines that are checked by the registered nurse on delivery to the facility. The residents’ specific medications, such as short course medicines, sighted were within current use by dates. A system is in place for returning expired or unwanted medication to the contracted pharmacy. There are standing orders, such as Panadol and lactulose, used at the facility and these are reviewed and signed annually by the GP. The  manager/ clinical manager discussed the process of using standing orders and this was compliant with standards. The registered nurse oversees the use of all as required medicines. Documentation regarding the effectiveness of as required medications administered is recorded in the resident’s progress notes.</w:t>
            </w:r>
          </w:p>
          <w:p w:rsidR="00EB7645" w:rsidRPr="00BE00C7" w:rsidP="00BE00C7">
            <w:pPr>
              <w:pStyle w:val="OutcomeDescription"/>
              <w:spacing w:before="120" w:after="120"/>
              <w:rPr>
                <w:rFonts w:cs="Arial"/>
                <w:b w:val="0"/>
                <w:lang w:eastAsia="en-NZ"/>
              </w:rPr>
            </w:pPr>
            <w:r w:rsidRPr="00BE00C7">
              <w:rPr>
                <w:rFonts w:cs="Arial"/>
                <w:b w:val="0"/>
                <w:lang w:eastAsia="en-NZ"/>
              </w:rPr>
              <w:t>The electronic medication records sampled included the residents’ photo identification.</w:t>
            </w:r>
          </w:p>
          <w:p w:rsidR="00EB7645" w:rsidRPr="00BE00C7" w:rsidP="00BE00C7">
            <w:pPr>
              <w:pStyle w:val="OutcomeDescription"/>
              <w:spacing w:before="120" w:after="120"/>
              <w:rPr>
                <w:rFonts w:cs="Arial"/>
                <w:b w:val="0"/>
                <w:lang w:eastAsia="en-NZ"/>
              </w:rPr>
            </w:pPr>
            <w:r w:rsidRPr="00BE00C7">
              <w:rPr>
                <w:rFonts w:cs="Arial"/>
                <w:b w:val="0"/>
                <w:lang w:eastAsia="en-NZ"/>
              </w:rPr>
              <w:t>Review of the medication fridge evidenced that the service does not store or hold vaccines and interview with management confirmed this. The facility purchased a new medicine fridge on audit day and this was to be used and monitored for temperature as per medication guides. There were no medicines requiring refrigeration on audit days.</w:t>
            </w:r>
          </w:p>
          <w:p w:rsidR="00EB7645" w:rsidRPr="00BE00C7" w:rsidP="00BE00C7">
            <w:pPr>
              <w:pStyle w:val="OutcomeDescription"/>
              <w:spacing w:before="120" w:after="120"/>
              <w:rPr>
                <w:rFonts w:cs="Arial"/>
                <w:b w:val="0"/>
                <w:lang w:eastAsia="en-NZ"/>
              </w:rPr>
            </w:pPr>
            <w:r w:rsidRPr="00BE00C7">
              <w:rPr>
                <w:rFonts w:cs="Arial"/>
                <w:b w:val="0"/>
                <w:lang w:eastAsia="en-NZ"/>
              </w:rPr>
              <w:t>Current medication competencies were evident in staff files sampled. There were no residents self-administering medication on the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are prepared on site. The summer menu was in use on the days of audit. The menu has been reviewed by a dietitian. The rest home has a current food control plan. All kitchen staff have relevant food hygiene and infection control education.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identify the residents’ dietary requirements and preferences. The dietary profiles are communicated to the kitchen staff and updated when a resident’s dietary needs change. Diets are modified as needed and the kitchen manager confirmed awareness of the dietary needs, likes and dislikes of residents. These are accommodated in daily meal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seen to be given enough time to eat their meal and likes and dislikes were being accommodated. Residents and families stated that they were satisfied with the meals provided. </w:t>
            </w:r>
          </w:p>
          <w:p w:rsidR="00EB7645" w:rsidRPr="00BE00C7" w:rsidP="00BE00C7">
            <w:pPr>
              <w:pStyle w:val="OutcomeDescription"/>
              <w:spacing w:before="120" w:after="120"/>
              <w:rPr>
                <w:rFonts w:cs="Arial"/>
                <w:b w:val="0"/>
                <w:lang w:eastAsia="en-NZ"/>
              </w:rPr>
            </w:pPr>
            <w:r w:rsidRPr="00BE00C7">
              <w:rPr>
                <w:rFonts w:cs="Arial"/>
                <w:b w:val="0"/>
                <w:lang w:eastAsia="en-NZ"/>
              </w:rPr>
              <w:t>The kitchen manager is responsible for purchasing the food to meet the requirements of the menu plans. Food is stored in fridges, a walk -in freezer and pantry, labelled and dated. Temperatures of fridges and the freezer are monitored and recorded daily, as is the temperature of food served to residents. Dry food supplies are stored in the pantry and rotation of stock occurs. There is a cleaning schedule in place and this was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process in place if resident’s access is declined. When residents are declined access the residents and their family/whānau, the referring agency and GP are informed of the decline to entry. The resident would be declined entry if not within the scope of the service or if a bed was not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nursing assessments are completed on the resident’s admission to the facility. The resident’s assessments reflect data from a range of sources, including: the resident; family/whānau; the GP, interRAI and specialists. </w:t>
            </w:r>
          </w:p>
          <w:p w:rsidR="00EB7645" w:rsidRPr="00BE00C7" w:rsidP="00BE00C7">
            <w:pPr>
              <w:pStyle w:val="OutcomeDescription"/>
              <w:spacing w:before="120" w:after="120"/>
              <w:rPr>
                <w:rFonts w:cs="Arial"/>
                <w:b w:val="0"/>
                <w:lang w:eastAsia="en-NZ"/>
              </w:rPr>
            </w:pPr>
            <w:r w:rsidRPr="00BE00C7">
              <w:rPr>
                <w:rFonts w:cs="Arial"/>
                <w:b w:val="0"/>
                <w:lang w:eastAsia="en-NZ"/>
              </w:rPr>
              <w:t>The initial care plan guides care for the first three weeks following the resident’s admission. The registered nurse (RN) or the facility manager complete the interRAI assessment within the required timeframes. The LTCP is based on the interRAI assessment outcomes and the initial nursing assessments. All residents had a current interRAI assessment completed by one of the two interRAI assessors on site.</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confirmed involvement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are developed from information gathered during the first three weeks following admission and from the interRAI assessment. All residents’ files sampled had individualised long-term care plans with goals and interventions to meet the needs of the residents. Care plans demonstrate service integration with clinical records, activity notes and medical and allied health professionals’ notes and letters.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were evident in resident files and addressed short term concerns, for example, infections.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confirmed that the care provided met their needs. There was documented evidence that the residents and the EPOA / whanau had been involved in care planning.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care plans demonstrated detailed interventions based on assessed needs, desired outcomes, and resident’s goals. The GP documentation and records reviewed were current. </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are familiar with the needs of all residents and that they have access to the supplies, equipment and products they require to meet those needs. There is evidence of sufficient wound care products. There was one wound being treated on audit day.</w:t>
            </w:r>
          </w:p>
          <w:p w:rsidR="00EB7645" w:rsidRPr="00BE00C7" w:rsidP="00BE00C7">
            <w:pPr>
              <w:pStyle w:val="OutcomeDescription"/>
              <w:spacing w:before="120" w:after="120"/>
              <w:rPr>
                <w:rFonts w:cs="Arial"/>
                <w:b w:val="0"/>
                <w:lang w:eastAsia="en-NZ"/>
              </w:rPr>
            </w:pPr>
            <w:r w:rsidRPr="00BE00C7">
              <w:rPr>
                <w:rFonts w:cs="Arial"/>
                <w:b w:val="0"/>
                <w:lang w:eastAsia="en-NZ"/>
              </w:rPr>
              <w:t>Monthly observations such as resident’s weight and vital signs are completed, documented and were up to date. Nursing progress notes are recorded and maintained. Family communication is recorded in the residents’ records. Interviews with residents and families confirmed that care and treatment met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activities programme is implemented by an activity coordinator (AC). The AC has been in this role for three weeks and prior to this had been a care staff member for five years. Activities for the residents are provided five days a week. Activities at the weekend are resident driven and a range of resources are available for residents to access.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displayed. The activities programme provides variety in the content and includes a range of different activities.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activities assessments are completed by the AC, in conjunction with the admitting registered nurse. Information on residents’ interests, family and previous occupations is gathered during the interview with the resident and/or their family. The residents’ activity needs are reviewed six monthly at the same time the care plans are reviewed.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their families reported satisfaction with the activities provided. Over the course of the audit residents were observed engaging and enjoying a variety of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at handover and in the progress notes. If any change is noted, it is reported to the registered nurse or the manager/clinical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Long term care plans are evaluated every six months in conjunction with the interRAI re-assessments or if there is a change in the resident’s condition. Evaluations are documented by the registered nurse and include discussion with the resident, family, activities coordinator and the GP. The evaluations include the degree of achievement towards meeting desired goals and outcomes. </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short-term care plans for the management of short-term acute problems. Short term care plans are reviewed and signed off when the problem is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Where needed, referrals are sent to ensure other health services, including specialist care is provided for the resident. Referral forms and documentation are maintained on residents’ files. The residents’ files confirmed family/whānau are kept informed of the referral process and this was also confirmed at family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and infectious and hazardous substances. Appropriate signage is displayed where necessary. An external company is contracted to supply and manage all chemicals and cleaning products and provide training for staff on new chemicals. All staff who handle chemicals have attended chemical training.  Material safety data sheets were available where chemicals are stored and staff interviewed knew what to do should any chemical spill/event occur.  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building warrant of fitness which expires on 01 July 2022.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Tasks scheduled in the building maintenance programme are carried out at regular intervals. The testing and tagging of electrical equipment and calibration of bio medical equipment occurred in November 2021 as confirmed in documentation reviewed, visual inspection and interview with the operations manager.  Efforts are made to ensure the environment is hazard free, that residents are safe and independence is promoted. Any newly identified hazards are documented as are the actions taken to remove/mitigate these.  External areas are safely maintained and are appropriate to the resident group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staff confirmed they know the processes they should follow if any repairs or maintenance is required. They said requests are appropriately actioned and that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adequate number of accessible bathroom and toilet amenities which are located in each wing of the facility and are in close proximity to residents’ bedrooms.  All bedrooms have a washbasin with hot and cold running water. Hot water temperature is regulated by tempering valves and monitoring of the temperatures at the tap is carried out monthly. The temperature records sighted show hot water is delivered within a safe range of temperatures. Residents interviewed were very happy with the provision, cleanliness of, and access to ablution areas. Appropriately secured and approved handrails are provided in the toilet/shower areas, and other equipment/accessories are available to promote residents’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One bedroom is shared by a couple, all others are single occupation. Rooms are personalised with furnishings, photos and other personal items displayed. Each room is unique in its size and shape and can easily accommodate a bed, seating and other furniture. There are additional rooms and spaces for storage of mobility aids, wheelchairs and mobility scooters. Family and residents expressed satisfaction with their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This is a small rest home with a spacious and welcoming communal lounge and a separate dining room for residents situated centrally and within easy walking distance from residents’ rooms.  The lounge is used for activities and has varied seating configurations if someone does not want to participate in the programme. There is a small library and telephone space. All residents can easily access their rooms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cleaner is employed for 4.5 hours per week otherwise all the care staff provide cleaning and the laundry and services. Staff interviewed about laundry demonstrated good knowledge of laundry processes, dirty/clean flow and handling of soiled linen.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 laundry is managed well and that their clothes are returned in a timely manner. The machines and equipment provided are fit for purpose. Staff change each resident’s bed linen once a week and/or as required and stated there is sufficient time allocated for completing daily/weekly tasks. All staff have attended training in the safe handling of the chemicals on site and in health and safety matters, as confirmed by review of personnel files and interviews with staff including the cleaner. Bulk chemicals are stored in a lockable room when not in use and are decanted into clearly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 All areas of the facility were clean and tidy on audit days. The residents and family members interviewed were happy with the cleanliness of their rooms and other areas in the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current and are known to staff. Disaster and civil defence planning guides direct the facility in their preparation for disasters and describe the procedures to be followed in the event of a fire or other emergency. These meet the DHB contract requirement for a health emergency plan.</w:t>
            </w:r>
          </w:p>
          <w:p w:rsidR="00EB7645" w:rsidRPr="00BE00C7" w:rsidP="00BE00C7">
            <w:pPr>
              <w:pStyle w:val="OutcomeDescription"/>
              <w:spacing w:before="120" w:after="120"/>
              <w:rPr>
                <w:rFonts w:cs="Arial"/>
                <w:b w:val="0"/>
                <w:lang w:eastAsia="en-NZ"/>
              </w:rPr>
            </w:pPr>
            <w:r w:rsidRPr="00BE00C7">
              <w:rPr>
                <w:rFonts w:cs="Arial"/>
                <w:b w:val="0"/>
                <w:lang w:eastAsia="en-NZ"/>
              </w:rPr>
              <w:t>A fire evacuation plan has been approved by the New Zealand Fire Service. Trial evacuations take place every six months and a copy of findings from these drills is sent to the local fire service. The most recent drill occurred on 29 November 2021. The time taken for evacuation is recorded and there have been no issues or risks identified. The most vulnerable or mobility impaired residents are listed on the fire board and are assisted first. The new staff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torches, mobile phones and gas BBQ’s were sighted. A sufficient supply of water for 28 residents for three days is stored on site, which meets the Ministry of Civil Defence and Emergency Management recommendations for the region.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was functional on audit days and staff were observed to attend to these in a timely manner. Residents and families said they were happy with staff responses to call bells at all times of the day and 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secure the external doors and windows at a predetermined time each night for security purposes.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Each bedroom had sufficient natural light and opening external windows. Heating is provided by electric ‘night stores’ in communal areas and individually temperature-controlled panel heaters in residents’ rooms. Areas were well ventilated throughout the audit. Interviews with residents and families confirmed the home is maintained at a comfortable temperature year-round. There is a smoke free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Seaview Rest Home provides an environment that minimises the risk of infection to residents, staff, and visitors by implementing an infection prevention and control programme. The facility manager is the infection control nurse (ICN) and has access to external specialist advice from the DHB infection control specialists, and microbiologists when required. A documented position description for the ICN, including roles and responsibilities, is in place.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is appropriate for the size and complexity of the service. The infection prevention and control programme is reviewed annually. Staff are made aware of new infections through daily handovers on each shift, progress notes and clinical records. There are processes in place to isolate infectious residents when required. Hand sanitisers and gels are available for staff, residents, and visitors to use.</w:t>
            </w:r>
          </w:p>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policies and processes relating to pandemic planning. Interview with the manager/ clinical manager confirmed the facility has up to date information from MOH in relation to pandemic preparation.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is responsible for implementing the infection control programme. The ICN stated that there are adequate human, physical, and information resources to implement the programme. The infection control reports are discussed at the facility’s meetings. The ICN has access to all relevant resident data to undertake surveillance, internal audits, and investigations. Staff demonstrated an understanding of the infection prevention and control programme. Infection prevention and control resources were available should a resident infection or outbreak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policies and procedures in place that reflect current best practice relating to infection prevention and control.  Staff were observed to be complying with the infection control policies and procedures. Staff demonstrated knowledge on the requirements of standard precautions.</w:t>
            </w:r>
          </w:p>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and procedures include the Covid-19 protection framework and up to date information relating to the pandemic.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has completed training for the role through online training through the Ministry of Health (MOH) and the DHB.</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education on infection prevention and control is provided by the ICN. All staff attend infection prevention and control training. Records of attendance are maintained. Staff interviewed confirmed their understanding of how to implement infection prevention and control activities into their practice. Covid-19 information is available to all visitors to the facility.  Ministry of Health information was available on site. </w:t>
            </w:r>
          </w:p>
          <w:p w:rsidR="00EB7645" w:rsidRPr="00BE00C7" w:rsidP="00BE00C7">
            <w:pPr>
              <w:pStyle w:val="OutcomeDescription"/>
              <w:spacing w:before="120" w:after="120"/>
              <w:rPr>
                <w:rFonts w:cs="Arial"/>
                <w:b w:val="0"/>
                <w:lang w:eastAsia="en-NZ"/>
              </w:rPr>
            </w:pPr>
            <w:r w:rsidRPr="00BE00C7">
              <w:rPr>
                <w:rFonts w:cs="Arial"/>
                <w:b w:val="0"/>
                <w:lang w:eastAsia="en-NZ"/>
              </w:rPr>
              <w:t>Education for residents occurs informally on a one-to-one basis. This was confirmed during staff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the requirements for infection surveillance and includes the process for internal monitoring. Internal infection prevention and control (IPC) audits are completed. Monthly surveillance data is collated and analysed to identify any trends and any required actions. This data is reported at staff meetings. Short term care plans are developed for infections and reviewed and signed off when the infection resolves. Interview with the ICN confirmed there has been no outbreak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the clinical manager/restraint coordinator confirmed that the Seaview Home restraint philosophy and practice is to maintain a restraint free environment. There have never been any restraints used. One resident had a bed lever in place to assist them with positioning in bed, which was seldom used according to the resident interviewed. The resident file confirmed this was voluntary and had been consented and agreed to by the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describes processes for assessment, consent and monitoring that would meet this standard in the event that a restraint intervention was required. It contains definitions that are congruent with this standard and describes methods for avoiding or minimising the use of restraint. Policy designates a restraint coordinator, and clearly describes the processes for evaluation, review and ongoing staff education. </w:t>
            </w:r>
          </w:p>
          <w:p w:rsidR="00EB7645" w:rsidRPr="00BE00C7" w:rsidP="00BE00C7">
            <w:pPr>
              <w:pStyle w:val="OutcomeDescription"/>
              <w:spacing w:before="120" w:after="120"/>
              <w:rPr>
                <w:rFonts w:cs="Arial"/>
                <w:b w:val="0"/>
                <w:lang w:eastAsia="en-NZ"/>
              </w:rPr>
            </w:pPr>
            <w:r w:rsidRPr="00BE00C7">
              <w:rPr>
                <w:rFonts w:cs="Arial"/>
                <w:b w:val="0"/>
                <w:lang w:eastAsia="en-NZ"/>
              </w:rPr>
              <w:t>Review of a sample of staff files and training documents confirmed that staff were engaging with education related to restraint minimisation. This included managing challenging behaviour, use of de-escalation techniques and preventing the use of restraint. There is also an emergency restraint policy which authorises an RN to initiate an emergency restraint before a GP assessment.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Mateus Enterprises Limited - Seaview Home</w:t>
    </w:r>
    <w:bookmarkEnd w:id="58"/>
    <w:r>
      <w:rPr>
        <w:rFonts w:cs="Arial"/>
        <w:sz w:val="16"/>
        <w:szCs w:val="20"/>
      </w:rPr>
      <w:tab/>
      <w:t xml:space="preserve">Date of Audit: </w:t>
    </w:r>
    <w:bookmarkStart w:id="59" w:name="AuditStartDate1"/>
    <w:r>
      <w:rPr>
        <w:rFonts w:cs="Arial"/>
        <w:sz w:val="16"/>
        <w:szCs w:val="20"/>
      </w:rPr>
      <w:t>14 December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