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Queen Rose Retirement Home Limited - Queen Rose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Queen Rose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Queen Rose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2021</w:t>
      </w:r>
      <w:bookmarkEnd w:id="7"/>
      <w:r w:rsidRPr="009418D4">
        <w:rPr>
          <w:rFonts w:cs="Arial"/>
        </w:rPr>
        <w:tab/>
        <w:t xml:space="preserve">End date: </w:t>
      </w:r>
      <w:bookmarkStart w:id="8" w:name="AuditEndDate"/>
      <w:r w:rsidR="00A4268A">
        <w:rPr>
          <w:rFonts w:cs="Arial"/>
        </w:rPr>
        <w:t>6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Queen Rose Retirement Home (referred to in the report as Queen Rose) is certified to provide rest home level care for up to 29 residents. On the day of audit, there were 27 residents. The manager (registered nurse) has been in the role since 2018 and has responsibility for the daily operations and to oversee the delivery of services. The manager is supported by two owners who continue to work at the facility and provide ongoing support daily, a registered nurse, and a team of experienced care staff.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general practitioner, and management. </w:t>
      </w:r>
    </w:p>
    <w:p w:rsidRPr="00A4268A">
      <w:pPr>
        <w:spacing w:before="240" w:line="276" w:lineRule="auto"/>
        <w:rPr>
          <w:rFonts w:eastAsia="Calibri"/>
        </w:rPr>
      </w:pPr>
      <w:r w:rsidRPr="00A4268A">
        <w:rPr>
          <w:rFonts w:eastAsia="Calibri"/>
        </w:rPr>
        <w:t xml:space="preserve">Residents, family members and the general practitioner interviewed praised the service for the support provided. </w:t>
      </w:r>
    </w:p>
    <w:p w:rsidRPr="00A4268A">
      <w:pPr>
        <w:spacing w:before="240" w:line="276" w:lineRule="auto"/>
        <w:rPr>
          <w:rFonts w:eastAsia="Calibri"/>
        </w:rPr>
      </w:pPr>
      <w:r w:rsidRPr="00A4268A">
        <w:rPr>
          <w:rFonts w:eastAsia="Calibri"/>
        </w:rPr>
        <w:t xml:space="preserve">There were no shortfalls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manager is responsible for the day-to-day operations. Goals are documented for the service with evidence of regular reviews. A quality and risk management programme was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Residents,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documentation. InterRAI assessments and care plans are completed and reviewed within required timeframes. Planned activities are appropriate to the resident’s assessed needs and abilities. Residents and families advised satisfaction with the activities programme. The service uses an electronic medication management system.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Queen Rose has been issued with a Form 12 as a building warrant of fitness check was unable to be fully obtained during the Covid-19 outbreaks in 2020. Preventative and reactive maintenance occurs. There is easy access to all communal areas within the facility for residents using mobility aids. The outdoor areas are well maintained and provide seating and shaded areas for residents to enjoy.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Queen Rose has restraint minimisation and safe practice policies and procedures in place. Staff receive training in restraint minimisation and challenging behaviour management. The service continues to be restraint free, and there were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Queen Rose continues to implement their infection surveillance programme. Infection control issues are discussed at both in the infection control and quality/staff meetings. The infection control programme is linked with the quality programme. There have been no outbreaks since the previous audit. Covid-19 policies and procedures are in place. Adequate supplies of personal protective equipment are in place and regular stocktakes are maintained.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7"/>
        <w:gridCol w:w="1280"/>
        <w:gridCol w:w="104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and beside the nurses’ station. Information around the complaints process is provided on admission. A record of all complaints, both verbal and written is maintained by the manager on the complaints register. Five complaints have been received since the last audit: three in 2020 and two year to date in 2021.  Documentation and correspondence reflected evidence of responding to the complaints in a timely manner with appropriate follow-up actions taken. Caregivers interviewed confirmed that complaints and any required follow-up is discussed at staff meetings as sighted in the minutes. Complaint documentation requiring changes to care planning are signed by staff once read. Residents and relatives advised that they are aware of the complaints procedure and how to access forms. They stated that they feel comfortable discussing issues with the management team or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Five residents interviewed stated that they were welcomed on entry and were given time and explanation about the services and procedures. The manager and both owners are available to residents and relatives and they promote an open-door policy. Incident forms reviewed evidenced that relatives had been notified on all occasions. The relative interviewed advised that they are notified of incidents and when residents’ health status changes promptly. The registered nurse, three caregivers, the diversional therapist (owner) and the maintenance person (owner) interviewed, fluently described instances where relatives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is jointly owned by two couples. One couple is actively involved in the day-to-day running of the facility, the other are silent partners. The service can provide care for up to 29 rest home level care residents. On the day of the audit there were 27 residents in total, including one resident on a mental health contract, and one resident on a younger person’s disability. All other residents were under the Aged Residential Care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have owned/managed Queen Rose Retirement Home since 1985. One owner (previous manager) provides financial and operational support, another works as the activity’s coordinator, and another provides maintenance and transport services. The manager commenced the role in December 2018 having previously worked as the registered nurse at the facility for five and a half years. She is supported by the owners who are all on site most weekdays, and a full-time registered nurse.  Both the manager and the RN have current annual practicing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for 2020 - 2021. The mission statement sets out the vision and philosophy of the service and includes a quality policy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the RN have attended at least eight hours of training relating to managing a rest home including attendance at aged care provider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is implementing a quality and risk management system. Monthly accident/incident reports, infections and results of internal audits are completed. Quality matters are taken to the monthly combined staff/quality/health and safety and infection control meetings. Resident meetings occur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developed into a corrective action plan. The closure of corrective actions resulting from internal audit programme was recorded, signed off, and discussed at the monthly meeting. Quality/staff/health and safety/infection control meetings and the resident meeting minutes include an accurate reflection of the discussion/outcomes of the meetings, including follow-up to actions taken as matters arising. A record of monthly risk identification, and quality indicators is maintained and discussed at the monthly meetings and a copy is filed with the completed monthly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The owners and the manager discuss ongoing issues daily, the owners are fully abreast of all quality and resident matters daily and attend the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has been completed annually, the results of the surveys for 2019 and 2020 evidenced 95% satisfaction. A corrective action was identified around food services which the owner has discussed with the catering company. </w:t>
            </w:r>
          </w:p>
          <w:p w:rsidR="00EB7645" w:rsidRPr="00BE00C7" w:rsidP="00BE00C7">
            <w:pPr>
              <w:pStyle w:val="OutcomeDescription"/>
              <w:spacing w:before="120" w:after="120"/>
              <w:rPr>
                <w:rFonts w:cs="Arial"/>
                <w:b w:val="0"/>
                <w:lang w:eastAsia="en-NZ"/>
              </w:rPr>
            </w:pPr>
            <w:r w:rsidRPr="00BE00C7">
              <w:rPr>
                <w:rFonts w:cs="Arial"/>
                <w:b w:val="0"/>
                <w:lang w:eastAsia="en-NZ"/>
              </w:rPr>
              <w:t>The manager oversees health and safety practices for the facility and has attended external training. All incident reports, hazards, and the hazard register are discussed at the monthly meetings. All staff are involved in corrective action planning which is discussed at the monthly meetings. Staff education is provided around manual handling, chair ‘raizer’ training, and health and safety. Internal audits are completed and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discussed in-depth at the monthly meeting, for each resident who falls. Sensor mats, and extra monitoring are routinely in place for residents at risk of falling. Individualised fall prevention strategies are documented in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 meeting. Incident forms are completed by staff, the resident is reviewed by the RN at the time of event or the next day. Ten incident forms reviewed identified registered nurse follow up. There is an incident reporting policy to guide staff in their responsibility around open disclosure. Incident/accident forms include a section to record relatives have been notified. Minutes of the combined quality/staff meetings reflect a discussion of incident statistics and analysis. The caregivers interviewed could discuss the incident reporting process and when neurological observations are to be completed. Neurological observations have been completed for unwitnessed falls or where there is potential for a head injury according to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owners, manager and registered nurse confirmed that there is an awareness of the requirement to notify relevant authorities in relation to essential notifications. There have been no notifications required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registered nurse, and four caregivers employed since the last audit). The sample was increased by three to look at performance appraisals only and to include staff who had been employed for more than a year.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There is evidence in the registered nurse files of attendance at the DHB external training. Interviews with caregivers confirmed participation in the Careerforce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three caregivers with level 2, four who have completed level 3 and five who have completed level 4. There are two caregivers currently completing level 2 and one completing level 4. One caregiver is currently completing diversional therapy level 4. A competency programme is in place that includes annual medication competency for staff administering medications. Core competencies are completed, and a record of completion is maintained and signed. Competency questionnaires were sighted in reviewed files. The manager and the registered nurse are interRAI trained. The nurses have access to external education through the district health board (DHB), Hospice and the New Zealand Aged Care Association (NZACA).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manager is on site 40 hours per week (Monday to Friday). The RN is rostered Saturday to Wednesday.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are on-call after hours for any non-clinical issues and the manager and the RN provide on-call for any clinical issues on a weekly rotation.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local general practitioner (GP) also provides after-hours care if required and caregivers have access to the local ambulance service. Interviews with caregivers, residents and relatives identified that staffing is adequate to meet the needs of residents, and the management team are visible and able to be contacted at any time. Advised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caregivers; one from 6.45 am to 3 pm (medication competent), two from 7 am to 3 pm, and one from 8 am to 1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afternoon shift has two caregivers one 3 pm to 11 pm (medication competent) and one from 3 pm to 8.30 pm. There is one senior caregiver with a medication competency on duty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has implemented an electronic medication management system. The supplying pharmacy delivers all medicines in blister packs for regular and ‘as required’ medications. Medications were checked and signed on arrival from the pharmacy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are assessed as medication competent to administer medication. Registered nurses have completed syringe driver training. Standing orders were not in use. The medication fridge and room temperatures have been monitored daily and temperatures were within the acceptable range. Ten medication files were reviewed. Medication reviews were completed by the GP three monthly. ‘As required’ medications were prescribed correctly with indications for use documented, efficacy is documented in the progress notes. Medications are stored securely in the medication room. There was one resident self-medicating inhalers. A competency was completed and reviewed by the RN and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off-site at a catering company. There is a current food control plan in place expiring in May 2022. There is a four weekly rotating summer and winter menu that is reviewed by the company dietitian. A food services policies and procedures manual is in place.  Staff have completed food safety training in October 2020. There are designated care staff who complete food services duties at Queen Rose. Food is delivered in hot boxes from the catering company and transferred to the hot box. It is probed as it goes into the bain marie. Daily hot food temperatures are taken and recorded for each meal. Meals are served and delivered to residents. Fridge and freezer temperatures are recorded on an electronic app (iPad is supplied by the catering company). Dry foods in the pantry are dated and sealed. Perishable foods in the chiller and refrigerators are date labelled and stored correctly. The kitchen has a separate dishwashing area, preparation, cooking, baking and storage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A folder of residents’ dietary requirements that includes likes/dislikes is maintained and a quick reference is displayed on the kitchen wall beside the bain marie. Alternative choices are offered. Dietary needs are met including normal, pureed meals and finger foods. Specialised utensils and lip plates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and food surveys, provide resident feedback on the meals and food services. Residents and relatives interviewed confirmed likes/dislikes are accommodated and alternative choices offered. A corrective action was identified from the 2020 satisfaction survey, which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are stored safely. The chemical supplier completes quality control checks on the sanitiser. Safety data sheets are available, and training is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 and caregivers follow the plan and report progress against the plan each shift. There is documented evidence on the family contact form in each resident file that indicates relatives were notified of any changes to their relative’s health. Discussions with the relatives confirmed they are notified promptly of any changes to their relative’s health. Short term care plans are used for short term/acute changes in care. These were in place for wounds and infections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with challenging behaviours had monitoring forms maintained, triggers were unable to be clearly identified, behaviours and de-escalation techniques specific to this resident were documented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chronic wounds on the day of the audit (one lesion and one chronic ulcer). Both wounds had individual wound assessments, plans and evaluations which indicated progression or deterioration of the wounds. Photos are taken weekly to evidence progression towards healing. The GP has been involved with both wounds. Adequate dressing supplies were sighted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and vital signs,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owners and a caregiver (currently completing level 4 NZQA in diversional therapy) provide a wide range of activities for the residents of Queen Rose.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activities assessment completed shortly after admission to the facility which provides the base of the activity care plan. The care plans are evaluated at least six-monthly at the same time as the care plan review.  Interview and file review confirmed that activities and community access were provided for younger residents to include trips to McDonalds and similar activities. One resident likes to set the tables for the dining rooms and set the trolleys up for collecting plates after lunchtime and helps tidy up extra chairs and reset the lounges up after entertainers have been. Another resident spoke about catching a bus into town (pre Covid) to do some shopping.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in residents’ rooms and in the communal areas and includes exercises, housie, and regular weekly concerts, movie afternoons happy hours, pet therapy and two weekly church services over the weekend, and outings, shopping and van rides are available twice weekly (when Covid restrictions allow).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knitting group are currently knitting ‘peggie’ squares to make blankets for the SPCA, and some are donated to the Presbyterian Support to hand out with food parcels. The residents are planning a lemonade stall to raise money for charities over the summer months. Planning for Christmas is underway with discussions held at the recent residents’ meeting around decorations and cards to be 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Bus outings are very popular and include outings for picnics and restaurants and cafés. The owner (maintenance) is the bus driver and holds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have included a retirement high tea party for a member of staff where residents helped choose and wrap presents for the staff member. Halloween was celebrated, where the facility was decorated, and members of staffs’ children visited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can provide feedback on the programme through resident meetings and surveys. The residents and the relative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manager or registered nurse within three weeks of admission and long-term care plans developed. Long-term care plans have been evaluated by the manager or registered nurse six monthly, using the interRAI tool or earlier for any health changes for files reviewed. The GP reviews the residents at least three-monthly or earlier if required. Ongoing nursing evaluations occur as indicated and are documented within the progress notes or the care plan. The acute plans of care have been reviewed and evaluated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(maintenance) completes regular checks around the facility and attends to any maintenance requests. There is a maintenance folder maintained of reactive and preventative maintenance performed, which documents corrective actions such as when the problem has been fixed or contractors have been contacted. Hot water checks are completed monthly, and all recordings were within acceptable ranges. All equipment has been tagged, tested, and calibrated annually by external contractors. The facility has been issued with a Form 12 stating all emergency equipment is safe, however due to the Covid-19 lockdowns, the external contractor was not able to perform the required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are easily accessible within the facility with a chair lift providing access to the upstairs areas. Ramps provide access to the outdoors for residents requiring mobility aids. Outdoor areas, gardens, and balconies on the upper floor are maintained and provides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lounge/dining areas for residents to enjoy. Residents were observed moving freely around the facility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Queen Rose continue to implement their infection surveillance programme.  Individual infection alert forms were completed for all infections. Infections were included on a monthly register and annual and a monthly reports were completed by the infection control coordinator (registered nurse) which are discussed at the monthly meeting.  The infection control programme is linked with the quality programme. In-service education is provided annually and in toolbox talks when required.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implemented around Covid-19. There is a resource folder readily accessible to staff to guide them around each lockdown level. Training has been provided around personal protective equipment, handwashing, isolation procedures. Supplies of PPE were sighted during the audit. All visitors and staff are required to sign the register, complete a wellness check, and record temperature on entry to the facility for track and trace purposes. All staff, visitors and contractors are required to wear masks while in the facility. Staff and residents have been offered the influenza and Covid vaccines. The DHB has completed a virtual audit and are scheduled to perform an onsite visit in October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 registered nurse is the restraint coordinator. There are currently no residents using restraint or enablers at Queen Rose.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Restraint/enabler and challenging behaviour training is provided two yearly (next due in November 2021).  Caregivers interviewed could describe the differences between restraint and enablers and procedures around these.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Queen Rose Retirement Home Limited - Queen Rose Retirement Home</w:t>
    </w:r>
    <w:bookmarkEnd w:id="58"/>
    <w:r>
      <w:rPr>
        <w:rFonts w:cs="Arial"/>
        <w:sz w:val="16"/>
        <w:szCs w:val="20"/>
      </w:rPr>
      <w:tab/>
      <w:t xml:space="preserve">Date of Audit: </w:t>
    </w:r>
    <w:bookmarkStart w:id="59" w:name="AuditStartDate1"/>
    <w:r>
      <w:rPr>
        <w:rFonts w:cs="Arial"/>
        <w:sz w:val="16"/>
        <w:szCs w:val="20"/>
      </w:rPr>
      <w:t>5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