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Holmbridge Holdings 1852 Limited - Wakefield Homestead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Holmbridge Holdings 1852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Wakefield Homestead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November 2021</w:t>
      </w:r>
      <w:bookmarkEnd w:id="7"/>
      <w:r w:rsidRPr="009418D4">
        <w:rPr>
          <w:rFonts w:cs="Arial"/>
        </w:rPr>
        <w:tab/>
        <w:t xml:space="preserve">End date: </w:t>
      </w:r>
      <w:bookmarkStart w:id="8" w:name="AuditEndDate"/>
      <w:r w:rsidR="00A4268A">
        <w:rPr>
          <w:rFonts w:cs="Arial"/>
        </w:rPr>
        <w:t>19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tab/>
        <w:t>Nil</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Wakefield Homestead is privately owned and operated and provides rest home level care for up to 22 residents.  On the day of the audit there were 22 residents.  The residents interviewed spoke highly of the service and care provided at Wakefield.</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management, staff, general practitioner, and other allied health professionals involved in the care of the residents.</w:t>
      </w:r>
    </w:p>
    <w:p w:rsidRPr="00A4268A">
      <w:pPr>
        <w:spacing w:before="240" w:line="276" w:lineRule="auto"/>
        <w:rPr>
          <w:rFonts w:eastAsia="Calibri"/>
        </w:rPr>
      </w:pPr>
      <w:r w:rsidRPr="00A4268A">
        <w:rPr>
          <w:rFonts w:eastAsia="Calibri"/>
        </w:rPr>
        <w:t xml:space="preserve">The two owners have owned the facility for four years.  The non-clinical facility manager (owner) has previous experience owning and operating an age care facility.  The other owner is the health and wellbeing manager (registered nurse) who has experience in age care.  They are supported by a team administration and non-clinical staff and long-standing caregivers.  </w:t>
      </w:r>
    </w:p>
    <w:p w:rsidRPr="00A4268A">
      <w:pPr>
        <w:spacing w:before="240" w:line="276" w:lineRule="auto"/>
        <w:rPr>
          <w:rFonts w:eastAsia="Calibri"/>
        </w:rPr>
      </w:pPr>
      <w:r w:rsidRPr="00A4268A">
        <w:rPr>
          <w:rFonts w:eastAsia="Calibri"/>
        </w:rPr>
        <w:t>There are quality systems and processes being implemented.  There is a clear resident focus and staff know the residents well.  Residents are supported to maintain links in the community.</w:t>
      </w:r>
    </w:p>
    <w:p w:rsidRPr="00A4268A">
      <w:pPr>
        <w:spacing w:before="240" w:line="276" w:lineRule="auto"/>
        <w:rPr>
          <w:rFonts w:eastAsia="Calibri"/>
        </w:rPr>
      </w:pPr>
      <w:r w:rsidRPr="00A4268A">
        <w:rPr>
          <w:rFonts w:eastAsia="Calibri"/>
        </w:rPr>
        <w:t xml:space="preserve">This audit identified three shortfalls around staff files, education, maintenance, and documentation of fire drills.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documented to support resident rights.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 to 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 xml:space="preserve">Consents are documented by residents or family and there are advance directives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are policies and procedures to provide appropriate support and care to residents with hospital and rest home level needs.  The annual business plan includes values, scope, and strategic direction, goals are reviewed regularly throughout the year.  The quality and risk management programme that includes analysis of data.  Combined meetings are held at regular intervals to discuss quality and risk management and to ensure these are further embedded into practice.  There is a health and safety management programme that is implemented with evidence that issues are addressed in a timely manner.  </w:t>
      </w:r>
    </w:p>
    <w:p w:rsidRPr="00A4268A">
      <w:pPr>
        <w:spacing w:before="240" w:line="276" w:lineRule="auto"/>
        <w:rPr>
          <w:rFonts w:eastAsia="Calibri"/>
        </w:rPr>
      </w:pPr>
      <w:r w:rsidRPr="00A4268A">
        <w:rPr>
          <w:rFonts w:eastAsia="Calibri"/>
        </w:rPr>
        <w:t xml:space="preserve">An orientation programme is in place.  The service is implementing an online education platform.  </w:t>
      </w:r>
    </w:p>
    <w:p w:rsidRPr="00A4268A">
      <w:pPr>
        <w:spacing w:before="240" w:line="276" w:lineRule="auto"/>
        <w:rPr>
          <w:rFonts w:eastAsia="Calibri"/>
        </w:rPr>
      </w:pPr>
      <w:r w:rsidRPr="00A4268A">
        <w:rPr>
          <w:rFonts w:eastAsia="Calibri"/>
        </w:rPr>
        <w:t xml:space="preserve">Rosters and interviews indicate sufficient staff that are appropriately skilled, with flexibility of staffing around clients’ needs.  A roster provides sufficient and appropriate coverage for the effective delivery of care.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registered nurse is responsible for the assessment, development, and evaluation of care plans.  There is evidence of resident/relative input into care plans.  The care plans are resident, and goal orientated.  Files reviewed identified integration of allied health and a team approach is evident in the overall resident file.  There is a three-monthly general practitioner review.  Residents interviewed confirmed that they were happy with the care provided and the home-like environment. </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confirmed satisfaction with the activities programme.  Residents are involved in community events and activities.  There are regular entertainers and van outings. </w:t>
      </w:r>
    </w:p>
    <w:p w:rsidRPr="00A4268A" w:rsidP="00621629">
      <w:pPr>
        <w:spacing w:before="240" w:line="276" w:lineRule="auto"/>
        <w:rPr>
          <w:rFonts w:eastAsia="Calibri"/>
        </w:rPr>
      </w:pPr>
      <w:r w:rsidRPr="00A4268A">
        <w:rPr>
          <w:rFonts w:eastAsia="Calibri"/>
        </w:rPr>
        <w:t xml:space="preserve">There is a documented medication management policy and procedure at the facility.  All medications are stored safely.  The service uses an electronic medication system.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 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maintenance system.  There has been refurbishment of the facility in communal areas and resident bedrooms.   </w:t>
      </w:r>
    </w:p>
    <w:p w:rsidRPr="00A4268A">
      <w:pPr>
        <w:spacing w:before="240" w:line="276" w:lineRule="auto"/>
        <w:rPr>
          <w:rFonts w:eastAsia="Calibri"/>
        </w:rPr>
      </w:pPr>
      <w:r w:rsidRPr="00A4268A">
        <w:rPr>
          <w:rFonts w:eastAsia="Calibri"/>
        </w:rPr>
        <w:t xml:space="preserve">Chemicals are stored safely throughout the facility.  Appropriate policies are available along with product safety charts.  The building holds a current warrant of fitness.  Resident rooms are spacious with an adequate number of shower and toilet facilities for the number of residents.  There is wheelchair access to all areas.  External areas are safe and well maintained.  Fixtures, fittings, and flooring is appropriate and toilet/shower facilities are constructed for ease of cleaning.  Cleaning and laundry services are well monitored through the internal auditing system.  </w:t>
      </w:r>
    </w:p>
    <w:p w:rsidRPr="00A4268A">
      <w:pPr>
        <w:spacing w:before="240" w:line="276" w:lineRule="auto"/>
        <w:rPr>
          <w:rFonts w:eastAsia="Calibri"/>
        </w:rPr>
      </w:pPr>
      <w:r w:rsidRPr="00A4268A">
        <w:rPr>
          <w:rFonts w:eastAsia="Calibri"/>
        </w:rPr>
        <w:t xml:space="preserve">Documented systems are in place for essential, emergency and security services.  There is an approved evacuation scheme and emergency supplies available. There are staff on duty 24/7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Wakefield Rest Home has restraint minimisation and safe practice policies and procedures in place.  There was one resident with a lap belt restraint and no residents using enablers.  Restraint documentation is completed as required.  Staff receive training in restraint minimisation and challenging behaviour management.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(registered nurse) is responsible for coordinating and providing education and training for staff.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within the age care sector through the electronic resident management system.  </w:t>
      </w:r>
    </w:p>
    <w:p w:rsidRPr="00A4268A">
      <w:pPr>
        <w:spacing w:before="240" w:line="276" w:lineRule="auto"/>
        <w:rPr>
          <w:rFonts w:eastAsia="Calibri"/>
        </w:rPr>
      </w:pPr>
      <w:r w:rsidRPr="00A4268A">
        <w:rPr>
          <w:rFonts w:eastAsia="Calibri"/>
        </w:rPr>
        <w:t xml:space="preserve">Policies, procedures, and the pandemic plan has been updated to include Covid 19.  Adequate supplies of personal protective equipment were sighted during the audit.  Staff were knowledgeable around isolation procedures.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9"/>
        <w:gridCol w:w="1280"/>
        <w:gridCol w:w="9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staff interviewed (two caregivers, one diversional therapist, one maintenance, one human resources (HR) assistant, one chef, one kitchen hand) could describe how the Code is incorporated into their everyday delivery of care.  Staff receive training about the Code during their induction to the service, which is planned annually through the staff education and training programme (link 1.2.7.5).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they have been made aware of and fully understand informed consent processes and that appropriate information had been provided.  A multipurpose informed consent form is utilised by the service provider and is retained in each individual resident`s record reviewed.  Forms are signed and dated appropriately.  The admission agreements were signed and dated by the provider and the resident and/or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understood the obligations and legislative requirement to ensure competency of residents as required for advance directives and advance care planning.  Resident reviews were undertaken three-monthly.  Reviews of the individual resident’s health status were documented and retained in each personal file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informed consent and resuscitation and the service is committed to meeting the requirements of the Code of Health and Disability Services Consumers Rights.  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confirmed that the service actively involves their relatives in decisions that affect their lives, where they consent to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new residents and their family on admission.  Advocacy brochures are also available at reception.  Interviews with residents and staff confirmed their understanding of the availability of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Age Concern visits the facility and provide staff education and provide an opportunity for the residents to discuss concerns if required.  The complaints process is linked to advocacy services with this offered to any complainant if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and training on the role of advocacy services, which begins during their induction to the service with training records confirming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Links with the community are encouraged and residents are supported to go shopping in the community and attend local groups of their choosing.  Until the lasts Covid level 4 lockdown there were frequent visits from school children, and residents visited the school.  The management team are supportive of entertainers and visitors visiting the facility in line with the current Covid 19 regulations.  During the audit, residents went out on a bus outing, and were seen going out with visitors.  Residents confirm relatives can usually visit at any time as Covid 19 restrictions allow.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 facility manager is responsible for complaint management in consultation with the health and wellbeing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within the information pack at entry.  Feedback forms are available at the entrance to the facility.  There is a complaints’ register that includes relevant information regarding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felt they could complain at any time and those that had, stated that their concerns had been dealt with in a timely manner to their satisfaction.  There has been one complaint forwarded by the DHB who stated that this was not about the rest home directly. There were no issues identified.  There have been no other complaints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On admission, the health and wellbeing manager (RN) discusses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monthly resident and three-monthly family meetings.  The five residents interviewed confirmed that they received cares that met their needs, and all were aware of their rights.  There were no family members available for interview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All toilets and bathrooms have locks to ensure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This was observed to occur during the audit.  Caregivers reported that they promote the residents' independence by encouraging them to be as active as possible.  All the residents interviewed confirmed that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Incidents were reviewed for 2021 and there are no incidents around abuse.  Staff, and the general practitioner interviewed confirmed that there was no evidence of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Spiritual needs are individually identified as part of the assessment and care planning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with goals to improve outcomes for residents.  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living at the facility who identify as Māori but does not affiliate with their culture.  Staff receive annual education on cultural awareness and the principles of Tiriti O Waitangi that begins during their induction to the service.  Signage has been upgraded to include Te Reo and English language.  The service has access to support through the Māori Health Unit at the district health board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This is achieved in collaboration with the resident, family and/or their representative.  Staff interviewed confirmed that they are committed to ensuring each resident remains a person, even in a state of decline.  Beliefs and values are discussed and incorporated into the care plan as sighted in the review of resident records reviewed.  Residents interviewed confirmed they are involved in developing their plan of care, which includes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and procedures to protect clients from abuse, including discrimination, coercion, harassment, and exploitation, along with actions to be taken if there is inappropriate or unlawful conduct.  Staff interviewed demonstrated an awareness of the importance of maintaining professional boundaries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they have not experienced any discrimination, coercion, bullying, sexual harassment, or financial exploitation.  Professional boundaries are reconfirmed through staff meetings, the managers stated that performance management would address any concerns if there was discrimination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quality-of-service delivery in the facility.  The service is going paperless.  The electronic resident management system has been fully embedded which includes incident reporting and monitoring.  A new human resources (HR) system is in the process of being implemented which manages health and safety and HR files.  The service has recently employed an HR assistant who is implementing the HR system and managing rostering.  An online system has recently been implemented to provide an online education platform for staff to complete education sessions at a time that suits them.  The health and wellbeing manager is working with the online education company to align education with New Zealand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continued refurbishments throughout the facility including an upgrade of the emergency systems and call bell system.  The flower gardens are established, which include a range of plants used for complimentary therapies.  Combined quality and staff meetings which incorporate health and safety, and infection control are held regularly.  Staff interviewed report they are updated of current changes of residents’ condition at each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about the care and support provided.  Staff interviewed stated that they feel supported by the management team.  The manager reports a low staff turnover.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three recent incident forms confirmed that family were informed in a timely manner when incidents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have occurred regularly which relatives are invited to attend.  Residents confirmed that they find the meetings useful and provide opportunities to raise issues or concerns.  The residents confirmed that the managers have an open-door policy and are prompt at dealing with concerns as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through the district health board with phone numbers identified in policy.   There are no residents currently requiring the use of interpreting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is privately owned and managed by the on-site facility manager and the health and wellbeing manager/RN for four years.  The service provides care for up to 22 residents.  On the day of audit there were 22 rest home residents, including one younger person with a disability (YPD) and one resident on the long-term support- chronic health contract (LTS-CHC).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family-orientated service has a current business plan that includes the vision, values, and philosophy of care “family caring for family”.  Residents interviewed were very happy with the care and the homely environment including the pet friendly environment.  The annual quality plan includes goals to monitor the quality/risk system and refurbishments to the facility.  The goals have been reviewed regularly and involve the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a qualification in social work in health management and had owned another small rest home in the area.  The health and wellbeing manager is an experienced registered nurse (RN) with over 20 years of experience in the aged care industry.  They are supported by an administrative assistant, HR assistant, a maintenance person, and legal advisor.  They have professional affiliations with two aged care consultants.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have both completed at least eight hours of professional development.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in the event of her temporary absence the health and wellbeing manager/RN fills the role with support from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The content of policy and procedures are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an internal audit programme that includes aspects of clinical care.  Any issues arising from internal audits are developed into corrective action plans with evidence of resolution of issues as these are identified.  Monthly reports are collated from the resident management system around any incidents, (falls, skin tears etc), and infections.  Results are collated and reported at the monthly at the combined quality/ staff/ health and safety/ infection control/ restraint meeting.  The service also collates benchmarking data from the age care sector through the electronic resident management system.  If any staff are not able to attend the meeting, minutes and graphs are available for staff to read and sign once read.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residents/relatives survey for the service, both the 2020 and 2021 evidenced overall satisfaction with the service with high numbers very satisfied or satisfied with all aspects of the service.  No corrective actions were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There is a health and safety plan with evidence of review at the health and safety meetings.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health and safety competency completed by staff as part of orientation (staff records confirmed that these had been completed).  Workplace health and safety is included in the education planner and training has been completed annually.  A current hazard register is available in the nurse’s station and is reviewed regularly.  Staff interviewed were aware of hazard reporting processes and could easily describe hazard management and minimisation.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use of sensor mats.  Individualised falls prevention strategies are documented on residents’ files accordingly.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being collected and analysed.  The rate of incidents are minimal at Wakefield Homestead, as evidenced in monthly reports.  A review of three incident/accident forms that occurred in September to November 2021 identified reports were all fully completed, including follow-up by a registered nurse and that family had been notified.  Post-falls assessments included neurological observations for one unwitnessed fall reviewed were completed as per policy.  Near misses are also reported through the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benchmarking programme and used for comparative purposes.  Discussions with the management team confirmed that there is an awareness of the requirement to notify relevant authorities in relation to essential notifications.  Section 31 notifications are completed as required and since the last audit, there has been one notification made around a resident absconding.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Six staff files were reviewed (one health and wellbeing manager/ registered nurse, the diversional therapist, the cook, and two caregivers).  The service is in the process of changing over to an electronic HR/ health and safety system.  All staff files are now electronic, however, not all documentation was evident on the electronic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have been completed annually.  Copies of annual practising certificates are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were able to describe the orientation process and believed new staff were orientated well to the service.  The orientation programme includes a buddy system with the new member of staff working alongside an experienced member of staff in the same role.  Care staff complete competencies as part of orientation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Core competencies are completed, with a record of completion maintained.  Staff interviewed were aware of the requirement to complete competency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in the process of implementing an online education platform, the health and wellbeing manager is working alongside the company to align education session to New Zealand requirements.  Staff are now completing education online, however, not all compulsory sessions have been completed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to complete New Zealand Qualification Authority (NZQA) qualifications through Careerforce.  There is a total of 13 caregivers, four have achieved level 4, three have achieved level 3, and one has achieved level 2 NZQA.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enrolled nurse has recently left her position, the service is currently recruiting to fill the position.  The health and wellbeing manager is interRAI trained and has access to external education through the DHB and Hospice.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Homestead has a weekly roster in place, which provides sufficient staffing cover for the provision of care and service to residents.  Staffing rosters were sighted and there is an adequate number of staff on duty to meet the resident’s needs and allow for one-on-one time with residents as observed during the audit.  The facility manager and health and wellbeing manager/RN are on site during the day from Monday to Friday and are on-call 24/7 for any operational and clinical issues respectively.  Roster shortages or sickness are covered by existing staff.  There is a very stable workforce, the management report a low turnover of staff. </w:t>
            </w:r>
          </w:p>
          <w:p w:rsidR="00EB7645" w:rsidRPr="00BE00C7" w:rsidP="00BE00C7">
            <w:pPr>
              <w:pStyle w:val="OutcomeDescription"/>
              <w:spacing w:before="120" w:after="120"/>
              <w:rPr>
                <w:rFonts w:cs="Arial"/>
                <w:b w:val="0"/>
                <w:lang w:eastAsia="en-NZ"/>
              </w:rPr>
            </w:pPr>
            <w:r w:rsidRPr="00BE00C7">
              <w:rPr>
                <w:rFonts w:cs="Arial"/>
                <w:b w:val="0"/>
                <w:lang w:eastAsia="en-NZ"/>
              </w:rPr>
              <w:t>Each shift as one senior caregiver who has a first aid certificate and is medication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 shift, there are three caregivers rostered; 1x 7am to 3pm (senior), 1x 7.30am to 3.30pm, and 1x 8am to 11am (Monday to Friday only).  The afternoon shift has one caregiver from 3pm to 11.15pm (senior) and one caregiver from 3.30pm to 9pm.  Nightshift is covered by one senior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dedicated staff include a cleaner, cook, kitchenhand, diversional therapist, HR assistant, admin assistant and one maintenance.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there were adequate staff on duty.  Staff stated they feel supported by the facility manager and health and wellbeing manager/RN who respond quickly to afterhours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support plan is also developed in this time.  Personal resident information is kept confidential and cannot be viewed by other residents or members of the public.  Residents’ files are protected from unauthorised access and are password protected.  Archived records are secure in locked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are legible, dated, timed, and signed by the relevant caregiver or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the service policy includes requirements and procedures to be followed when a resident is admitted to the service.  Admission agreements were signed in all resident’s sampled records.  Admission agreements reflect all the contractual requirements.  Residents and families reported that the admission agreements were discussed with them in detail by the facility manager or health and wellbeing manager.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had the appropriate needs assessments prior to admission to the service.  The service has specific information available for residents/families/EPOA at entry and it included associated information such as the Health and Disability Code of Rights, advocacy, and complaints procedure.  The admission agreement reviewed aligned with the ARRC contract and exclusions from the service were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describe guidelines for death, discharge, transfer, documentation, and follow-up.  A record is kept, and a copy of details is kept on the resident’s file.  All relevant information is documented and communicated to the receiving health provider or service.  The registered nurse verbalised that telephone handovers are conducted for all transfers to other providers.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The RN, and medication competent caregivers administer medications.  Monthly regular medications and ‘as required’ medications are delivered in blister packs.  Medications are reconciled on delivery by the RN and checking for each pack is entered into the electronic medication system.  Any pharmacy errors are recorded and fed back to the supplying pharmacy All medications in stock are prescribed for residents.  There are no standing orders.  There are three self-medicating residents (inhalers) who have self-medication competencies and related required documents completed.  Staff check that residents take medications.  The medication fridge and room air temperatures are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Ten electronic medication charts were reviewed.  All residents have individual medication charts with photo identification and allergy status documented.  Medication charts have been reviewed three-monthly.  The effectiveness of ‘as required’ medications had been documented in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support workers with medication administration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All residents have individual medication orders with photo identification and allergy status documented on the electronic medication system and all had been authorised (signed) by the GP and reviewed three-monthly.  The medication chart was signed each time staff administered a medicine.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and cooked on site at Wakefield Rest Home.  There is a qualified chef and kitchenhand on duty each day.  The main meal is at midday and the evening meal is pre-prepared for care staff to reheat and serve.  Staff have received food safety training.  There is a four-weekly rotating menu.  The service provides meals-on-wheels to the community.  The summer menu has been reviewed by a registered dietitian.  Meals are served directly to residents in the adjacent dining room.  The cook receives notification of any resident dietary changes and requirements.  Dislikes and food allergies are known and accommodated, and alternative foods offered.  Special diets include soft modified diets, diabetic, gluten free, meat free, diary free and vegetarian.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in place - expiry date 31 December 2021.  Fridge, chiller, and freezer temperatures were recorded daily. End-cooked food temperatures had been taken and recorded daily.  Thermometers are calibrated regularly as required.  A cleaning schedule is maintained.  All dry goods had expiry dates, stored in containers with lids on and stored off the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were very satisfied with the meals.  They have the opportunity to provide feedback on the menu at the resident meetings and annual survey.  The chef and kitchenhand interact frequently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meals were well-presented, and residents confirmed that they are provided with alternative meals as per request.  There were no residents with unintentional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rest home records the reason for declining entry to potential residents should this occur and communicates this to potential residents/family/whānau and refers them back to the referral agency.  The reason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six-monthly.  Appropriate risk assessments had been completed for individual resident issues.  The health and wellbeing manager has completed interRAI training and the assessment tool was evident in resident files and linked to long-term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included all required documentation.  The long-term care plans sampled were completed within three weeks of admission and were resident-focused and personalised.  Interventions included support for current needs.  Short-term care plans are developed where needed and were evident in the sampled files.  Care plans reviewed had been evaluated for identified issues and were completed six-monthly, or as condition changed.  Resident files reviewed identified that family were involved in the care plan development and ongoing care needs of the resident.  Families interviewed confirmed their involvement in the care planning process.  Short-term care plans are in use for short-term needs and all infections and changes in health status.  Staff members reported they are informed about changes in the care plans.  Integration of records and monitoring documents are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initiates a GP visit.  Family members are notified of any changes to the residents’ health.  Care plans are current, and interventions reflect the assessments conducted and the identified requirements of the residents.  Residents interviewed stated their expectations were being met.   There were no relatives visiting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wound assessment, wound management plan and evaluations were in place for one resident with two skin tears.  The size of the wounds is measured, and photos taken.  Dressings are changed as per the documented frequency.  There was evidence of the management of previous skin tears.  There were no current wounds managed including pressure injuries and chronic wounds.   The district nurses are readily available for wound advice if required.  The service uses home-made ointment and oils to improve residents skin integrity.  The application of topical alternative therapies is applied with written resident consent and are charted by the GP as alternate therapies.  They do not replace prescription treatments.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included a urinary continence assessment, bowel management, and continence products identified for use.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observations (blood pressure and pulse), blood glucose, bowel record, food and fluids, behaviours, and restraint monitoring.  There is a daily scheduled intervention list for each resident on the electronic resident file.  Progress notes reflect daily interventions and key information.  The wellbeing manager/RN and stated staff promptly report any resident changes or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current, and interventions reflect the assessments conducted and the identified requirements of the residents.  Interviews with staff (registered nurse and caregivers) and residents confirmed involvement of families in the care planning process.  Caregivers, and the RN interviewed, stated there is adequate equipment provided including continence and wound care supplies.  Visual inspection confirmed that continence products were available and resident files included a urinary continence assessment, bowel management, and continence products identified for day use, night use, and other management.  Specialist continence advice was available as needed and this could be described.  Wound assessment and wound management plans were in place for three previous skin tears, evaluations occurred as required and dressing changes were documented as scheduled.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and ‘as required’ for nutritional intake and behaviour.  Neurological observations are completed for unwitnessed falls or for suspected head injury following a fall.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has been in the role for five years and works Monday to Friday for 17 hours a week.  The programme is planned over a five-day week and times vary according to the activity.  The hours are flexible to accommodate activities and events outside of her normal working hours.  The activity coordinator is progressing through the diversional therapy (DT) course and attends the regional DT meetings.  There is a morning programme Monday to Friday and an afternoon programme three afternoons a week.  The programme is planned monthly and additional activities are supported by the caregivers.  There are available resources including puzzles, DVDs, and books.  A weekly programme is displayed.  There are several volunteers and staff volunteers who assist with activities and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 (but not limited to), exercises, bingo, bowls, walks, crafts, quizzes, and happy hours.  There are musical entertainers weekly.  Church services are held fortnightly rotating between three local churches.   There are outings into the community such as events at the Anglican church and community lunches.  There are weekly van outings to places of interest, scenic drives, and shopping.  The activity coordinator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one-on-one time spent with the younger people and a volunteer takes residents out to cafés and for walks.  The residents choose group activities they would like to attend and are supported to attend community activities of their choice.  One resident has been supported to attend animal assisted therapy.  Some residents assist with setting the tables, taking bins out and help with recycling.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activity assessment, and an activity plan is included in the electronic long-term care plan which is evaluated every six months.  Residents have the opportunity to feedback on the programme at the two monthly resident meetings or at any time.  Residents interviewed were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were reviewed and evaluated every six months or earlier as required in the electronic files reviewed.  The long-term care plans had been evaluated against goals and outcomes and updated with changes to care.  The residents and family members reported they were involved in all aspects of care and reviews/evaluations of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in progress notes of family involvement in care plan evaluations.  Care staff are asked for input into the care plan evaluation.</w:t>
            </w:r>
          </w:p>
          <w:p w:rsidR="00EB7645" w:rsidRPr="00BE00C7" w:rsidP="00BE00C7">
            <w:pPr>
              <w:pStyle w:val="OutcomeDescription"/>
              <w:spacing w:before="120" w:after="120"/>
              <w:rPr>
                <w:rFonts w:cs="Arial"/>
                <w:b w:val="0"/>
                <w:lang w:eastAsia="en-NZ"/>
              </w:rPr>
            </w:pPr>
            <w:r w:rsidRPr="00BE00C7">
              <w:rPr>
                <w:rFonts w:cs="Arial"/>
                <w:b w:val="0"/>
                <w:lang w:eastAsia="en-NZ"/>
              </w:rPr>
              <w:t>The family are notified of GP visits and three-monthly reviews by phone call and if unable to attend, they are informed of all the changes.  There is at least a three-monthly medical review by the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is evidence of referrals by the GP to other specialist services.  The residents and the families are kept informed of the referrals made by the service.  The RN facilitates internal referrals.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were securely stored on the day of audit.  Maintenance staff advised that all chemical storage areas both inside and outside were locked when not in use.  Chemicals were clearly labelled, and safety material datasheets were available and accessible in all service areas.  The hazard register is current.  Staff interviewed confirmed they can access personal protective clothing and equipment at any time.  As observed during the audit, staff were wearing gloves, aprons and hats when required.  Review of staff training records and interviews with caregivers confirmed that regular training and education on the safe and appropriate handling of chemical and waste and hazardous substances occurs. </w:t>
            </w:r>
          </w:p>
          <w:p w:rsidR="00EB7645" w:rsidRPr="00BE00C7" w:rsidP="00BE00C7">
            <w:pPr>
              <w:pStyle w:val="OutcomeDescription"/>
              <w:spacing w:before="120" w:after="120"/>
              <w:rPr>
                <w:rFonts w:cs="Arial"/>
                <w:b w:val="0"/>
                <w:lang w:eastAsia="en-NZ"/>
              </w:rPr>
            </w:pPr>
            <w:r w:rsidRPr="00BE00C7">
              <w:rPr>
                <w:rFonts w:cs="Arial"/>
                <w:b w:val="0"/>
                <w:lang w:eastAsia="en-NZ"/>
              </w:rPr>
              <w:t>There is a slice next to the laundry with protective eyewear, gloves, and aprons.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is single level and divided into two wings Betty wing (10 beds) and John wing (12 beds).</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that expires 19 April 2022.  The last recorded fire drill and notification occurred in July 2020 (link 1.4.7.1).  A maintenance person addresses day to day repairs and completes the maintenance requests in a timely manner and sign off the maintenance book when completed. There was no evidence of an annual preventative maintenance plan and hot water temperatures have not been consistently monitored. Testing and tagging of electrical equipment has been completed in March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ongoing refurbishment and upgrades in the homestead including painting, wallpapering, overhaul of electrical wiring and lighting, replacement of fans in communal bathrooms and toilets, upgrade of medication/treatment room and new window furnishings.  </w:t>
            </w:r>
          </w:p>
          <w:p w:rsidR="00EB7645" w:rsidRPr="00BE00C7" w:rsidP="00BE00C7">
            <w:pPr>
              <w:pStyle w:val="OutcomeDescription"/>
              <w:spacing w:before="120" w:after="120"/>
              <w:rPr>
                <w:rFonts w:cs="Arial"/>
                <w:b w:val="0"/>
                <w:lang w:eastAsia="en-NZ"/>
              </w:rPr>
            </w:pPr>
            <w:r w:rsidRPr="00BE00C7">
              <w:rPr>
                <w:rFonts w:cs="Arial"/>
                <w:b w:val="0"/>
                <w:lang w:eastAsia="en-NZ"/>
              </w:rPr>
              <w:t>Communal areas are spacious and comfortable for the residents.  There is a fish tank and a pool table in the communal lounge.</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well-maintained gardens and seating available with shade for residents.  There is a courtyard accessible from the dining room.  There are ramps available at certain entry points to accommodate mobility scooters and ambulance transfer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Handrails are installed in corridors, showers, and toilets to promote safe mobilisation.  The physical environment minimises the risk of falls and promotes safe mobility by ensuring the flooring is appropriate and secure, bathroom floors are non-slip, and walking areas are not cluttered.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 sizes are adequate, and the lounges and dining areas are functional and comfortable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both internal maintenance and external contractors.  Clinical equipment is tested and calibrated by an approved provider at least annually or when required.  The facility is being maintained in good repair.  </w:t>
            </w:r>
          </w:p>
          <w:p w:rsidR="00EB7645" w:rsidRPr="00BE00C7" w:rsidP="00BE00C7">
            <w:pPr>
              <w:pStyle w:val="OutcomeDescription"/>
              <w:spacing w:before="120" w:after="120"/>
              <w:rPr>
                <w:rFonts w:cs="Arial"/>
                <w:b w:val="0"/>
                <w:lang w:eastAsia="en-NZ"/>
              </w:rPr>
            </w:pPr>
            <w:r w:rsidRPr="00BE00C7">
              <w:rPr>
                <w:rFonts w:cs="Arial"/>
                <w:b w:val="0"/>
                <w:lang w:eastAsia="en-NZ"/>
              </w:rPr>
              <w:t>There is a centrally located nurses’ station with a separate medication/treatment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confirmed the environment was suitable and safe to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toilets and bathrooms for the number of residents.  Privacy is maximised throughout with signs on all doors when occupied.  All bathrooms and toilets are maintained to a good standard, are disability accessible with easy to clean walls and floors.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bedrooms and enough space for the safe manoeuvring of mobility equipment.  Residents can personalise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room for facilitating activities.  Appropriate comfortable seating is provided, and quiet spaces are available for use.  The main lounge in the rest home is large and is used for functions and activities.  The dining rooms and lounges are within easy walking distances to bedrooms.  Residents interviewed confirmed they use their rooms or external areas if they want privacy or quiet time.  All furniture is safe and suitable for the resident group.  The manager, residents and staff reported that refurbishments are continuing, and they enjoy the bright colours.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staff are responsible for laundry and cleaning services.  There is a laundry with a clean and dirty flow.  Personal clothing and linen are sorted and laundered on site.  Towels and facecloths are done off site by an external contractor.  Cleaning chemicals are securely stored in locked cupboards.  Current safety material datasheets about each product are located with the chemicals in each area of service.  The chemicals are stored appropriately.  The cleaner’s trolley is stored in a locked room when not in use.  The residents and their families confirmed they were happy with laundry services.  A visual inspection confirmed the laundry and cleaning processes are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management plans in place to ensure health, civil defence and other emergencies are included.   The recent fire evacuation drill documentation was not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completed the required monthly fire checks.  There are adequate supplies in the event of a civil defence emergency including sufficient food, water (water tank and bottled water), blankets and alternate gas cooking in kitchen and BBQ.  A generator can be sourced locally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sufficient personal protective equipment (PPE) supplies and first aid kits available.   Short-term backup power for emergency lighting is in place.  A minimum of one person trained in first aid is available at all times.  The health and wellbeing manager/RN holds a current first aid certificate.  There is a call bell system in place and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are emergency numbers and contractors’ numbers documented for staff and this is available at the nurse’s station.  Staff complete security checks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are well ventilated and light.  There are a mix of heating sources available.  The maintenance person interviewed ensures the heating systems are running smoothly and that appropriate checks are performed.  On the day of audit, the indoor temperature was comfortable.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interviewed, confirmed the internal temperatures and ventilation are comfortable during the summer and winter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Homestead has an established infection control (IC) programme.  The infection control programme is appropriate for the size, complexity and degree of risk associated with the service.  The health and wellbeing manager (RN) is the designated infection control person with support from all staff.  Infection control matters are routinely discussed at all quality/staff meetings.  Education has been provided for staff.  The infection control programme has been reviewed annually.  Visitors are reminded not to visit if they are feeling unwell.  There is an electronic screening system in place at the entrance of the facility which reads visitors temperatures and reminds everyone to wear a mask.  All visitors and contractors are required to sign in on entry to the facility, complete a wellness declaration, and use the hand sanitiser available in line with current Covid 19 restrictions.  All contractors and suppliers are currently notifying the facility manager of staff vaccination status and are only providing staff who have been fully vaccinated.  The service has recently lost two staff members under the current vaccination mandate.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health and well-being manager/RN is responsible for infection prevention and control.  The infection control team is all staff through the quality/staff meeting.  External resources including the infection control specialist at the DHB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DHB held an onsite Covid 19 preparedness audit, the service is working alongside the DHB around staffing requirements and recommendations.  Posters are located appropriately in the laundry and sluice areas around donning and doffing personal protective equipment.  Adequate supplies of personal protective equipment (PPE) were sighted during the audit, and staff was knowledgeable around the appropriate use of PPE.  Due to the facility running at full capacity, shared bathroom, and toilet facilities, if there were an outbreak, and the resident was unable to be isolated, the resident would need to be transferred to Nelson Hospital as discussed with the infection control specialist during the audit.  The practice nurse at the GP practice located next door to the facility provide covid testing.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and include Covid 19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programme includes infection control education.  The infection control coordinator has completed infection control updates and provides staff in-service education, which is now available through the online education platform.  Education is provided to residents during daily support with all residents interviewed able to describe infection prevention practice including education for residents around Covid and keeping safe that is safe and suitable for the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quality/staff meetings and results posted for staff to view.  If there is an emergent issue, it is acted upon in a timely manner.  Reports are easily accessible to the facility manager.  The infection rate is very low and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has restraint minimisation and safe practice policies and procedures in place.  Policies and procedures include definition of restraint and enabler that are congruent with the definition in NZS 8134.0.  There were no residents using an enabler and one resident with a lap belt restraint.  All restraint documentation and monitoring were in place.  Staff receive training in restraint minimisation and challenging behaviour management.  Staff complete restraint and challenging behaviour questionnaires.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RN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restraint coordinator/RN in partnership with the resident and their family.  Restraint assessments are based on information in the care plan, family, staff, and GP consultation and during observations.  There is provision for emergency restraint if required, for safety of the residents, other residents/staff.  Ongoing consultation with the family and staff is evident through multidisciplinary meetings and facility meetings.  One restraint file (one lap belt) reviewed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RN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six-monthly as part of the multi-disciplinary review for the resident on restraint.  Families are included as part of this review.  A review one file of a resident using restraints identified that evaluations were up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facility meetings.  Meeting minutes include a review of the restraint and challenging behaviour education and training programme for staff.  Staff receive orientation in restraint use on employment.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6"/>
        <w:gridCol w:w="1280"/>
        <w:gridCol w:w="6858"/>
        <w:gridCol w:w="2209"/>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place to guide management through employment stages.  Interview questions and referee checks were evident in recently appointed staff files, however, not all individual employment agreements or job descriptions were able to be located either electronically or hard copy.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employment agreements could not be located for two of six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could not be located for all six staff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employment agreements could not be located for two of six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could not be located for all six staff files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Questionnaires were completed recently by all staff around restraint, handwashing, infection control and fire safety.  Manual handling, and medication competencies were current, and there were four members of staff booked on a first aid course, which will then have all staff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with staff, they described the orientation process, including receiving a pack with a checklist of policies to be read, and competencies to complete, and being ‘buddied’ with an experienced member of staff who signs off the checklist on completion of the task.  This was evidenced in one staff file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Orientation checklists could not be located for three of six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copy of the orientation checklist is included in the staff files.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Wakefield Homestead has recently implemented an online education platform for staff to complete education.  The health and wellbeing manager is currently setting up the library of education sessions to be completed.  Education sessions have historically been included in staff meetings and have included sessions including advocacy, pain management, infection control, falls prevention, elder abuse and neglect, restraint, complaint management, and pressure injury prevention, however, not all compulsory education sessions have been completed in the last two years.  There is a high number of attendance recorded at sessions which been held at the staff meetings and using the online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yet to be held include sexuality and intimacy, code of rights including privacy and dignity, and chemical safety, these are planned to be included in the online library of sessions for staff to complete.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education sessions are held according to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completed a maintenance book.  The maintenance person completes reactive maintenance and respond in a timely manner.  External contractors are available to assist and support with maintenance issues.  An annual preventative maintenance plan was not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boiler temperatures are recorded monthly however the hot water temperatures were last recorded in December 2020.  An environmental audit was completed.  Hot water temperatures at level on the day were 45 degrees Celsius.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 documented evidence of an annual preventative maintenance plan was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Hot water temperatures were not documented as being monitored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an annual preventative maintenance plan is available and completed.</w:t>
            </w:r>
          </w:p>
          <w:p w:rsidR="00EB7645" w:rsidRPr="00BE00C7" w:rsidP="00BE00C7">
            <w:pPr>
              <w:pStyle w:val="OutcomeDescription"/>
              <w:spacing w:before="120" w:after="120"/>
              <w:rPr>
                <w:rFonts w:cs="Arial"/>
                <w:b w:val="0"/>
                <w:lang w:eastAsia="en-NZ"/>
              </w:rPr>
            </w:pPr>
            <w:r w:rsidRPr="00BE00C7">
              <w:rPr>
                <w:rFonts w:cs="Arial"/>
                <w:b w:val="0"/>
                <w:lang w:eastAsia="en-NZ"/>
              </w:rPr>
              <w:t>(ii). Ensure hot water temperatures are consistently monitored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staff have a current first aid certificate on file, the remaining four (new staff) are booked on the next available course in early December 2021.  Staff interviewed were knowledgeable around emergency management procedures and the use of fire cells within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 audit questionnaire stated the last fire drill occurred 2 November 2021 however, there was no documented evidence of the recent fire drill held. The last documented fire drill was completed was recorded on 17 July 2020.  Staff interviewed confirm they completed annual fire evacuation training.  Emergency and fire evacuation education is completed at orientation and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that could be located to confirm that six monthly fire drills had been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documented evidence of all fire drills are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Holmbridge Holdings 1852 Limited - Wakefield Homestead</w:t>
    </w:r>
    <w:bookmarkEnd w:id="58"/>
    <w:r>
      <w:rPr>
        <w:rFonts w:cs="Arial"/>
        <w:sz w:val="16"/>
        <w:szCs w:val="20"/>
      </w:rPr>
      <w:tab/>
      <w:t xml:space="preserve">Date of Audit: </w:t>
    </w:r>
    <w:bookmarkStart w:id="59" w:name="AuditStartDate1"/>
    <w:r>
      <w:rPr>
        <w:rFonts w:cs="Arial"/>
        <w:sz w:val="16"/>
        <w:szCs w:val="20"/>
      </w:rPr>
      <w:t>19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