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Homestead Ilam Care &amp; Hospital Limited - Homestead Ilam Care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Homestead Ilam Care &amp;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Homestead Ilam Care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2021</w:t>
      </w:r>
      <w:bookmarkEnd w:id="7"/>
      <w:r w:rsidRPr="009418D4">
        <w:rPr>
          <w:rFonts w:cs="Arial"/>
        </w:rPr>
        <w:tab/>
        <w:t xml:space="preserve">End date: </w:t>
      </w:r>
      <w:bookmarkStart w:id="8" w:name="AuditEndDate"/>
      <w:r w:rsidR="00A4268A">
        <w:rPr>
          <w:rFonts w:cs="Arial"/>
        </w:rPr>
        <w:t>4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Homestead Ilam Care &amp; Hospital is privately owned since January 2021. The service provides rest home and hospital care for up to 39 residents. On the day of the audit there were 36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 xml:space="preserve">The owner is the manager (non-clinical). There is a clinical nurse manager who has been in the role for three years and is supported by a quality coordinator. </w:t>
      </w:r>
    </w:p>
    <w:p w:rsidRPr="00A4268A">
      <w:pPr>
        <w:spacing w:before="240" w:line="276" w:lineRule="auto"/>
        <w:rPr>
          <w:rFonts w:eastAsia="Calibri"/>
        </w:rPr>
      </w:pPr>
      <w:r w:rsidRPr="00A4268A">
        <w:rPr>
          <w:rFonts w:eastAsia="Calibri"/>
        </w:rPr>
        <w:t>Residents, relatives, and the general practitioner interviewed all spoke positively about the care and support provided.</w:t>
      </w:r>
    </w:p>
    <w:p w:rsidRPr="00A4268A">
      <w:pPr>
        <w:spacing w:before="240" w:line="276" w:lineRule="auto"/>
        <w:rPr>
          <w:rFonts w:eastAsia="Calibri"/>
        </w:rPr>
      </w:pPr>
      <w:r w:rsidRPr="00A4268A">
        <w:rPr>
          <w:rFonts w:eastAsia="Calibri"/>
        </w:rPr>
        <w:t xml:space="preserve">The service implements the organisations quality and risk management programme. An induction and in-service training programme that provides staff with appropriate knowledge and skills to deliver care is in place. </w:t>
      </w:r>
    </w:p>
    <w:p w:rsidRPr="00A4268A">
      <w:pPr>
        <w:spacing w:before="240" w:line="276" w:lineRule="auto"/>
        <w:rPr>
          <w:rFonts w:eastAsia="Calibri"/>
        </w:rPr>
      </w:pPr>
      <w:r w:rsidRPr="00A4268A">
        <w:rPr>
          <w:rFonts w:eastAsia="Calibri"/>
        </w:rPr>
        <w:t xml:space="preserve">The service continues to make improvements to the environment and embed the new business philosophy and culture. </w:t>
      </w:r>
    </w:p>
    <w:p w:rsidRPr="00A4268A">
      <w:pPr>
        <w:spacing w:before="240" w:line="276" w:lineRule="auto"/>
        <w:rPr>
          <w:rFonts w:eastAsia="Calibri"/>
        </w:rPr>
      </w:pPr>
      <w:r w:rsidRPr="00A4268A">
        <w:rPr>
          <w:rFonts w:eastAsia="Calibri"/>
        </w:rPr>
        <w:t xml:space="preserve">This audit identified improvements are required related to staff orientation, service delivery documentation and medication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Homestead Ilam Care &amp; Hospital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Homestead Ilam Care &amp; Hospital has a current business plan and a quality and risk management programme that outlines goals for the year. Meetings are held to discuss quality and risk management processes. An internal audit programme identifies corrective actions and areas for improvement which have been implemented. Residents’/family meetings are held regularly, and residents and families are surveyed annually.</w:t>
      </w:r>
    </w:p>
    <w:p w:rsidRPr="00A4268A">
      <w:pPr>
        <w:spacing w:before="240" w:line="276" w:lineRule="auto"/>
        <w:rPr>
          <w:rFonts w:eastAsia="Calibri"/>
        </w:rPr>
      </w:pPr>
      <w:r w:rsidRPr="00A4268A">
        <w:rPr>
          <w:rFonts w:eastAsia="Calibri"/>
        </w:rPr>
        <w:t>Health and safety policies, systems and processes are implemented to manage risk. Incidents are collated monthly and reported at facility meetings. Falls prevention strategies are in place that includes the analysis of falls incidents.</w:t>
      </w:r>
    </w:p>
    <w:p w:rsidRPr="00A4268A">
      <w:pPr>
        <w:spacing w:before="240" w:line="276" w:lineRule="auto"/>
        <w:rPr>
          <w:rFonts w:eastAsia="Calibri"/>
        </w:rPr>
      </w:pPr>
      <w:r w:rsidRPr="00A4268A">
        <w:rPr>
          <w:rFonts w:eastAsia="Calibri"/>
        </w:rPr>
        <w:t xml:space="preserve">There is an annual education and training programme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registered nurses are responsible for each stage of service provision. The registered nurses are responsible for all aspects of care planning, assessment, and evaluation of care with the resident and/or family input.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There is dietitian review of the menu.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all external areas were accessible and of an appropriate standard. There is a preventative and planned maintenance schedule in place.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always on duty.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On the day of the audit there were no residents with any restraints and three residents using an enabler. Staff receive training in restraint minimisation and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standards, and procedures to guide staff.  The infection control programme and its content and detail are appropriate for the size, complexity and degree of risk associated with the service. The infection control coordinator (RN) is responsible for coordinating/providing education and training for staff. The infection control coordinator uses the information obtained through surveillance to determine infection control activities, resources and education needs within the facility. A monthly infection control report is completed. There have been no outbreaks. A pandemic plan was actioned, and Covid-19 policies and procedures have been developed and implemented. Homestead Care &amp; Hospital continues to implement current Covid-19 regulations around contact tracing.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7"/>
        <w:gridCol w:w="1280"/>
        <w:gridCol w:w="97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eight clinical staff (six caregivers, one registered nurse [RN], and one diversional therapist) confirmed their familiarity with the Code. Interviews with seven residents (three rest home including two younger persons under 65 years and four hospital including one on palliative care) and one relative (hospital) confirmed the services being provided are in line with the Code. The Code is discussed at resident, staff, and quality risk/health &amp;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and advanced directives. All six resident files reviewed included signed informed consent forms and advance directive instructions. Staff are aware of advance directives. Admission agreements were sighted, which were signed by the resident or nominated representative. Discussion with residents identified that the service actively involves them in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could occur without restrictions when Covid-19 alert levels permits. Younger persons (LTS-CHC) interviewed stated they are encouraged wherever possible to maintain former activities and interests in the community. They are supported to attend community events, clubs, and interest groups in the community. Residents confirmed the staff help them access community groups. Residents informed that relatives and friends are encouraged to be involved with the service and care. Male residents are supported to attend the community Men’s group. Two residents are being supported to attend regular home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nurse manager maintain a record of all complaints, both verbal and written.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complaints logged since the previous provisional audit in November 2020. The manager confirmed all complaints (when received) are documented, a comprehensive investigation, follow-up, and replies to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 for directing complaints to the most senior person on duty. Discussions with residents and the relative confirmed they were provided with information on complaints and complaints forms. Complaint forms are available in the foyer. The policy is visible on the noticeboards beside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manager or clinical nurse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receive training on abuse and neglect. Staff interviewed could describe how they ensure privacy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one resident of Maori descent and Maori staff. Cultural days and education around different cultures and cultural safety is held. The manager interviewed confirmed advice and guidance on cultural matters related to Māori is available from the local district health board Māori and Pasifika health. Cultural and spiritual practice is supported and identified needs are incorporated into the care planning process and review as demonstrated in the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programme that continuously identifies opportunities for improvement. Regular scheduled education sessions provide professional development and to upskill the workforce. </w:t>
            </w:r>
          </w:p>
          <w:p w:rsidR="00EB7645" w:rsidRPr="00BE00C7" w:rsidP="00BE00C7">
            <w:pPr>
              <w:pStyle w:val="OutcomeDescription"/>
              <w:spacing w:before="120" w:after="120"/>
              <w:rPr>
                <w:rFonts w:cs="Arial"/>
                <w:b w:val="0"/>
                <w:lang w:eastAsia="en-NZ"/>
              </w:rPr>
            </w:pPr>
            <w:r w:rsidRPr="00BE00C7">
              <w:rPr>
                <w:rFonts w:cs="Arial"/>
                <w:b w:val="0"/>
                <w:lang w:eastAsia="en-NZ"/>
              </w:rPr>
              <w:t>Since change of ownership the new directors have worked to establish a culture/identity for the staff to feel a part of and the residents to take comfort in seeing existed. The new owners have created a new logo and brand name ‘Homesteadcare Ilam’ .  This has been established and captures what they are all about which is:  ‘Kindness and Care is at the heart of what they do and their business goals. They introduced an Employee of the Month award which is where a staff member demonstrates their CARE pillars: Commitment, Atmosphere, Respect and Excellence. They have established a leadership team which meet every Monday morning to ensure everyone is up to date and it provides an opportunity for feedback. There have been several environmental improvements and refurbishments.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a relative interviewed confirmed the admission process and agreement was discussed with them. They were provided with adequate information on entry. The manager and clinical nurse manager (RN) operate an open-door policy. Twelve incident/accident forms reviewed from October 2021 identified the next of kin (NOK) were notified following a resident incident. The clinical nurse manager, the registered nurse and caregivers confirmed relatives are kept informed. The relative interviewed confirmed they are notified promptly of any incidents/accidents.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Homesteadcare Ilam provides care for up to 39 rest home and hospital level residents. Thirty-seven of thirty-nine beds are dual-purpose (two beds are rest home only). One room has been certified as a double room (Homestead wing), the manager reported this has only ever been used as a single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36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five younger residents on a long-term support - chronic health contract (LTS-CHC), one on respite care at rest home level, and 13 residents at rest home level care on the age-related residential care contract (ARRC). There were 17 residents receiving hospital level care (ARRC) including one resident on an individual funding Ministry of Health contract and one on end-of-life contract (EOL).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2021-2022 business plan has been documented to reflect the new business philosophy, mission, and vision. The 2021 quality plan is on schedule. Quality goals for the year include staff education, client-centred approach, and general refurbishments. Quality goals feature as an agenda item for the quality meeting and progress is documented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(non-clinical) owner. The manager has a background in investment banking and project management experience. He is supported by a full-time clinical nurse manager who has been employed in the role for three years. The clinical nurse manager was a registered nurse at the facility for ten years prior to moving into the clinical nurse manager role. The quality coordinator, a registered nurse, also worked at the facility as a registered nurse for eight years prior to becoming the quality coordinator four years ago. The quality coordinator currently works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Both the manager and the clinical nurse manager have attended at least eight hours education around the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along with the quality coordinator, provide cover during a temporary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by an external contractor every two years, or sooner if required. Staff have access to policy manuals. The quality management system and performance monitoring programme continued from the previous year. The policies were reviewed in May 2021 by an external consultant to reflect the new business name and philosophy. Reviews of policies will occur two yearly.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Data is collected and entered onto the electronic system, analysed, and presented at the meetings by the quality coordinator. Where improvements are identified, corrective actions are developed, implemented, and regularly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quality/health and safety/infection control meetings are held two-monthly. The quality team is representative of the facility. Meeting minutes evidenced quality data, trends and analysis including areas for improvement around infections, accidents and incidents, health and safety, restraints/enablers, concerns/complaints, internal audit outcomes and quality goals. Agenda items cover health and safety issues, new hazards, hazard register reviews, education, and concerns/issues from each department of the facility. Results of this meeting are discussed at the monthly staff meetings. The minutes of the staff meetings evidenced discussion around quality data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completed in November 2020 evidenced overall satisfaction with the service. Corrective actions were identified for areas of low satisfaction and were discussed at the combined quality meeting and staff meetings. As a result of comments related to the garden and outdoor areas, significant improvement had been done to improve the outdoor areas including new furniture. The food satisfaction survey for 2021 showed overall satisfaction with the meals, and residents provided suggestions around the types and variety of meals which have been incorporated into the menu. Satisfaction results were shared at staff and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paper-based reports are completed for each incident/accident by the caregivers and registered nurses (first on the scene), with immediate action noted and any follow-up action(s) required. The incident reports are reviewed and signed off by the quality coordinator (RN) and entered onto the electronic system. The data is analysed, and corrective actions to minimise risks are discussed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resident related accident/incident forms were reviewed (eight hospital and four rest home level). Each event involving a resident reflected follow-up by a registered nurse. The next of kin had been informed (as requested by relatives). Neurological observations are conducted for suspected head injuries, and where possible identify opportunities to minimise, future risks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their requirement to notify relevant authorities in relation to essential notifications. One section 31 notification was made on the day of the audit to indicate RN unavailability in October 2021 (twelve RN shifts covered by either the clinical nurse manager or quality coordinator). There were no other section 31 notifications since the last audit. There have been no outbreaks since the previous audit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The service has an orientation programme in place that provides new staff with relevant information for safe work practice and includes buddying when first employed. </w:t>
            </w:r>
          </w:p>
          <w:p w:rsidR="00EB7645" w:rsidRPr="00BE00C7" w:rsidP="00BE00C7">
            <w:pPr>
              <w:pStyle w:val="OutcomeDescription"/>
              <w:spacing w:before="120" w:after="120"/>
              <w:rPr>
                <w:rFonts w:cs="Arial"/>
                <w:b w:val="0"/>
                <w:lang w:eastAsia="en-NZ"/>
              </w:rPr>
            </w:pPr>
            <w:r w:rsidRPr="00BE00C7">
              <w:rPr>
                <w:rFonts w:cs="Arial"/>
                <w:b w:val="0"/>
                <w:lang w:eastAsia="en-NZ"/>
              </w:rPr>
              <w:t>Seven staff files were reviewed (three RNs, three caregivers, and one cook); orientation documentation is kept on file however four new staff orientation documentation had not been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evidenced implementation of the recruitment process, employment contracts, house rules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was sighted. A competency programme is in place. Core competencies are completed annually, and a record of completion is maintained (signed competency questionnaires sighted in reviewed files included: medications, restraint, infection control and hand washing, hoists, and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The caregivers are encouraged to undertake a New Zealand Qualification Authority (NZQA) qualification (Careerforce). Currently, all 19 caregivers have qualifications, nine caregivers with level 4 NZQA, five with level 3 and five with level 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provided opportunities for training from the DHB and attend external first aid and syringe driver training, all first aid certificates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registered nurses are able to attend external training such as seminars and education sessions with the local DHB. Four of the current five RNs including the quality coordinator are trained in interRAI.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a new registered nurse commenced orientation. The service continues to rely on agency availability to replace the sick leave and annual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were three registered nurses that resigned this year, however, the manager and clinical nurse manager reported they now have a full complement of registered nurses, with the most recently employed registered nurse due to commence orientation at the beginning of October 2021. Agency staff have been utilised to cover vacant RN shifts, however due to leave/sickness, the clinical nurse manager was covering the weekend night shifts on occasions. Management reported all staff members will return to their regular positions once the new RN is orientated to the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manager are full-time Monday to Friday.  The quality coordinator (RN) works 8 am to 4.15 pm Monday, Wednesday and Thursday.  There is one registered nurse on each shift and 1x 6.45 am to 2 pm (senior caregiver with medication competency work across all wings).  </w:t>
            </w:r>
          </w:p>
          <w:p w:rsidR="00EB7645" w:rsidRPr="00BE00C7" w:rsidP="00BE00C7">
            <w:pPr>
              <w:pStyle w:val="OutcomeDescription"/>
              <w:spacing w:before="120" w:after="120"/>
              <w:rPr>
                <w:rFonts w:cs="Arial"/>
                <w:b w:val="0"/>
                <w:lang w:eastAsia="en-NZ"/>
              </w:rPr>
            </w:pPr>
            <w:r w:rsidRPr="00BE00C7">
              <w:rPr>
                <w:rFonts w:cs="Arial"/>
                <w:b w:val="0"/>
                <w:lang w:eastAsia="en-NZ"/>
              </w:rPr>
              <w:t>Kyle has 14 beds with 10 hospital level residents and three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has three caregivers: 1x 7 am to 3.15 pm, 2x 7 am to 1.30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has two caregivers: 1x 3 pm to 11 pm and one from 4pm-8pm </w:t>
            </w:r>
          </w:p>
          <w:p w:rsidR="00EB7645" w:rsidRPr="00BE00C7" w:rsidP="00BE00C7">
            <w:pPr>
              <w:pStyle w:val="OutcomeDescription"/>
              <w:spacing w:before="120" w:after="120"/>
              <w:rPr>
                <w:rFonts w:cs="Arial"/>
                <w:b w:val="0"/>
                <w:lang w:eastAsia="en-NZ"/>
              </w:rPr>
            </w:pPr>
            <w:r w:rsidRPr="00BE00C7">
              <w:rPr>
                <w:rFonts w:cs="Arial"/>
                <w:b w:val="0"/>
                <w:lang w:eastAsia="en-NZ"/>
              </w:rPr>
              <w:t>Ilam has 15 beds (one double room but single occupancy), with 11 rest home residents including five LTS-CHC and two hospital level residents.  Residents are very independent in this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has one caregiver: 1x 7 am to 3.15 pm and gets assistance from Homestead floater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has one caregiver from 4.30 pm to 11pm and gets assistance from Homestead floater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Homestead has 11 beds with five hospital level residents and five rest home level residents including one respite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has two caregivers: 1x 7 am to 3.15 pm, and 1x 7 am to 1.30 pm (floater)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has two caregivers: 1x 3 pm to 8.30 pm, and 1x 4.30 pm to 8.30 pm (floater).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pm caregivers from Kyle and Ilam the facility cover from 8.30 pm to 11 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had all relevant initial information recorded within 24 hours of entry into the resident’s individual record. Residents' files were located in the nurses’ station. Sensitive resident information is not displayed in a way that can be viewed by other residents or members of the public. Record entries were legible, dated and signed by the relevant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includes associated information such as the Code of Rights,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available to all residents/family/whānau on enquiry or admission. The information includes examples of how services can be accessed that are not included in the agreement.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signed admission agreements were sighted. The admission agreement reviewed aligns with the ARC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yellow envelope system is used for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that meet legislative requirements are in place and implemented. The RNs and senior caregivers who administer medications complete annual medication competencies and education on medication is provided. All medication is stored in a locked cupboard in the central nurses’ station or in the treatment room. Fridge and air temperatures met requirements. An RN does a weekly check for expired medication. Unwanted or expired medications are collected by the pharmacy weekly. Medicines (robotic rolls) are delivered weekly by the pharmacy, checked by an RN on-site, verified on the electronic medication system. Any discrepancies are fed back to the pharmacy. Standing orders are not used. All eye drops were noted to be dated at opening. A bulk supply of minimal stock medicines was available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The service uses an electronic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Twelve individual resident’s medication charts were reviewed. Resident medication charts are identified with photographs. All charts had been correctly signed and all discontinued medications had been signed and dated. All PRN medications included indication for use and the effectiveness of ‘as required’ medications was documented in the electronic medication system. There was evidence of three-monthly review by the GP. Allergies were not all documented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All meals at the service are prepared and cooked on site. The cook is supported by a second cook and a morning and afternoon kitchenhand. Meals are prepared in a well-appointed kitchen adjacent to the main dining room and served directly to the residents. A nearby activities room is used for residents requiring assistance at mealtimes. Staff were observed delivering meals and assisting residents with their lunchtime meals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five-weekly seasonal menu has been reviewed by a registered dietitian in April 2021 as per the contract and they also provide dietetic input into the provision of special menus and diets where required. A dietary assessment is completed on all residents at the time they are admitted. Residents with special dietary needs, allergies, cultural and religious preferences, likes, and dislikes have these needs identified. Resource information on these diets is available in the kitchen and via the dietitian. A dietary requirement list is updated with new admissions and changes and posted beside the servery.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Labels and dates on all containers and records of food temperature monitoring were maintained. The chiller, fridge and freezer temperatures were monitored. The kitchen was observed to be clean and well organised.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 food control plan expires in April 2022. </w:t>
            </w:r>
          </w:p>
          <w:p w:rsidR="00EB7645" w:rsidRPr="00BE00C7" w:rsidP="00BE00C7">
            <w:pPr>
              <w:pStyle w:val="OutcomeDescription"/>
              <w:spacing w:before="120" w:after="120"/>
              <w:rPr>
                <w:rFonts w:cs="Arial"/>
                <w:b w:val="0"/>
                <w:lang w:eastAsia="en-NZ"/>
              </w:rPr>
            </w:pPr>
            <w:r w:rsidRPr="00BE00C7">
              <w:rPr>
                <w:rFonts w:cs="Arial"/>
                <w:b w:val="0"/>
                <w:lang w:eastAsia="en-NZ"/>
              </w:rPr>
              <w:t>Resident weekly meetings and surveys provide an opportunity for resident feedback on the meals and food services. A specific food satisfaction survey was distributed in October and results are pending. Interviews with residents and a family member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to the service is recorded. Should this occur, the service stated it would be communicated to the potential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completes an initial assessment and care plan on admission, including a range of paper-based clinical risk assessment and relevant risk assessment tools. Risk assessments are completed six-monthly. The interRAI assessment is completed in files reviewed (link 1.3.3.3). The outcomes of assessments form the basis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sampled all included a care plan and demonstrated service integration and input from allied health. There was evidence of resident (where able) and family consultation in the care planning process. Short-term care plans were in use for changes in health status. Resident care plans reviewed were resident-centred, however did not always document the required support needs in sufficient detail. Obsolete interventions had not always been crossed out. Residents with challenging behaviours had triggers (where they could be identified), a description of behaviour, and individualised de-escalation techniques documented. Activities assessments and plans were in place for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InterRAI assessments have not always informed the care plans in a timely manner (link 1.3.3.3) and care plans do not always reflect the required support needs. There was evidence of service integration with documented input from a range of specialist care professionals, including, Nurse Maude specialists, mental health services for older people, physiotherapy, and podiatry support.  Assessments and care plans reviewed included input from allied health professionals. The residents and relative interviewed confirmed they were happy with the delivery of care. Caregivers interviewed reported they found the care plans easy to follow and contain information to provide quality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received adequate and appropriate services meeting their assessed needs and desired outcomes. Interventions were documented for each goal in the long-term care plans. Interventions from allied health providers were included in the long-term and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and continence products are readily available. There are sufficient stocks of PPE to meet requirements. If external allied health requests or referrals are required, the clinical nurse manager initiates the referral (e.g., wound care specialist, dietitian, or mental health team). A physiotherapist visits weekly and reviews new residents.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eight residents with 11 wounds: one chronic ulcer, four skin tears, and one stage two, two stage one pressure injuries and two others. The pressure injuries are progressing towards healing. All wounds have documented assessments and a treatment plan in place. All wounds show evidence of healing except for the chronic ulcer. Short-term care plans for acute wound care had interventions around management of wounds and dressings.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included a urinary continence assessment, bowel management plan, and continence products used. There were adequate supplies of incontinence products. The clinical nurse manager interviewed confirmed continence advice can be obtained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utilised to document short-term needs for resident changes to health. These had been reviewed in a timely manner or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including positioning charts, monthly (or more frequent) weight and vital sign monitoring, catheter changes, blood glucose levels food and fluid charts and behaviour charts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interviewed stated that the clinical care is good and that they are involved in the care planning. Interviews with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confirmed that independence was encouraged, and choices were offered to residents. The experienced diversional therapist works 35 hours a week and is providing a varied and innovative programme. The programme includes a range of activities which meets the abilities and needs of both hospital and rest home residents. Specific activities and community involvement is provided for younger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included physical, mental, spiritual, and social aspects of life to improve and maintain residents’ wellbeing. Activities included bus trips, walking groups. exercises, indoor sports, church group visits, community visits from church groups, schools, and preschools (depending on Covid-19 guidelines) and much more. An annual facility-wide trip to Akaroa for fish and chips is held. A music moves me programme by a music therapist involves but is not limited to bongo drums and microphone singing. One-on-one time is spent with residents prior to the start of the programme at 10:30 am. Individual activities such as walks, reading and chats and hand massage occur for residents who choose not to be involved in group activities. Themes and events are celebrated. Younger residents are encouraged to maintain links with the community with support to manage public transport and attend church groups. Younger residents are also very involved with the facility garden and local university walks.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volunteers involved in the programme, including an art therapist, who runs art classes, a music therapist for music therapy, which the DT reported is especially beneficial for residents with memory loss. Pet therapy is provided according to Covid-19 guidelines, and gardening is available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On admission, an activity coordinator completes a profile for each resident within three days and an activity plan is completed within three weeks. A record is kept of individual resident’s activities and progress notes are completed monthly. Reviews are conducted six-monthly (or earlier should the residents condition determine) as part of the care plan evaluation/review.</w:t>
            </w:r>
          </w:p>
          <w:p w:rsidR="00EB7645" w:rsidRPr="00BE00C7" w:rsidP="00BE00C7">
            <w:pPr>
              <w:pStyle w:val="OutcomeDescription"/>
              <w:spacing w:before="120" w:after="120"/>
              <w:rPr>
                <w:rFonts w:cs="Arial"/>
                <w:b w:val="0"/>
                <w:lang w:eastAsia="en-NZ"/>
              </w:rPr>
            </w:pPr>
            <w:r w:rsidRPr="00BE00C7">
              <w:rPr>
                <w:rFonts w:cs="Arial"/>
                <w:b w:val="0"/>
                <w:lang w:eastAsia="en-NZ"/>
              </w:rPr>
              <w:t>Covid-19 risk management strategies has meant continuing periods of reduced access for visitors to the facility. Regular facetime and zoom sessions were held with families at these times.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Feedback from the residents is gained through annual surveys, monthly meetings and a resident debrief session weekly where the activities coordinator receives feedback on specific activity sessions and ideas for the following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evaluate initial care plans. Files sampled demonstrated that the long-term nursing care plan was not always evaluated at least six-monthly or earlier if there is a change in health status. There was at least a three-monthly review by the GP. Short-term care plans sighted were evaluated and resolved or added to the long-term care plan if the problem is ongoing, as sighted in resident files sampled. Evaluations reviewed do not always document progress toward goals. An RN signs care plan reviews. Changes to resident health status is not always updated in the care plans (link 1.3.5.2). Residents (where appropriate) and the relative interviewed stated they were involved in care planning reviews or were informed of changes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GP and RN involve the resident (as appropriate) and relative in discussions around referrals and options for care.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Chemicals are stored in a locked cupboard. Additional chemical stocks are secured in an external building. Chemical bottles sighted have correct manufacturer labels. A sluice tub is located within the laundry. Personal protective clothing is available for staff and was observed being worn by staff when they were carrying out their duties on the day of audit. All staff have completed chemical safety training in June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2022. The maintenance person was interviewed and works four hours a day Monday to Friday. He completes maintenance requests and repairs, planned maintenance and gardens and grounds. Staff complete yellow forms for requests for repairs. A record is maintained of all repairs which is signed off by the maintenance person. There is a 52-week planned maintenance schedule in place and all maintenance undertaken is monitored by the manager with the assistance of the quality coordinator. Planned maintenance includes interior and exterior building, equipment checks, electrical checks and hot water temperature checks. Essential contractors are available 24 hours. There is ongoing refurbishment of resident rooms including mirrored bathroom cabinets, furniture, artwork and lighting, toilets and showers and communal areas including replacement of furnishings and equipment. New furniture, additional painting, and remodelling and renovation of the entrance have contributed to an open warm and inviting environment. Additional parking has been created following removal of excess vegetation and a neighbouring derelict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ramp access to courtyards and garden areas. Outdoor areas have wrap-around established gardens.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including mobility aids, wheelchairs, chair scales, hoists, and pressure injury resources (if required), to safely deliver the cares as outlined in the residents’ care plans. Residents commented positively on the environmental improvements made under the new ownership.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toilet ensuite facilities. Six of the rooms in Homestead wing have full ensuite facilities. There are adequate numbers of shared showers in each wing for residents to use. The shared facilities have signs to indicate if the shower is being used. Privacy curtains are in place in the shower rooms and the resident ensuites. Residents confirmed staff respect their privacy while attending to their care. All shower areas have been renovated and comply with health and safety and infection control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currently have single occupancy. There is one certified double room in the Homestead wing. Thirty-seven of thirty-nine rooms are certified as dual purpose. There is adequate room for residents to safely manoeuvre using mobility aids. Residents and families are encouraged to personalise their rooms. Rooms viewed were personalised with residents own furnishings and adornments as viewed on the day of audit. Resident rooms have large windows with lovely views of the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area that is well used and several smaller areas including a library area. Furniture is appropriate to the setting and arranged in a manner which enables residents to mobilise freely. The main lounge is used for activities. There is a specific area for the hairdresser in a shower room. The outdoor courtyards are also used for activities during the summer.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have been painted throughout the facility. Flooring has been replaced and the activities room has been renovated. There is a smoking area for residents outside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in site. The laundry has a defined clean/dirty area. Linen and personal clothing is delivered to the laundry in covered buckets where it is sorted. Residents and a relative expressed satisfaction with cleaning and laundry services. The service has secure cupboards for the storage of cleaning chemicals. Chemicals are labelled. Material safety data sheets are displayed. Cleaning processes are monitored for effectiveness and compliance with the service policies and procedures. There is protective personal clothing including eye goggles available. Laundry staff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schedules had been updated to include Covid-19 prevention strategies and include cleaning of equipment, touch screens, stationary between uses.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There is an approved fire evacuation scheme. Fire drills occur every six months (last fire drill occurred in March 2021 and next booked for 15 November 2021). Education around fire and emergency responses was held in September 2021. The orientation programme and annual education/training programme include fire and security training. Staff interviewed confirmed their understanding of emergency procedures. First aid training is completed by registered nurses. A civil defence plan is documented for the service. There are adequate supplies available in the event of a civil defence emergency including food and water supplies to last for three days, and blankets are available for residents. A gas BBQ and gas hobs in the kitchen are available for alternate cooking, and a generator can be accessed. Emergency lighting is in place. A call bell system is in place including all resident rooms and communal areas. Call bell audits are completed monthly. Residents were observed in their rooms with their call bell alarms in proximity.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 at night with facility checks completed by the afternoon and night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There is radiator heating and a heat pump in the corridors in Homestead wing, with ceiling heaters in the rest of the building and resident rooms. There is a heat pump in the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(RN) is the infection control coordinator and has a defined job description that outlines the role and responsibilities. The infection control team (quality team, representative of the facility) report bi-monthly at the combined quality/health and safety and infection control meeting. The IC programme is appropriate for the size and complexity of the service. Infection control is discussed at the daily handovers with staff to include ongoing and new infections and interventions and to alert staff to the short-term care plans. Graphs of statistics and the quality meeting minutes are available to staff in a folder at the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sanitisers placed throughout the facility. Adequate stocks of personal protective equipment were sighted. There is an implemented Covid-19 management plan according to alert level guidelines that include QR code contact tracing. A visiting protocol is in place to ensure visitors are well and free from exposure to illness.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infection control with support from the clinical manager. The infection control coordinator has attended external education in the last year. The infection control coordinator has access to infection control personnel within the district health board, infection control specialist, laboratory services and the GP.</w:t>
            </w:r>
          </w:p>
          <w:p w:rsidR="00EB7645" w:rsidRPr="00BE00C7" w:rsidP="00BE00C7">
            <w:pPr>
              <w:pStyle w:val="OutcomeDescription"/>
              <w:spacing w:before="120" w:after="120"/>
              <w:rPr>
                <w:rFonts w:cs="Arial"/>
                <w:b w:val="0"/>
                <w:lang w:eastAsia="en-NZ"/>
              </w:rPr>
            </w:pPr>
            <w:r w:rsidRPr="00BE00C7">
              <w:rPr>
                <w:rFonts w:cs="Arial"/>
                <w:b w:val="0"/>
                <w:lang w:eastAsia="en-NZ"/>
              </w:rPr>
              <w:t>Covid-19:  A resource folder was maintained with all current information and guidelines to follow for each level of lockdown. The quality coordinator has developed a file with specific instructions and signage to use for the stages of lockdown for staff to utilise in the event of changes in levels. All screening was adhered to, and records maintained. The service has been compliant with guidelines and documentation requirements throughout the period. All visitors are required to complete a wellness declaration and use the hand gel when signing into the facility. Staff, residents, and visitors are required to wear masks. The staff and residents have received Covid-19 and flu vaccinations. Staff were observed to adhere to good handwashing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 interviewed felt they were updated regularly and were complimentary of the way the management and staff dealt with the lockdown at different levels. All stocks of personal protective equipment and outbreak equipment required is held centrally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Homestead ‘s infection control policies and an electronic and hard copy infection control manual obtained through an external provider (HCSL), which reflect current practise and have been regularly reviewed. Policy, procedures, and the pandemic plan have been updated to include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an infection control questionnaire. Infection control education is included in the annual education planner. Education was held around donning and doffing personal protective equipment, handwashing, and outbreak management in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folder and a Covid-19 chart in the nurse’s station for quick reference for any infection control events. 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(the quality manager). All infections are entered into the electronic database, which generates a monthly analysis of the data and includes benchmarking against other similar services. There is an end of month analysis with any trends identified and corrective actions for infection events above the industry key performance indicators. There is monthly, three monthly and annual seasonal comparison of infection events. Outcomes are discussed at the combined quality/infection control/health and safety meetings, registered nurse, and daily handovers. The GPs also monitor and review the use of antibiotics. There has been a low incidence of infection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The clinical nurse manager is the restraint coordinator and has a job description in place. There is a documented definition of restraint and enablers, which is congruent with the definition in NZS 8134.0.  Restraint/enabler and challenging behaviour training has been provided annually (last held in August 2021). Caregivers interviewed could describe the differences between restraint and enablers and procedures around these. Restraint competencies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using restraint and three residents were using enablers (lap belts, tray table and bedrails in use). All residents had consent forms in pace which has been signed by the resident and the GP. Assessments (including risks) and care plans were in place and reviewed three- monthly. Monitoring forms have been maintained as instructed in the care plans.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6"/>
        <w:gridCol w:w="1280"/>
        <w:gridCol w:w="5183"/>
        <w:gridCol w:w="3458"/>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orientation policy including the key aspects of the orientation programme. The policy required orientation documentation to be signed off by the supervisor, manager of ’buddy.’  Caregivers interviewed confirmed the orientation of new staff is adequate to provide the skills needed to perform their duties.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staff (cook and two caregivers) have not signed off all the key components in their orientation documentation.</w:t>
            </w:r>
          </w:p>
          <w:p w:rsidR="00EB7645" w:rsidRPr="00BE00C7" w:rsidP="00BE00C7">
            <w:pPr>
              <w:pStyle w:val="OutcomeDescription"/>
              <w:spacing w:before="120" w:after="120"/>
              <w:rPr>
                <w:rFonts w:cs="Arial"/>
                <w:b w:val="0"/>
                <w:lang w:eastAsia="en-NZ"/>
              </w:rPr>
            </w:pPr>
            <w:r w:rsidRPr="00BE00C7">
              <w:rPr>
                <w:rFonts w:cs="Arial"/>
                <w:b w:val="0"/>
                <w:lang w:eastAsia="en-NZ"/>
              </w:rPr>
              <w:t>(ii) One RN had completed orientation and signed all key components, however this occurred six months after commencement of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key components of the orientation is completed and signed off.</w:t>
            </w:r>
          </w:p>
          <w:p w:rsidR="00EB7645" w:rsidRPr="00BE00C7" w:rsidP="00BE00C7">
            <w:pPr>
              <w:pStyle w:val="OutcomeDescription"/>
              <w:spacing w:before="120" w:after="120"/>
              <w:rPr>
                <w:rFonts w:cs="Arial"/>
                <w:b w:val="0"/>
                <w:lang w:eastAsia="en-NZ"/>
              </w:rPr>
            </w:pPr>
            <w:r w:rsidRPr="00BE00C7">
              <w:rPr>
                <w:rFonts w:cs="Arial"/>
                <w:b w:val="0"/>
                <w:lang w:eastAsia="en-NZ"/>
              </w:rPr>
              <w:t>(ii) Ensure orientation documentation is completed within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individual resident’s medication charts were reviewed. Resident medication charts are identified with photographs. All charts had been correctly signed and all discontinued medications had been signed and dated. All PRN medications included indication for use and the effectiveness of ‘as required’ medications was documented in the electronic medication system. Medication charts reviewed. Allergies were not all documented for all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twelve medication charts reviewed did not have the allergy status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files document the residents’ allergy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are completed on admission including a clinical risk assessment (which identifies risks associated with medical history). Information from the assessments has been included in the care plans, however, not all interRAI reassessments have been completed within timeframes. There are four interRAI trained RNs including the quality coordinator. As a result of RN shortages, the clinical nurse manager and quality coordinator have worked on the floor and as a result, interRAI and long-term care plan evaluations have not always been completed within expected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reassessments were not completed within timeframes for one rest home and three long-term hospital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Long-term care plans had not been evaluated in line with interRAI assessments for two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(iii) Long term care plans had not been evaluated six-monthly for two hospital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 (ii) Ensure interRAI reassessments are completed within expected timeframes and correspond with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long term care plans are evaluated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all resident assessment and care planning. All residents had a care plan documented. The interventions documented did not reflect all resident current needs. Caregivers interviewed, were knowledgeable regarding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six care plans had not been updated to reflect care needs and/or did not reflect individualised care needs. This included: </w:t>
            </w:r>
          </w:p>
          <w:p w:rsidR="00EB7645" w:rsidRPr="00BE00C7" w:rsidP="00BE00C7">
            <w:pPr>
              <w:pStyle w:val="OutcomeDescription"/>
              <w:spacing w:before="120" w:after="120"/>
              <w:rPr>
                <w:rFonts w:cs="Arial"/>
                <w:b w:val="0"/>
                <w:lang w:eastAsia="en-NZ"/>
              </w:rPr>
            </w:pPr>
            <w:r w:rsidRPr="00BE00C7">
              <w:rPr>
                <w:rFonts w:cs="Arial"/>
                <w:b w:val="0"/>
                <w:lang w:eastAsia="en-NZ"/>
              </w:rPr>
              <w:t>(i) One resident file documented care of IV antibiotic infusions, however this had been discontinued. The same resident did not have the risks of treatment associated with diabetes, blood glucose testing and insulin in their care plan. The care plan referred to care of a surgical implant which had been removed. The care plan did not fully reflect the changes in mobility and the aids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had weight loss, however interventions to manage this were not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individualised care needs for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following care plan reviews and multi-disciplinary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did not reflect progress towards meeting goals in three of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evaluations document progress towards meeting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Homestead Ilam Care &amp; Hospital Limited - Homestead Ilam Care &amp; Hospital</w:t>
    </w:r>
    <w:bookmarkEnd w:id="58"/>
    <w:r>
      <w:rPr>
        <w:rFonts w:cs="Arial"/>
        <w:sz w:val="16"/>
        <w:szCs w:val="20"/>
      </w:rPr>
      <w:tab/>
      <w:t xml:space="preserve">Date of Audit: </w:t>
    </w:r>
    <w:bookmarkStart w:id="59" w:name="AuditStartDate1"/>
    <w:r>
      <w:rPr>
        <w:rFonts w:cs="Arial"/>
        <w:sz w:val="16"/>
        <w:szCs w:val="20"/>
      </w:rPr>
      <w:t>3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