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Rototuna</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Rototuna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September 2021</w:t>
      </w:r>
      <w:bookmarkEnd w:id="7"/>
      <w:r w:rsidRPr="009418D4">
        <w:rPr>
          <w:rFonts w:cs="Arial"/>
        </w:rPr>
        <w:tab/>
        <w:t xml:space="preserve">End date: </w:t>
      </w:r>
      <w:bookmarkStart w:id="8" w:name="AuditEndDate"/>
      <w:r w:rsidR="00A4268A">
        <w:rPr>
          <w:rFonts w:cs="Arial"/>
        </w:rPr>
        <w:t>22 September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Summerset Rototuna provides rest home and hospital (geriatric and medical) and dementia level care for up to 63 residents in the main care centre in addition to having 56 apartments certified for rest home level care. On the day of the audit there were 35 residents including two in the serviced apartments.  </w:t>
      </w:r>
    </w:p>
    <w:p w:rsidRPr="00A4268A">
      <w:pPr>
        <w:spacing w:before="240" w:line="276" w:lineRule="auto"/>
        <w:rPr>
          <w:rFonts w:eastAsia="Calibri"/>
        </w:rPr>
      </w:pPr>
      <w:r w:rsidRPr="00A4268A">
        <w:rPr>
          <w:rFonts w:eastAsia="Calibri"/>
        </w:rPr>
        <w:t xml:space="preserve">This certification audit was conducted against the relevant Health and Disability Services Standards and the contract with the district health board.  The audit process included the review of policies and procedures, the review of residents and staff files, observations, and interviews with residents, family, management, and staff.  </w:t>
      </w:r>
    </w:p>
    <w:p w:rsidRPr="00A4268A">
      <w:pPr>
        <w:spacing w:before="240" w:line="276" w:lineRule="auto"/>
        <w:rPr>
          <w:rFonts w:eastAsia="Calibri"/>
        </w:rPr>
      </w:pPr>
      <w:r w:rsidRPr="00A4268A">
        <w:rPr>
          <w:rFonts w:eastAsia="Calibri"/>
        </w:rPr>
        <w:t xml:space="preserve">The village manager is appropriately qualified and experienced and is supported by a care centre manager who oversees the clinical services. There are quality systems and processes being implemented.  Induction and in-service training programmes are in place to provide staff with appropriate knowledge and skills to deliver care. The residents and relatives interviewed spoke positively about the care and support provided.  </w:t>
      </w:r>
    </w:p>
    <w:p w:rsidRPr="00A4268A">
      <w:pPr>
        <w:spacing w:before="240" w:line="276" w:lineRule="auto"/>
        <w:rPr>
          <w:rFonts w:eastAsia="Calibri"/>
        </w:rPr>
      </w:pPr>
      <w:r w:rsidRPr="00A4268A">
        <w:rPr>
          <w:rFonts w:eastAsia="Calibri"/>
        </w:rPr>
        <w:t xml:space="preserve">This certification audit identified the service is meeting the health and disability services standards.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functions in a way that complies with the Health and Disability Commissioner’s (HDC) Code of Health and Disability Services Consumers' Rights (the Code).  Information about the Code and related services are readily available to residents and families.  Policies are available that support residents’ rights.  Cultural assessment is undertaken on admission and during the review process.  Residents and family interviewed verified ongoing involvement with the community.  Care plans accommodate the choices of residents and/or their family.  Complaints processes are being addressed in line with HDC requirements.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Summerset Rototuna has established a quality and risk management system since opening.  Key components of the quality management system link to a number of meetings including (but not limited to) monthly quality improvement meetings.  Annual surveys and regular resident meetings provide residents and families with opportunities for feedback about the service.  Quality performance is reported to staff at meetings and includes discussions relating to incidents, infections, and internal audit results.  There are human resources policies that cover recruitment, selection, orientation and staff training and development.  The service has an orientation programme that provides new staff with relevant information for safe work practice.  There is an in-service training programme covering relevant aspects of care.  There is a staffing policy with safe staffing levels implemented.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assessed prior to entry to the service and a baseline assessment is completed upon admission.  The registered nurses are responsible for each stage of provision of care including assessments, care plans and evaluations.  Risk assessment tools and monitoring forms are available and implemented.  Residents and family interviewed confirmed that they were happy with the care provided and the communication. </w:t>
      </w:r>
    </w:p>
    <w:p w:rsidRPr="00A4268A" w:rsidP="00621629">
      <w:pPr>
        <w:spacing w:before="240" w:line="276" w:lineRule="auto"/>
        <w:rPr>
          <w:rFonts w:eastAsia="Calibri"/>
        </w:rPr>
      </w:pPr>
      <w:r w:rsidRPr="00A4268A">
        <w:rPr>
          <w:rFonts w:eastAsia="Calibri"/>
        </w:rPr>
        <w:t xml:space="preserve">Planned activities are appropriate to the resident’s assessed needs and abilities and residents advised satisfaction with the integrated activities programme.  There are outings into the community and visiting entertainers.  </w:t>
      </w:r>
    </w:p>
    <w:p w:rsidRPr="00A4268A" w:rsidP="00621629">
      <w:pPr>
        <w:spacing w:before="240" w:line="276" w:lineRule="auto"/>
        <w:rPr>
          <w:rFonts w:eastAsia="Calibri"/>
        </w:rPr>
      </w:pPr>
      <w:r w:rsidRPr="00A4268A">
        <w:rPr>
          <w:rFonts w:eastAsia="Calibri"/>
        </w:rPr>
        <w:t xml:space="preserve">There is a secure electronic medication system at the facility.  There are medicine management policies that align with acceptable guidelines.  Staff responsible for the administration of medications complete annual medication competencies and education.  The general practitioner reviews the medication charts three monthly.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The kitchen is well equipped for the size of the service.  Food, fluid and nutritional needs of residents are provided in line with recognised nutritional guidelines and additional requirements/modified needs were being met.  Nutritional snacks are available in the memory care (dementia) unit 24 hours a day.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are available along with product safety charts.  The building holds a code of compliance.  Resident rooms are spacious with an adequate number of shower and toilet facilities for the number of residents.  There is wheelchair access to all areas.  External areas are safe and well maintained.  Fixtures, fittings and flooring is appropriate and toilet/shower facilities are constructed for ease of cleaning. There is an emergency plan in place including fire safety and there are sufficient civil defence supplies in the event of a civil emergency.  Cleaning and laundry services are well monitored through the internal auditing system.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documented policies and procedures around restraint use and use of enablers. During the audit, there was one resident using restraint and no residents using an enabler.  Staff training around the use of restraint and enablers is provided.  Restraint is only used as a last resort.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 infection control coordinator (clinical nurse leader) is responsible for coordinating and providing education and training for staff.  The infection control coordinator has attended external training.  The infection control manual outlined the scope of the programme and included a comprehensive range of policies and guidelines.  The infection control coordinator uses the information obtained through surveillance to determine infection control activities, resources and education needs within the facility.  This included audits of the facility, hand hygiene and surveillance of infection control events and infections.  The service engages in benchmarking with other Summerset facilities.  There have been two outbreaks since the last audit that have been well managed and documented.  </w:t>
      </w:r>
    </w:p>
    <w:p w:rsidRPr="00A4268A">
      <w:pPr>
        <w:spacing w:before="240" w:line="276" w:lineRule="auto"/>
        <w:rPr>
          <w:rFonts w:eastAsia="Calibri"/>
        </w:rPr>
      </w:pPr>
      <w:r w:rsidRPr="00A4268A">
        <w:rPr>
          <w:rFonts w:eastAsia="Calibri"/>
        </w:rPr>
        <w:t xml:space="preserve">Covid 19 is well prepared for, education has been provided around donning and doffing personal protective equipment, isolation practices and hand washing.  Adequate supplies of personal protective equipment were sighted.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91"/>
        <w:gridCol w:w="1280"/>
        <w:gridCol w:w="92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twelve staff (three caregivers, two registered nurses (RNs), two diversional therapists, one head chef, one property manager, one laundry, one property assistant and one housekeeper) confirmed their familiarity with the Health and Disability Commissioner (HDC) Code of Health and Disability Services Consumers’ Rights (the Code) and its application to their job role and responsibilities.  Four residents (two rest home, and two hospital) and five relatives (two hospital, two dementia and one rest home) were interviewed confirming the services being provided are in line with the Code.  Observations during the audit also confirmed this in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policy for informed consent and resuscitation.  Completed resuscitation treatment plan forms were evident on the six resident files reviewed (two hospital, two rest home including one resident from the serviced apartments and two residents in the memory care unit [dementia]).  There was evidence that the general practitioner (GP) completed and signed clinically not indicated resuscitation status where residents were not deemed to be competent.  Family discussions were evident in the whānau contact form and progress notes.  General consent forms were evident on files reviewed.  Discussions with staff confirmed that they are familiar with the requirements to obtain informed consent for personal care, entering rooms and so on.  Signed admission agreements, enduring power of attorney and activation documentation was evident in the resident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and advocacy pamphlets are available at reception.  Discussions with relatives confirmed the service provided opportunities for the family/enduring power of attorney (EPOA) to be involved in decisions.  The resident files include information on residents’ family/whānau and chosen social networks.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designated health advocate employed by the Health and Disability Advocacy Service available to any resident or family member, with contact details prominently displayed within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Visitors were observed coming and going during the audit.  Interviews with staff, residents and relatives confirmed residents are supported and encouraged to remain involved in the community and external groups.  Relatives and friends are encouraged to be involved with the service and care.  The service promotes community visitors to the village and encourages resident involvement.  Community links are primarily within the local area.  Visitors to the facility include pet therapy, art therapy, local high school and kindergarten.  There are various religious denominations actively involved with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readily available.  Information about complaints is provided on admission.  Interviews with residents and family members confirmed their understanding of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electronic complaint register that includes verbal and written complaints and evidence to confirm that complaints are being managed in a timely manner including acknowledgement, investigation, timelines, corrective actions (when required) and resolutions.  One complaint had been received year to date (2021) with evidence of robust follow-up actions taken and feedback provided in staff meetings including corrective actions.  </w:t>
            </w:r>
          </w:p>
          <w:p w:rsidR="00EB7645" w:rsidRPr="00BE00C7" w:rsidP="00BE00C7">
            <w:pPr>
              <w:pStyle w:val="OutcomeDescription"/>
              <w:spacing w:before="120" w:after="120"/>
              <w:rPr>
                <w:rFonts w:cs="Arial"/>
                <w:b w:val="0"/>
                <w:lang w:eastAsia="en-NZ"/>
              </w:rPr>
            </w:pPr>
            <w:r w:rsidRPr="00BE00C7">
              <w:rPr>
                <w:rFonts w:cs="Arial"/>
                <w:b w:val="0"/>
                <w:lang w:eastAsia="en-NZ"/>
              </w:rPr>
              <w:t>Complainants are provided with information on how to access advocacy services through the Health and Disability Commissioner if resolution is not to their satisfaction.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residents that include the Code, complaints and advocacy.  Information is given to the family or the enduring power of attorney (EPOA) to read to and/or discuss with the resident.  Residents and relatives interviewed confirmed that they were well informed about the Code.  Informal, monthly resident meetings are held with the activities staff and the care centre manager, and there is access to an external advocate as required.  These meetings provide the opportunity for residents to raise concerns.  An annual residents/relatives survey is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staff interviewed were able to describe the procedures for maintaining confidentiality of resident records, resident’s privacy and dignity.  House rules and a code of conduct are signed by staff at commencement of employment.  Contact details of spiritual/religious advisors are available.  Residents and relatives interviewed reported that residents are able to choose to engage in activities and access community resources.  There is an elder abuse and neglect policy.  Staff education and training on abuse and neglect last occurred in July 2021 with 30 attending.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has a Māori health plan that includes a description of how they achieve the requirements set out in the contract.  There are supporting policies that provide recognition of Māori values and beliefs and identify culturally safe practices for Māori.  At the time of the audit there were no residents that identified as Māori.  Links are established with the Māori health advisor for the Waikato District Health Board (Ikimoki Tamaki-Takarei) and Te Kahoa Health, a local Māori health provider.  Staff interviewed were able to describe how they can ensure they meet the cultural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appropriate/able are invited to be involved.  Individual beliefs and values are further discussed and incorporated into the care plan.  Six monthly multi-disciplinary team meetings occur to assess if needs are being met.  Family is invited to attend.  Discussion with family/whānau confirms values and beliefs are considered.  Residents interviewed confirm that staff take into account their culture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and staff sign a copy on employment.  The monthly quality improvement meetings include discussions on professional boundaries and concerns as they arise.  Management provides guidelines and mentoring for specific situations.  Interviews with managers and staff confirmed their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spoke positively about the care and support provided.  Staff have a sound understanding of principles of aged care and state that they feel supported by the village manager and care centre manager.  All Summerset facilities have a master copy of policies which have been developed in line with current accepted best practice and are reviewed regularly.  The content of policy and procedures are sufficiently detailed to allow effective implementation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improvement programme that includes performance monitoring against clinical indicators and benchmarking against like services within the Summerset group of aged care facilities.  There is evidence of education being supported outside of the training plan.  There are implemented competencies for caregivers and registered nurses including (but not limited to): insulin administration, medication, wound care and manual handling.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Examples of quality initiatives currently in progress include a project addressing falls prevention and a focus on person centred care utilising aspects of the Spark of Life model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 admission pack gives a comprehensive range of information regarding the scope of service provided to the resident and their family on entry to the service and any items they are to pay for that are not covered by the agreement.  There is information specific to the memory loss (dementia unit) provided.  Regular contact is maintained with family including if an incident or care/ health issue arises.  Family members interviewed stated they were well informed.  Thirteen incident/accident forms were reviewed, and all identified that the next of kin were contacted.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resident’s meetings where any issues or concerns to residents are able to be discussed.  Minutes are maintained and show follow-up actions for resolution of matters raised.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available for access to DHB interpreter services.  The information pack is available in large print and can be read to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Rototuna opened 30 November 2020.  The service provides rest home, hospital (geriatric and medical) and dementia level care for up to 119 residents.  There are 43 dual-purpose rooms in the care centre (including 8 double rooms) and 20 dementia level beds in the memory care unit. The secure dementia unit (Memory Care) are all LTO apartments with no standard rooms. There are also 56 serviced apartments certified for rest home level care.  </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there were 35 residents - 17 rest home level (including 2 serviced apartments),12 hospital level and 6 dementia level of care.  All residents were under the aged residential care contract (ARCC) apart from one resident fully funded by ACC at hospital level of care.</w:t>
            </w:r>
          </w:p>
          <w:p w:rsidR="00EB7645" w:rsidRPr="00BE00C7" w:rsidP="00BE00C7">
            <w:pPr>
              <w:pStyle w:val="OutcomeDescription"/>
              <w:spacing w:before="120" w:after="120"/>
              <w:rPr>
                <w:rFonts w:cs="Arial"/>
                <w:b w:val="0"/>
                <w:lang w:eastAsia="en-NZ"/>
              </w:rPr>
            </w:pPr>
            <w:r w:rsidRPr="00BE00C7">
              <w:rPr>
                <w:rFonts w:cs="Arial"/>
                <w:b w:val="0"/>
                <w:lang w:eastAsia="en-NZ"/>
              </w:rPr>
              <w:t>The overall management of the village is provided by a village manager who has over nineteen years of aged care experience.  The care centre is managed by a care centre manager who has been employed by Summerset for over four years.  She is assisted by a clinical nurse leader (CNL).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and risk management plan for 2021.  The plan includes evidence of regular review of the facility’s goals and objectives throughout the year.  Quality is overseen by the organisation’s regional quality manager who was available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care centre manager have maintained greater than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care centre manager, the CNL provides clinical leadership/oversight, and the village manager is delegated operational responsibilities.  The regional operations manager and the regional quality manager provide oversight and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quality and risk management plan is in place. Policies and procedures reflect evidence of regular reviews as per the document control schedule.  New and/or revised policies are made available for staff to read and sign that they have read and understand the changes. Village managers and care centre managers are held accountable for their implementation.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collating of quality and risk data includes (but is not limited to) residents’ falls, bruising, skin tears and infection rates.  Data is collated and benchmarked against other Summerset facilities to identify trends.  A resident satisfaction survey is conducted each year, the first survey just having been completed 10th September.  The results of the survey were not yet available at the time of audit.  An annual internal audit schedule was sighted for the service.  Corrective actions are developed where opportunities for improvements are identified and are signed off when completed.  Staff are kept informed of audit findings and quality initiatives, evidenced in the range of meeting minutes (e.g., quality, RN, caregiver).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safety team who meet monthly.  Data relating to health and safety is entered into the electronic Risk Management Support System (RMSS).  Hazard identification forms and a hazard register (reviewed June 2021) are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the analysis of falls incidents and the identification of interventions on a case-by-case basis to minimise future falls.  Falls prevention strategies include the use of sensor mats, sensor lights that turn on the bathroom light in the dementia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a comprehensive set of data relating to adverse, unplanned and untoward events. This includes the collection of incident and accident (events) information. The reporting system is integrated into the quality and risk management programme.  Fourteen incident reports, held electronically, were sampled (six medication errors, six resident behaviour issues, one unwitnessed fall and one infection).  All fourteen events sampled evidenced clinical follow up.  Adverse events are reviewed and investigated by the care centre manager. If risks are identified these are processed as hazards.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village and care centre managers have confirmed their awareness of statutory requirements in relation to essential notification.  Section 31 notifications since the previous audit have included three instances of threatening behaviour, change of village manager and change of clinical nurse leader.  The public health team were notified in a timely manner of the two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job descriptions available for all relevant positions that describe staff roles, responsibilities and accountabilities. The practising certificates of nurses were current. The service also maintains copies of other visiting practitioners practising certificates including GP, pharmacist and physiotherapist.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staff files were reviewed (two caregivers, two RNs including CNL, one diversional therapist, one chef manager, care centre manager and one laundry).  Evidence of signed employment contracts, job descriptions, completed orientation that is specific to their job duties, and attendance at greater than eight hours of education and training annually were sighted.  Annual performance appraisals for staff are conducted.  Interviews with the care centre manager and caregivers confirmed that the orientation programme includes a period of supervision.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training policy and schedule for in-service education. The in-service schedule is implemented, and attendance is recorded.  Caregivers undertake Careerforce education and to date eleven have achieved level 4, one level 3, two level 2 and six have started on the qualification pathway at level 0.  There are five registered nurses, three are InterRAI trained.</w:t>
            </w:r>
          </w:p>
          <w:p w:rsidR="00EB7645" w:rsidRPr="00BE00C7" w:rsidP="00BE00C7">
            <w:pPr>
              <w:pStyle w:val="OutcomeDescription"/>
              <w:spacing w:before="120" w:after="120"/>
              <w:rPr>
                <w:rFonts w:cs="Arial"/>
                <w:b w:val="0"/>
                <w:lang w:eastAsia="en-NZ"/>
              </w:rPr>
            </w:pPr>
            <w:r w:rsidRPr="00BE00C7">
              <w:rPr>
                <w:rFonts w:cs="Arial"/>
                <w:b w:val="0"/>
                <w:lang w:eastAsia="en-NZ"/>
              </w:rPr>
              <w:t>There are implemented competencies for registered nurses including (but not limited to); medication, restraint, syringe driver and insulin administration.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there were 35 residents (6 dementia level, 12 hospital level and 17 rest home level, including 2 in serviced apartments).  The care centre manager is rostered Monday – Friday.  She is supported by two RNs on the AM shift plus the clinical nurse lead (CNL), one RN on the PM shift, and one RN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 hospital and rest home level care, five caregivers are rostered on the AM shift (four long shifts and one short shift).  Four caregivers are also rostered on the PM shift, three long and one short shift (one covers the apartments) and two caregivers are rostered on the night shift.  With any increase in resident numbers and/or an increase in resident acuity, short shift caregivers have the flexibility to have their shifts extended.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Additionally, for the memory care unit there is a full shift caregiver rostered for the AM, the PM and night shift.  The memory care unit also has its own diversional therapy hours between 09.00-18.00 seven days per week.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 files are protected from unauthorised access.  Care plans and progress notes are documented electronically.  Resident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at Rototuna have comprehensive admission policies and procedures in place to safely guide service provision and entry to services.  Referring agencies establish the appropriate level of care required prior to admission of a resident.  Prospective residents are screened by the care centre manager and the clinical nurse lead.  The service has a well-developed information pack available for residents/families/whānau at entry outlining services able to be provided, the admission process and entry to the service.  Information provided to families include information around dementia in line with the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at admission is retained in resident’s records.  All six admission agreements viewed were signed.  Exclusions from the service are included in the admission agreement.  Residents and relatives interviewed stated they were well informed upon admission and had the opportunity to discuss the admission agreement with the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to ensure exit, discharge or transfer of residents is undertaken in a timely and safe manner.  Planned exits, discharges or transfers are coordinated in collaboration with the resident and family to ensure continuity of care.  Copies of documentation and handover is kept on file as evidenced in one resident file that was transferred to hospital following a fall.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medicine management policies and procedures that align with recognised standards and guidelines for safe medicine management practice.  The RNs are responsible for the administration of medications and have completed medication competencies and annual medication education.  Senior caregivers have competencies for second checkers in in the absence of a second registered nurse (afternoon and night).  The RNs have completed syringe driver training.  All medications and robotic rolls were evidenced to be checked on delivery with any discrepancies fed back to the supplying pharmacy.  Standing orders are not used by the service.  There was one self-medicating resident (rest home) on the day of the audit.  The resident had and assessment and competency signed by the resident, RN and GP, this is due to be reviewed in three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medications were stored securely in the locked medication room in the care centre.  The medication room is secure and fitted out in the memory care unit.  Due to the low number of residents, this is not yet in use.  The care centre RN administers medication in the memory care unit at present.  Original labels were present on medication in the medication trolley and cupboards.  Eyedrops had open dates documented.  The medication fridge temperature was not monitored and recorded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electronic resident medication charts (four hospital, four rest home and four from the memory care unit) were reviewed on the electronic medication system.  All electronic charts had a photo ID and allergy status documented.  The ‘as required’ medications had an indication for use, effectiveness was documented in the progress notes.  Incident reports were completed for medication errors, and corrective actions were implemented, reviewed and signed off for non-conformities identified during internal audits.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has comprehensive nutritional management policies and procedures for the provision of food services for residents.  There is a chef manager, three chefs, three kitchen assistants, one café supervisor and two café assistants employed who provide all aspects of the food service.  All food services staff have completed food safety training.  A current food control plan in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are freshly prepared in the large purpose-built kitchen on the ground floor adjacent to the café and dining area of the village residents.  There is a walk-in chiller, and freezer.  Temperatures are recorded twice daily electronically on an app.  All decanted food in the walk-in pantry has been dated.  The 12-week seasonal menu is designed and reviewed by a registered dietitian.  Food is transported in hot boxes to the satellite kitchen in the main dining room of the care centre on level one, to the satellite kitchen/dining area of the rest home residents in serviced apartments, and the memory care unit kitchenette.  Meals are served to residents from the hot boxes in the satellite kitchen by staff.  There is a lift near the service area, that is used to transport food carriers to each floor and dishes back to the kitchen.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required to have a nutritional profile completed on admission, which is provided to the kitchen.  There is access to a community dietitian.  There is a whiteboard in the kitchen to alert staff of residents’ dislikes.  Special diets including gluten free, textured diets and diabetic diets are accommodated for.  Feedback is gained through the satisfaction survey (2021 results not yet available), and verbal feedback when serving food in the dining rooms. The head chef interviewed was aware of residents with special diets and who are losing weight unintentionally.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 meal is served at lunchtime with a light option in the evening.  Alternatives are available if required.  Snacks are available in the care centre for residents when the kitchen is closed.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Extra snacks are available in the fridge in the kitchenette in the memory care unit 24/7.  There is an induction hob in the kitchenette of the memory care unit and dual-purpose units that prevent any resident burning themselves if touched.  Boiling water taps have a safety mechanism.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occurs and communicates this decision to the potential residents/family/whānau and the referring agency.  The reasons for declining entry would be if the service is unable to provide the assessed level of care or there are no beds available.  Potential residents would be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resident files sampled evidenced that residents are admitted with a care needs level assessment completed by the Needs Assessment and Service Coordination (NASC) team prior to admission.  Files sampled indicated that personal needs information is gathered during admission from discharge summaries, medical notes, home care assessments and from discussions with the resident and their relative where appropriate.  The interRAI assessment tool was utilised as part of the six-monthly care plan updates.  Additional risk assessments for skin integrity, continence and pain, etc, are completed on admission and reviewed six-monthly or when there is a change in a resident’s condition.  The electronic resident management system implemented by the service provides a suite of assessments for RNs to utilise as appropriate.  Outcomes of the assessments were reflected in the long- term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the six (one was a respite admission) resident long-term care plans were reviewed.  The long-term care plans, completed within three weeks, records the resident’s problem/need and objectives, all had sufficient interventions that reflected the residents’ current needs.  Residents and families interviewed confirmed their involvement in the care planning process.  The resident or the family member sign the long-term care plan acknowledgement document as sighted in the resident files.  Short-term care plans were evident in use for short-term needs including (but not limited to): wounds, infections and skin conditions and increasing behaviour, and changes in health status.  These were reviewed regularly and signed off as resolved or if an ongoing problem, added to the care plan.  Resident files demonstrated service integration and evidence of allied health care professionals involved in the care of the resident such as referral to mental health team dietitian, and physiotherapist.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a GP or nurse specialist consultation.  Evidence is present of family members being notified of any changes to their relative’s health status, incidents and updates.  Discussions with families and notifications were documented on the family/whānau contact sheet in the resident files.  Interviews with residents and family confirmed that their relative’s needs are met, and they are kept informed of any health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the treatment rooms.  The wound care file was reviewed.  Electronic wound assessments, treatment and evaluations were in place for all three current wounds (skin tear, graze and chronic wound).  There were no pressure injuries on the day of audit.  The RNs interviewed were able to describe the referral process for a wound care nurse specialist if required.  Short-term care plans are used for short-term needs and were sighted for wounds, skin tear and skin infection.  Staff interviewed were aware of residents’ needs and understood interventions on how to meet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Staff interviewed stated that they have enough stock available and are aware of how to access stock if need arises.  Sufficient gloves and aprons were available and sighted for staff to utilise.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suite of electronic monitoring charts are available to monitor resident health and progress against implemented interventions including (but not limited to) behaviour, weight, wounds, blood sugar monitoring, neurological observations, food, fluid, pain, turning charts and vital signs.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at Rototuna employ two diversional therapists. One is based on the memory care unit and the other is based in the care centre.  Both have current first aid certificates and attended the diversional therapist conference earlier in 2021.  Each resident has an activities assessment completed which forms the basis of the individual activities plan and the 24-hour activity plan for residents in the memory care unit.  The diversional therapists maintain attendance records daily and document progress notes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 the care centre run over Sunday to Friday starting at 9.30am with daily exercises, and finish at 4pm.  There is a full range of social activities that are available on the monthly programme for all residents to participate in.  activities include (but are not limited to); arts and crafts, quiz, crosswords are completed along with morning tea, cultural days, movies, celebrations for Alzheimer’s day, daffodil day, and the like.  There are ladies and mens’ groups, coffee groups growing.  One-on-one contact is made daily with residents who are unable to or choose not to participate in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 new initiative of a wishing tree.  The tree is painted onto a wall in the activity lounge in the care centre.  Residents make a wish on a leaf, and when the wish comes true, the wish turns into a flower.  The diversional therapist takes photos of the wish coming true.  One example was of a resident who wished to go fishing.  Due to a deterioration in health, the resident was unable to go fishing, there was a fish (newly caught) brought into the facility, where it was prepared and cooked with chips and shared.  The family and the team decorated the lounge with fishing attire, and photos were taken of the wish coming true for that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 the memory care unit run over Monday to Friday with the care staff assisting with activities over the weekend.  The monthly programme is very flexible in the memory care unit and activities are often spontaneous, depending on the resident’s mood and the weather on the day.  Activities include word games, art and crafts, group games, baking daily exercises.  The service utilises the Tovotaffle sensory table, for sensory activities, the diversional therapist uses this in the afternoons as a calming activity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Both units have high school children attend, who are currently assisting residents with wearable arts costumes.  A range of community groups and volunteers visit the facility including pet therapy, an art therapist, church services are held.  Van outings are provided for residents.  The diversional therapists are liaising with preschools to visit.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recent lockdown, residents in the memory care unit remained as one ‘bubble’ with the majority of residents in the care centre staying in their rooms, activities were held in corridors, daily exercises continued with residents socially distancing in line with the guidelines, increased one on one sessions were held in individual resident rooms, such as general chats, newspaper reading, bible reading and massages.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which discuss all aspects of the service.  Residents interviewed felt comfortable providing feedback of the service.  The head chef attends when required to discuss food services.  A recent satisfaction survey has been held.  results were unavailable at the time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relatives interviewed stated they were satisfied with the variety of activities on offer, and residents attend activities of their particular liking.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resident and family involvement in the evaluation of resident care plans.  Initial care plans and long-term care plans were evaluated by the registered nurses.  Written evaluations had been completed six-monthly or earlier for resident health changes for the residents who have been in the facility for more than six months.   Families are invited to attend the review and asked for input if they are unable to attend.  Short-term care plans sighted have been evaluated by the RN as sighted in the resident’s files.  Care plan evaluations document resident progression towards meeting goals, and care plan interventions were updated accordingly.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sampled.  Mental health services for older people, podiatrist, speech and language therapy and physiotherapy are some of the allied services accessed by resident referrals in consultation with GP.  The service facilitates access to other medical and non-medical services.  Referral documentation is maintained on resident files.  Residents/EPOAs are informed and involved in the referral process.  The GP refers residents to medical specialists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for waste disposal and chemical storage.  The policies document procedures for the safe and appropriate storage, management, use and control and disposal of waste and hazardous substances.  Chemicals are automatically dispensed in the laundry.  There are two key padded sluice rooms, one in the dual-purpose unit and one in the memory care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housekeeping and laundry staff have completed waste management training and personal protective equipment (PPE) at orientation.  Gloves, aprons, and disposable visors are readily available in the sluice rooms, cleaners’ cupboards and laundry.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knowledgeable around waste management procedures.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centre is a three-level facility.  The ground floor includes nine serviced care apartments, service areas and a secure dementia unit.  The memory care unit are all LTO apartments.  Level one includes 43 rooms (all dual-purpose hospital/rest home rooms).  Eight of the 43 rooms have been verified as suitable as double rooms for couples if needed, which potentially could be up to 51 residents.  There are also 19 serviced apartments on level one.  Level two includes 28 serviced apartments.  All 56 serviced apartments can provide rest home level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CPU certificate which was issued on 26 November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maintenance person employed for 40 hours a week, working from Monday to Friday and available on call, after hours and on weekends.  The Summerset planned maintenance programme is in place to address reactive and preventative maintenance.  All medical and electrical equipment was purchased new and is less than a year old.  The recently employed property manager is liaising with external contractors to ensure all equipment is tagged tested and calibrated when due.  </w:t>
            </w:r>
          </w:p>
          <w:p w:rsidR="00EB7645" w:rsidRPr="00BE00C7" w:rsidP="00BE00C7">
            <w:pPr>
              <w:pStyle w:val="OutcomeDescription"/>
              <w:spacing w:before="120" w:after="120"/>
              <w:rPr>
                <w:rFonts w:cs="Arial"/>
                <w:b w:val="0"/>
                <w:lang w:eastAsia="en-NZ"/>
              </w:rPr>
            </w:pPr>
            <w:r w:rsidRPr="00BE00C7">
              <w:rPr>
                <w:rFonts w:cs="Arial"/>
                <w:b w:val="0"/>
                <w:lang w:eastAsia="en-NZ"/>
              </w:rPr>
              <w:t>All equipment is stored in the centrally located equipment rooms in the care centre.  Staff stated they have sufficient equipment to safely deliver care to meet resident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in resident areas have been regularly monitored and recorded.  Water temperature checks were within expected ranges.  The property manager describes corrective actions required and plumber availability should the water temperatures fall outside of the expected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Hallways are very wide with seating areas.  The facility has enough space for residents to mobilise using mobility aids and residents are observed moving around freely.  There is a large lift (suitable for beds) and another smaller lift to transport residents and relatives between floors.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external areas and gardens are well maintained.  The facility is built around a central courtyard.  Residents in the memory care unit have easy access to the internal courtyard that has been landscaped with winding paths, raised flower beds and areas of interest.  Seating with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The memory loss unit is secure.  Visitors have speaker access to staff and then the door will be released to enter the entrance foyer.  There is a glass door from the foyer into the unit which will be opened by staff for visitors to enter, which has frosting on the glass to draw residents’ attention away from the door.  All exits in and out require swipe card access by staff.  Decals are used around the corridors to distract residents from locked rooms, dead end walls and doors.  Contrasting colours in some areas such as ensuites provide easier visibility and identification of furniture.  There are large, coloured wall boxes outside each resident room that can be personally decorated.  Each resident room entrance door has a different panel.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centre has a centrally located ‘conservatory’ area, with access to balcony areas.  Seven care suites have individual balcony spaces.  Communal areas have balcony spaces for residents to enjoy.  There is also a family room available for residents and families to utilise.  Residents have access to designated external areas that have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two vehicles (a car and bus) to provide transport to residents and for staff usage.  Both vehicles have current vehicle warrants of fitness and registration documents as evidenced.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have full ensuite facilities with a shower. There are mobility toilets located near all lounges with locks that can be opened from the outside if needed.  There are separate staff and visitor toilets.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picture signs for residents in the memory care unit to assist with locating the toilet. Doors into the ensuites in the memory care unit are different colours, and the toilet seats are coloured.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are spacious and allow care to be provided and for the safe use and manoeuvring of mobility aids.  Mobility aids can be managed in ensuites and communal toilets and bathrooms.  Double rooms are large enough for two beds and limited mobility equipment.  The centre manager reports the double rooms would be used for rest home level care residents; hospital level residents would be able to use the room with limited use of equipment.  The apartments in the memory care unit and the serviced apartments all have a separate lounge and bedroom.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suites in the memory care unit have sensors which turn on the ensuite light when activated during the night.  The kitchen areas in the memory care units have a fridge freezer, cutlery and crockery.  A kettle for making hot drinks can be available if the resident is deemed safe to use this.  There are no cooking facilities in the memory care unit apartments.  The care suites in the care centre have kitchenette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café, dining room and large lounge area adjacent to the apartments on the ground floor.  This is available for village residents, visitors and any care centre residents that choose to go to the café.  There is also another lounge/dining area for serviced apartment rest home residents on level one.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separate dining room and kitchenette on one side of the memory care unit.  On the other side of the memory care unit there is a spacious activity room and lounge.  There is also a separate family room/sensory room off the lounge.  </w:t>
            </w:r>
          </w:p>
          <w:p w:rsidR="00EB7645" w:rsidRPr="00BE00C7" w:rsidP="00BE00C7">
            <w:pPr>
              <w:pStyle w:val="OutcomeDescription"/>
              <w:spacing w:before="120" w:after="120"/>
              <w:rPr>
                <w:rFonts w:cs="Arial"/>
                <w:b w:val="0"/>
                <w:lang w:eastAsia="en-NZ"/>
              </w:rPr>
            </w:pPr>
            <w:r w:rsidRPr="00BE00C7">
              <w:rPr>
                <w:rFonts w:cs="Arial"/>
                <w:b w:val="0"/>
                <w:lang w:eastAsia="en-NZ"/>
              </w:rPr>
              <w:t>On level one (dual-purpose unit), there is a large spacious living area and kitchenette/dining area.  There is a separate recreation area off the lounge.  There is also a large spacious conservatory area and covered balcony.  A separate family room is also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other areas available for sitting and resting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for cleaning and infection prevention and linen handling and processing.  These policies ensure that all cleaning and laundry services are maintained and functional at all times.  All chemicals are within a closed system.   Material safety datasheets are provided by the contracted company and to be displayed in the cleaning cupboards, laundry and sluices in each area.  The laundry and cleaning areas have hand-washing facilities.  There are personal laundries in the serviced apartments on each floor.  All chemicals are stored securely in locked cupboards.  There are designated laundry and housekeeping staff employed to provide services across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laundry is on the ground floor and has an entrance for dirty laundry and an exit for clean.  The laundry is large and includes two commercial washing machines and two dryers.  Dirty linen can be transported to the ground floor via a laundry chute from level one to the laundry.  There are covered laundry trolleys in the units with colour coded linen bags.  The laundry assistant interviewed was knowledgeable around laundry processes, infection control practices and keeps laundry form each unit separated.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systems for monitoring the effectiveness and compliance with the service policies and procedures.  Laundry and cleaning audits are completed with corrective actions documented for any non-conformities.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locked cleaning trolleys on each floor.  All housekeeping and laundry staff have completed chemical safety training.  Housekeeping trolleys have locked boxes to store chemicals.  Housekeeping staff were noted to be wearing PPE when attending to their duties.  The housekeeper interviewed easily described cleaning schedules and infection control practices during lockdown periods and during internal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emergency and civil defence plan to guide staff in managing emergencies and disasters.  Emergencies and first aid are included in the mandatory in-service programme.  There is a first aid trained staff member on every shift.  Summerset Rototuna has an approved fire evacuation plan and fire dills occur six-monthly, the most recent took place 25 May 2021.  Smoke alarms, sprinkler system and exit signs are in place.  The service has alternative cooking facilities (barbeque) available in the event of a power failure.  There are five 1000 litre tanks and stored bottled water for use in an emergency.  The service holds at least three days of food storage.  Emergency power is used for lighting and calls bells for up to two hours with torches readily available and solar lights that can be accessed from the garden areas.  The site has its own generator in case of power outage with the emergency water pumps connected directly to this power source.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were evident in resident’s rooms, lounge areas, and toilets/bathrooms.  The facility is secured at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heated and ventilated.  Resident’s rooms throughout the facility have air conditioning units.  The communal living areas are heated and cooled via ceiling heating/cooling systems.  All rooms have floor to ceiling external windows with plenty of natural sunlight.  All windows are double-glazed, and all areas have good lighting.  Resident suites in the memory care unit rooms have individual resident room lighting which can be controlled by staff from controls outside each room.  Some rooms in the care centre have individual Juliette balconies.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There is an infection control responsibility policy that includes responsibilities for the infection control officer who is the clinical nurse lead.  The infection control officer has a signed job description.  The infection control programme is linked into the quality management system and reviewed annually.  Goals for 2021 include (but are not limited to), reducing urinary tract infections, keeping the facility Covid free, continuing with surveillance and monitoring of infections.  There is a monthly “zoom” meeting with the infection control quality manager and all infection control officers.  Facility meetings include a discussion of infection control matters.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Influenza vaccines are offered to residents and staff.  Hand sanitisers are available throughout the facility.  There have been two outbreaks, one gastroenteritis in March 2021 and a recent RSV outbreak.  Both were well documented, with logs maintained.  Notifications were made in a timely manner and relatives were informed.  Debrief meetings were held.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Covid 19 is well prepared for.  All visitors and contractors are required to sign in using the electronic system, which includes wellness checks.  All staff, visitors and contractors were required to wear masks and use hand sanitiser in line with current (level 2) Covid requirements.  All staff have been trained in donning and doffing personal protective equipment (PPE), isolation and standard precautions.  Adequate supplies of PPE were sighted in the infection control cupboard.  Monthly stocktakes are completed to ensure adequate supplies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officer has been in the role at Summerset at Rototuna for three months.  She has recently an on-line Summerset infection control course and anther through the Waikato DHB online education platform.  The monthly “zoom” meetings with all Summerset infection control officers includes topical infection control.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committee is representative of the facility.  The infection control team meet monthly and provide a report to the quality improvement meeting, facility meetings and infection control quality manager at head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has access to an infection control nurse specialist at the DHB, GPs, laboratory, pharmacy and expertise within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developed and reviewed at head office and include Covid 19 policies and procedures.  Policies are available to all staff.  They are notified of any new/reviewed policies and are required to read and sign for these.  There are Covid 19 flip charts available in the nurses’ station to guide staff through the Covid19 lockdown levels and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is responsible for coordinating and providing education and training to staff.  The orientation package includes specific training around handwashing competencies and standard precautions.  Ongoing training occurs six-monthly as part of the training calendar set at head office.  Education for 2021 to date includes isolation procedures, outbreak management, and hand hygiene spot checks.  Resident education occurs as part of providing daily cares.  Care plans can include ways to assist staff in ensuring this occurs.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includes a surveillance policy that includes a surveillance procedure, process for detection of infection, infections under surveillance, outbreaks and quality and risk management.  Infection events are collected monthly and entered into the electronic system.  The infection control officer provides infection control data, trends and relevant information to the infection control committee and clinical/quality meetings.  Areas for improvement are identified, corrective actions developed and followed up.  The facility is benchmarked against other Summerset facilities of similar size and benchmarking results are fed back to the infection control officer and used to identify areas for improvement.  Infection control audits across all services are completed and corrective actions are signed off (sighted).  Surveillance results are used to identify infection control activities and education needs within the facility.  Reports and graphs are displayed on the staff room infection control noticeboard.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policies and procedures around restraint use and use of enablers. During the audit, there was one resident using restraint and no residents using an enabler.  Staff training around the use of restraint and enablers is provided.  Restraint is only used as a last resort.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approval process and a job description for the restraint coordinator are in place.  The restraint coordinator role is delegated to a registered nurse.  They have been in this role for two months.  All staff are required to attend restraint minimisation training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Only registered nursing staff can assess the need for restraint.  Restraint assessments are based on information in the resident’s care plan, discussions with the resident and family and observations by staff.  The restraint assessment tool meets the requirements of the standard.  The resident’s file where restraint was being used was reviewed.  The file included a restraint assessment and consent form that was signed by the resident’s family.  Restraint use is linked to the resident’s care plan and is regularly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This register identifies the residents that are using a restraint, and the type(s) of restraint used.  The restraint assessment identified that restraint is being used only as a last resort.  The restraint assessment and on-going evaluation of restraint use includes reviewing the frequency of monitoring residents while on restraint.  Monitoring forms are completed when the restraint is put on and when it is taken off and indicate monitoring at the frequency described in each resident’s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use is reviewed monthly by the restraint coordinator, during restraint meetings and three-monthly by the GP.  The review process includes discussing whether continued use of restraint is indicated.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programme, including reviewing policies and procedures and staff education, is evaluated annually by the Summerset head office.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Rototuna</w:t>
    </w:r>
    <w:bookmarkEnd w:id="58"/>
    <w:r>
      <w:rPr>
        <w:rFonts w:cs="Arial"/>
        <w:sz w:val="16"/>
        <w:szCs w:val="20"/>
      </w:rPr>
      <w:tab/>
      <w:t xml:space="preserve">Date of Audit: </w:t>
    </w:r>
    <w:bookmarkStart w:id="59" w:name="AuditStartDate1"/>
    <w:r>
      <w:rPr>
        <w:rFonts w:cs="Arial"/>
        <w:sz w:val="16"/>
        <w:szCs w:val="20"/>
      </w:rPr>
      <w:t>21 September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