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St Johns Wood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Johns Wood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September 2021</w:t>
      </w:r>
      <w:bookmarkEnd w:id="7"/>
      <w:r w:rsidRPr="009418D4">
        <w:rPr>
          <w:rFonts w:cs="Arial"/>
        </w:rPr>
        <w:tab/>
        <w:t xml:space="preserve">End date: </w:t>
      </w:r>
      <w:bookmarkStart w:id="8" w:name="AuditEndDate"/>
      <w:r w:rsidR="00A4268A">
        <w:rPr>
          <w:rFonts w:cs="Arial"/>
        </w:rPr>
        <w:t>28 September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St Johns Wood Home and Village provides aged residential care for people who require hospital or rest home level of care. The service is operated by Oceania Healthcare Limited.  Day to day management and all service delivery is overseen by a business and care manager (BCM). This role became vacant recently and was being filled by an acting BCM who has long term experience as a BCM with Oceania. </w:t>
      </w:r>
    </w:p>
    <w:p w:rsidRPr="00A4268A">
      <w:pPr>
        <w:spacing w:before="240" w:line="276" w:lineRule="auto"/>
        <w:rPr>
          <w:rFonts w:eastAsia="Calibri"/>
        </w:rPr>
      </w:pPr>
      <w:r w:rsidRPr="00A4268A">
        <w:rPr>
          <w:rFonts w:eastAsia="Calibri"/>
        </w:rPr>
        <w:t>The BCM is supported by an RN clinical manager (CM) who manages the overall delivery of clinical care. Both the acting BCM and CM are suitably qualified and experienced as managers in aged care. They are directly supported by two Oceania executive leaders, a regional clinical manager (RCS) and regional operations manager. The regional clinical manager was on site during this audit.</w:t>
      </w:r>
    </w:p>
    <w:p w:rsidRPr="00A4268A">
      <w:pPr>
        <w:spacing w:before="240" w:line="276" w:lineRule="auto"/>
        <w:rPr>
          <w:rFonts w:eastAsia="Calibri"/>
        </w:rPr>
      </w:pPr>
      <w:r w:rsidRPr="00A4268A">
        <w:rPr>
          <w:rFonts w:eastAsia="Calibri"/>
        </w:rPr>
        <w:t xml:space="preserve">There have been no changes to the size or scope of the services provided since the previous surveillance audit in 2019. Construction work was underway to convert up to ten more village apartments to care suites. </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a pre audit review of policies and procedures, and onsite review of residents’ and staff files, observations and interviews with residents, family members, management, staff, a contracted physiotherapist, a visiting community support provider, and a general practitioner (GP). Feedback from all interviewees was positive.</w:t>
      </w:r>
    </w:p>
    <w:p w:rsidRPr="00A4268A">
      <w:pPr>
        <w:spacing w:before="240" w:line="276" w:lineRule="auto"/>
        <w:rPr>
          <w:rFonts w:eastAsia="Calibri"/>
        </w:rPr>
      </w:pPr>
      <w:r w:rsidRPr="00A4268A">
        <w:rPr>
          <w:rFonts w:eastAsia="Calibri"/>
        </w:rPr>
        <w:t>There were no areas identified as requiring improvement as a result of the audit. A rating of continuous improvement was awarded for achievements in reducing pressure injuries.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Personal privacy, gender, independence, individuality and dignity are supported.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 xml:space="preserve">The service has linkages with a range of specialist health care providers to support best practice and meet resident’s needs. </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annual business and quality risk management plans include the scope, direction, goals, values and mission statement of the organisation.  Experienced and suitably qualified people manage the services being delivered. </w:t>
      </w:r>
    </w:p>
    <w:p w:rsidRPr="00A4268A">
      <w:pPr>
        <w:spacing w:before="240" w:line="276" w:lineRule="auto"/>
        <w:rPr>
          <w:rFonts w:eastAsia="Calibri"/>
        </w:rPr>
      </w:pPr>
      <w:r w:rsidRPr="00A4268A">
        <w:rPr>
          <w:rFonts w:eastAsia="Calibri"/>
        </w:rPr>
        <w:t xml:space="preserve">The quality and risk management system includes monitoring service delivery and other operations through internal audits. Quality improvement data is collected, analysed for trends and leads to improvements. Staff are involved, and feedback is sought from residents and families. </w:t>
      </w:r>
    </w:p>
    <w:p w:rsidRPr="00A4268A">
      <w:pPr>
        <w:spacing w:before="240" w:line="276" w:lineRule="auto"/>
        <w:rPr>
          <w:rFonts w:eastAsia="Calibri"/>
        </w:rPr>
      </w:pPr>
      <w:r w:rsidRPr="00A4268A">
        <w:rPr>
          <w:rFonts w:eastAsia="Calibri"/>
        </w:rPr>
        <w:t xml:space="preserve">Adverse events are documented with corrective actions implemented. Actual and potential risks, including health and safety risks, are identified and mitigated. Policies and procedures support service delivery. </w:t>
      </w:r>
    </w:p>
    <w:p w:rsidRPr="00A4268A">
      <w:pPr>
        <w:spacing w:before="240" w:line="276" w:lineRule="auto"/>
        <w:rPr>
          <w:rFonts w:eastAsia="Calibri"/>
        </w:rPr>
      </w:pPr>
      <w:r w:rsidRPr="00A4268A">
        <w:rPr>
          <w:rFonts w:eastAsia="Calibri"/>
        </w:rPr>
        <w:t xml:space="preserve">The appointment, orientation and management of staff is based on good employment practices. A systematic approach to identify and deliver ongoing training, supports safe service delivery and includes regular individual performance review. </w:t>
      </w:r>
    </w:p>
    <w:p w:rsidRPr="00A4268A">
      <w:pPr>
        <w:spacing w:before="240" w:line="276" w:lineRule="auto"/>
        <w:rPr>
          <w:rFonts w:eastAsia="Calibri"/>
        </w:rPr>
      </w:pPr>
      <w:r w:rsidRPr="00A4268A">
        <w:rPr>
          <w:rFonts w:eastAsia="Calibri"/>
        </w:rPr>
        <w:t>Staffing levels and skill mix meet the changing needs of residents.</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liaison evident between the Needs Assessment Service Co-ordinator and the clinical team.  Relevant information is provided to the potential resident and their family to facilitate admission to the facility.  </w:t>
      </w:r>
    </w:p>
    <w:p w:rsidRPr="00A4268A" w:rsidP="00621629">
      <w:pPr>
        <w:spacing w:before="240" w:line="276" w:lineRule="auto"/>
        <w:rPr>
          <w:rFonts w:eastAsia="Calibri"/>
        </w:rPr>
      </w:pPr>
      <w:r w:rsidRPr="00A4268A">
        <w:rPr>
          <w:rFonts w:eastAsia="Calibri"/>
        </w:rPr>
        <w:t>The residents’ needs are assessed by the multidisciplinary team on admission and within the required time frames.  Care plans are individualised, based on a comprehensive range of information and accommodate any new problems that might arise.  The residents’ files reviewed evidenced that the care provided, and the needs of the residents are reviewed and evaluated on a regular and timely basis.  Residents are referred to other health providers as required.  Shift handovers and communication sheets promote continuity of care between each of the shifts.</w:t>
      </w:r>
    </w:p>
    <w:p w:rsidRPr="00A4268A" w:rsidP="00621629">
      <w:pPr>
        <w:spacing w:before="240" w:line="276" w:lineRule="auto"/>
        <w:rPr>
          <w:rFonts w:eastAsia="Calibri"/>
        </w:rPr>
      </w:pPr>
      <w:r w:rsidRPr="00A4268A">
        <w:rPr>
          <w:rFonts w:eastAsia="Calibri"/>
        </w:rPr>
        <w:t>The planned activity programme is delivered by three part time activity staff.  The programme provides the residents with a variety of individual and group activities and maintains their links with the community.  There is a facility van available for outings.</w:t>
      </w:r>
    </w:p>
    <w:p w:rsidRPr="00A4268A" w:rsidP="00621629">
      <w:pPr>
        <w:spacing w:before="240" w:line="276" w:lineRule="auto"/>
        <w:rPr>
          <w:rFonts w:eastAsia="Calibri"/>
        </w:rPr>
      </w:pPr>
      <w:r w:rsidRPr="00A4268A">
        <w:rPr>
          <w:rFonts w:eastAsia="Calibri"/>
        </w:rPr>
        <w:t>Medicines are managed according to the policies and procedures which are based on current best practice and consistently implemented.  Medications are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any special requirements catered for.  Policies guide the food service delivery supported by staff with food safety qualifications.  The kitchen was well organised and clean and meets food safety standards.  Residents are surveyed on an annual basis regarding satisfaction with the meals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environment meets the needs of residents and all areas inspected were clean and well maintained. There was a current building warrant of fitness.  Electrical equipment is tested as required. Communal and individual spaces are maintained at a comfortable temperature. External areas are maintained and safe and are accessible to all residents.</w:t>
      </w:r>
    </w:p>
    <w:p w:rsidRPr="00A4268A">
      <w:pPr>
        <w:spacing w:before="240" w:line="276" w:lineRule="auto"/>
        <w:rPr>
          <w:rFonts w:eastAsia="Calibri"/>
        </w:rPr>
      </w:pPr>
      <w:r w:rsidRPr="00A4268A">
        <w:rPr>
          <w:rFonts w:eastAsia="Calibri"/>
        </w:rPr>
        <w:t>Waste and hazardous substances are well-managed. Staff use protective equipment and clothing. Chemicals, soiled linen and equipment are managed safely.</w:t>
      </w:r>
    </w:p>
    <w:p w:rsidRPr="00A4268A">
      <w:pPr>
        <w:spacing w:before="240" w:line="276" w:lineRule="auto"/>
        <w:rPr>
          <w:rFonts w:eastAsia="Calibri"/>
        </w:rPr>
      </w:pPr>
      <w:r w:rsidRPr="00A4268A">
        <w:rPr>
          <w:rFonts w:eastAsia="Calibri"/>
        </w:rPr>
        <w:t>Laundry is undertaken onsite and evaluated for effectiveness.</w:t>
      </w:r>
    </w:p>
    <w:p w:rsidRPr="00A4268A">
      <w:pPr>
        <w:spacing w:before="240" w:line="276" w:lineRule="auto"/>
        <w:rPr>
          <w:rFonts w:eastAsia="Calibri"/>
        </w:rPr>
      </w:pPr>
      <w:r w:rsidRPr="00A4268A">
        <w:rPr>
          <w:rFonts w:eastAsia="Calibri"/>
        </w:rPr>
        <w:t xml:space="preserve">Staff are trained in emergency procedures, use of emergency equipment and supplies. Fire evacuation procedures are regularly practised.  </w:t>
      </w:r>
    </w:p>
    <w:p w:rsidRPr="00A4268A">
      <w:pPr>
        <w:spacing w:before="240" w:line="276" w:lineRule="auto"/>
        <w:rPr>
          <w:rFonts w:eastAsia="Calibri"/>
        </w:rPr>
      </w:pPr>
      <w:r w:rsidRPr="00A4268A">
        <w:rPr>
          <w:rFonts w:eastAsia="Calibri"/>
        </w:rPr>
        <w:t xml:space="preserve">Residents reported a timely staff response to call bells.  </w:t>
      </w:r>
    </w:p>
    <w:p w:rsidRPr="00A4268A">
      <w:pPr>
        <w:spacing w:before="240" w:line="276" w:lineRule="auto"/>
        <w:rPr>
          <w:rFonts w:eastAsia="Calibri"/>
        </w:rPr>
      </w:pPr>
      <w:r w:rsidRPr="00A4268A">
        <w:rPr>
          <w:rFonts w:eastAsia="Calibri"/>
        </w:rPr>
        <w:t>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There were two residents using restraints at the time of audit and two residents using enablers.  </w:t>
      </w:r>
    </w:p>
    <w:p w:rsidRPr="00A4268A">
      <w:pPr>
        <w:spacing w:before="240" w:line="276" w:lineRule="auto"/>
        <w:rPr>
          <w:rFonts w:eastAsia="Calibri"/>
        </w:rPr>
      </w:pPr>
      <w:r w:rsidRPr="00A4268A">
        <w:rPr>
          <w:rFonts w:eastAsia="Calibri"/>
        </w:rPr>
        <w:t>Staff understood that the use of enablers is voluntary and only implemented at the individual’s request and consent to use these.</w:t>
      </w:r>
    </w:p>
    <w:p w:rsidRPr="00A4268A">
      <w:pPr>
        <w:spacing w:before="240" w:line="276" w:lineRule="auto"/>
        <w:rPr>
          <w:rFonts w:eastAsia="Calibri"/>
        </w:rPr>
      </w:pPr>
      <w:r w:rsidRPr="00A4268A">
        <w:rPr>
          <w:rFonts w:eastAsia="Calibri"/>
        </w:rPr>
        <w:t>A comprehensive assessment, approval and monitoring process with regular reviews occurs.  Staff demonstrated a sound knowledge and understanding of the restraint and enabler processes and are provided with regular education.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led by an experienced and appropriately trained infection control nurse, aims to prevent and manage infections.  The programme is reviewed annually.  Specialist infection prevention and control advice is accessed if required.  </w:t>
      </w:r>
    </w:p>
    <w:p w:rsidRPr="00A4268A">
      <w:pPr>
        <w:spacing w:before="240" w:line="276" w:lineRule="auto"/>
        <w:rPr>
          <w:rFonts w:eastAsia="Calibri"/>
        </w:rPr>
      </w:pPr>
      <w:r w:rsidRPr="00A4268A">
        <w:rPr>
          <w:rFonts w:eastAsia="Calibri"/>
        </w:rPr>
        <w:t xml:space="preserve">Staff demonstrated good knowledge around the principals and practice of infection control, guided by relevant policies and supported with regular education.  </w:t>
      </w:r>
    </w:p>
    <w:p w:rsidRPr="00A4268A">
      <w:pPr>
        <w:spacing w:before="240" w:line="276" w:lineRule="auto"/>
        <w:rPr>
          <w:rFonts w:eastAsia="Calibri"/>
        </w:rPr>
      </w:pPr>
      <w:r w:rsidRPr="00A4268A">
        <w:rPr>
          <w:rFonts w:eastAsia="Calibri"/>
        </w:rPr>
        <w:t>Age care specific infection surveillance is undertaken, with data analysed, benchmarked and results reported through to all levels of the organisation.  Follow up action is taken as and when required.</w:t>
      </w:r>
    </w:p>
    <w:p w:rsidRPr="00A4268A">
      <w:pPr>
        <w:spacing w:before="240" w:line="276" w:lineRule="auto"/>
        <w:rPr>
          <w:rFonts w:eastAsia="Calibri"/>
        </w:rPr>
      </w:pPr>
      <w:r w:rsidRPr="00A4268A">
        <w:rPr>
          <w:rFonts w:eastAsia="Calibri"/>
        </w:rPr>
        <w:t xml:space="preserve">Covid-19 related processes are in place to manage change in Ministry of Health Covid-19 response levels.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42"/>
        <w:gridCol w:w="1280"/>
        <w:gridCol w:w="881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Johns Wood has policies, procedures, and processes in place to meet its obligations in relation to the Code of Health and Disability Services Consumers’ Rights (the Code).  This is displayed throughout the facility in both English and Māori, residents receive a copy of this in the admission pack.  Staff interviewed understood the requirements of the Code and were observed demonstrating respectful communication, encouraging independence, providing options, and maintaining dignity and privacy.  Training on the Code is part of the ongoing “GEM” study days for all staff as was verified in training records.  The Code is also covered by Age Concern when they come into the facility to see residents and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principals and practice of informed consent. Informed consent policies provide relevant guidance to staff. Clinical files reviewed showed that informed consent has been gained appropriately using the organisation’s standard consent form including for photographs and outings. </w:t>
            </w:r>
          </w:p>
          <w:p w:rsidR="00EB7645" w:rsidRPr="00BE00C7" w:rsidP="00BE00C7">
            <w:pPr>
              <w:pStyle w:val="OutcomeDescription"/>
              <w:spacing w:before="120" w:after="120"/>
              <w:rPr>
                <w:rFonts w:cs="Arial"/>
                <w:b w:val="0"/>
                <w:lang w:eastAsia="en-NZ"/>
              </w:rPr>
            </w:pPr>
            <w:r w:rsidRPr="00BE00C7">
              <w:rPr>
                <w:rFonts w:cs="Arial"/>
                <w:b w:val="0"/>
                <w:lang w:eastAsia="en-NZ"/>
              </w:rPr>
              <w:t>Advance care planning, establishing and documenting enduring power of attorney requirements and processes for residents is defined and documented, as relevant, in the resident’s record.  Staff demonstrated their understanding by being able to explain situations when this may occur.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gaining consent for day to day care on an ongoing basis.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service are on display and available throughout the facility in both English and Māori. Family members and residents spoken to were aware of the Advocacy Service, how to access this and their rights to have a support person. Staff are also aware of how to access the Advocacy Service if this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activities and entertainment. The facility encourages visits from family and friends. Family members interviewed stated they felt welcome when they visited and comfortable in their dealings with the staff. During COVID-19 restrictions staff have encouraged residents to “zoom” with their relatives in an effort to enable them to engage in face to face conversation with their family/whānau.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Information on the complaint process is provided to residents and families on admission and those interviewed said they understood the process and would not hesitate to raise concerns if they had any. Residents said they were encouraged and supported to raise issues and concerns at their monthly meetings. There was evidence their feedback was taken into consideration and changes were made as a result.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Oceania’s process for complaints management is that all complaints are notified to support office who allocate responsibility for management and investigation. According to their job description the BCM is responsible for complaints management and follow up with input from the clinical manager and other team members if necessary.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recorded three complaints received in this calendar year. Documents and interviews related to these confirmed that each complaint had been acknowledged in writing, investigated and resolution achieved with all parties. There have been no complaint investigations by the office of the Health and Disability Commissioner, or the district health board since the previous surveillance audit.</w:t>
            </w:r>
          </w:p>
          <w:p w:rsidR="00EB7645" w:rsidRPr="00BE00C7" w:rsidP="00BE00C7">
            <w:pPr>
              <w:pStyle w:val="OutcomeDescription"/>
              <w:spacing w:before="120" w:after="120"/>
              <w:rPr>
                <w:rFonts w:cs="Arial"/>
                <w:b w:val="0"/>
                <w:lang w:eastAsia="en-NZ"/>
              </w:rPr>
            </w:pPr>
            <w:r w:rsidRPr="00BE00C7">
              <w:rPr>
                <w:rFonts w:cs="Arial"/>
                <w:b w:val="0"/>
                <w:lang w:eastAsia="en-NZ"/>
              </w:rPr>
              <w:t>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interviewed, the residents and family/whānau of St Johns Wood reported being made aware of the Code and the Nationwide Health and Disability Advocacy Service (Advocacy Service) as part of the admission information provided and from discussion with staff.  The Code is displayed in English and Māori at the reception and throughout the facility and each resident has a copy of this in the admission folder.  Information on how to make a complaint and provide feedback is available and displayed in the residents’ lounge.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confirmed that services are provided in a manner that has regard for their dignity, privacy, sexuality, spirituality and choices.</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the personal cares of residents, by ensuring resident information is held securely and privately, when exchanging verbal information and during discussion with families.  All residents have a private room and ensuite facilities.  There are several lounges located throughout the facility providing quiet areas to chat away from the main communal areas and a family whānau/garden lounge.</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participating in activities within the facility and outside in the community.  Each resident’s care plan includes documentation related to the resident’s abilities and strategies to maintain and maximise their independence.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and social needs, values and beliefs have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be occurring during the orientation and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currently no residents at St Johns Wood that identify as Māori. Staff receive annual education to enable them to support residents who do identify as Māori to integrate their cultural values and beliefs. The principals of the Treaty of Waitangi are incorporated into day to day practice, as is the importance of whānau. There is a current Māori health plan and guidance on tikanga best practice is available. There are staff who identify as Māori in the facility and who can act as a resource. Te Ara Whakapiri Principles and Guidance for the Last Days of Life is utilised, and staff spoken to were familiar with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families verified that they were consulted on their individual culture, values and beliefs and that staff respected these. Staff can access an external interpreter service for residents if required and several staff members are bi-lingual. </w:t>
            </w:r>
          </w:p>
          <w:p w:rsidR="00EB7645" w:rsidRPr="00BE00C7" w:rsidP="00BE00C7">
            <w:pPr>
              <w:pStyle w:val="OutcomeDescription"/>
              <w:spacing w:before="120" w:after="120"/>
              <w:rPr>
                <w:rFonts w:cs="Arial"/>
                <w:b w:val="0"/>
                <w:lang w:eastAsia="en-NZ"/>
              </w:rPr>
            </w:pPr>
            <w:r w:rsidRPr="00BE00C7">
              <w:rPr>
                <w:rFonts w:cs="Arial"/>
                <w:b w:val="0"/>
                <w:lang w:eastAsia="en-NZ"/>
              </w:rPr>
              <w:t>Residents’ personal preferences, required interventions and special needs were included in all care plans that were reviewed. For example, likes and dislikes and attention to preferences around activities of daily living. The residents’ survey results evidenced that the residents’ needs were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confirmed that residents were free from discrimination, harassment or exploitation and felt safe. The facility general practitioner also expressed satisfaction with the standard of services provided to the residents. The induction process for staff includes education related to professional boundaries and expected behaviour to support good practice. Staff are guided by policies and procedures and demonstrated a clear understanding of the process they would follow, should they suspect any form of exploitation.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and encourages good practice. This is demonstrated in an initiative to provide a “dignified farewell” when a resident passes away. This is done with the family/whānau approval. St Johns Wood have gone beyond Te Ara Whakapiri, when the tupapaku leaves the property a guard of honour is formed with their favourite music playing.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practice is also demonstrated through evidence based policies, input from external specialist services and allied health professionals, for example, the hospice, wound care specialists, dieticians, podiatrist, and education for staff. The GP confirmed that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that they receive management support for external education and access their own professional networks. Ongoing yearly training for RNs and care staff is provided both in house (GEM) study days and from external providers.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own or their relative’s status, they are advised in a timely manner about any incidents or accidents and the outcomes of regular or urgent medical reviews. This was clearly documented in the residents’ records that were reviewed. There was also evidence of resident/family input into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principals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an interpreter should this be required and several staff are bi-lingual.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group develops an annual business plan with objectives and goals that each of its care facilities responds to. This is monitored for progress by the executive management team, from information provided by each of facilities monthly business status report on identified indicators. The organisation’s mission statement, vision and values are displayed at the entrance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St Johns Wood is currently being managed by an acting Business Care Manager (BCM) who is supported by a Clinical Manager (CM). The previous BCM resigned a month prior to this audit and recruitment to replace this person is underway. The acting BCM has held roles within Oceania since 2006.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is experienced in aged care having worked as a clinical manager since 2009. Responsibilities and accountabilities are defined in their job descriptions and individual employment agreements.  </w:t>
            </w:r>
          </w:p>
          <w:p w:rsidR="00EB7645" w:rsidRPr="00BE00C7" w:rsidP="00BE00C7">
            <w:pPr>
              <w:pStyle w:val="OutcomeDescription"/>
              <w:spacing w:before="120" w:after="120"/>
              <w:rPr>
                <w:rFonts w:cs="Arial"/>
                <w:b w:val="0"/>
                <w:lang w:eastAsia="en-NZ"/>
              </w:rPr>
            </w:pPr>
            <w:r w:rsidRPr="00BE00C7">
              <w:rPr>
                <w:rFonts w:cs="Arial"/>
                <w:b w:val="0"/>
                <w:lang w:eastAsia="en-NZ"/>
              </w:rPr>
              <w:t>The BCM and CM confirmed knowledge of the sector, regulatory and reporting requirements and maintain their currency through attendance at conferences and study days. The management team is supported in their roles by the Oceania executive and the regional teams who maintain regular communication and monthly onsite assistance.</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certified to provide rest home and hospital level care. There are 61 dual purpose beds and one dedicated rest home bed, total 62 rooms. Of these rooms, 38 are designated care suites and are available under an occupation right agreement (ORA). The other 24 rooms are standard rooms.  There were 50 residents on site at time of the audit. This comprised 32 rest home level care residents (one being short term/respite) and 18 requiring hospital level care (one under the age of 65 years).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stated maximum of 70 residents which allows for up to four couples to occupy care suites. The provider desires an increase in maximum resident numbers. A proposal to increase numbers should occur at a partial provisional audit after the current building conversion to more care suites is completed.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contracts with the DHB for the provision of rest home and hospital level care; respite care, long term support – chronic health care (LTS-CHC), and palliative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per Oceania policy, the BCM delegates their management responsibilities to the CM with day to day support from the RCM during any temporary absence. Cover for the CM’s absence is allocated to a senior RN under the BCM’s supervision. As evidenced on site, a qualified and experienced relief manager from the Oceania group was acting in the BCM role until a new BCM commences employment. </w:t>
            </w:r>
          </w:p>
          <w:p w:rsidR="00EB7645" w:rsidRPr="00BE00C7" w:rsidP="00BE00C7">
            <w:pPr>
              <w:pStyle w:val="OutcomeDescription"/>
              <w:spacing w:before="120" w:after="120"/>
              <w:rPr>
                <w:rFonts w:cs="Arial"/>
                <w:b w:val="0"/>
                <w:lang w:eastAsia="en-NZ"/>
              </w:rPr>
            </w:pPr>
            <w:r w:rsidRPr="00BE00C7">
              <w:rPr>
                <w:rFonts w:cs="Arial"/>
                <w:b w:val="0"/>
                <w:lang w:eastAsia="en-NZ"/>
              </w:rPr>
              <w:t>Staff stated that senior management absences are well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Johns Wood follows the Oceania documented quality and risk management system which is well embedded in practice and reflects the principles of continuous quality improvement. The Oceania management group regularly reviews all its policies with input from relevant personnel. All policies were current at the time of this audit. Policies cover all necessary aspects of the service and contractual requirements, including reference to the interRAI Long Term Care Facility (LTCF) assessment tool and process.  Policies are based on currently known best practice.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complaints, internal audit activities, regular resident and relative satisfaction surveys and the organisation’s reporting systems which utilise a number of clinical indicators such as incidents and accidents, surveillance of infections, pressure injuries, falls, and medication errors.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data is collected, collated and analysed to identify trends. Where audits or quality data indicated the need for improvement, corrective action plans were developed, implemented, and evaluated before being closed out. There is communication with staff of any subsequent changes to procedures and practice through meetings and staff notices. A range of meeting minutes (quality/health and safety, RN, restraint, infection control and other staff meetings) confirmed how this information is reported and discussed with all levels of staff. Residents and family are notified of relevant updates via resident meetings or newsletters.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their involvement in quality and risk management activities through their participation on committees and with internal audits.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are completed annually. The most recent survey results from August 2020 had a 44% return from respondents and revealed high satisfaction with services. This was also confirmed by the residents and family members interviewed.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implemented which records management of risks in clinical, environment, human resources and other areas specific to the facility. Health and safety policies and procedures are documented along with a hazard management programme. The hazard register sighted was current and is kept updated.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confirmed an awareness of health and safety processes and the need to report hazards, accidents and incidents promptly. The BCM described the processes for the identification, monitoring, review and reporting of risks and development of mitigation strategies. The manager is familiar with the Health and Safety at Work Act (2015) and follows requirements. There have been no WorkSafe notifications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Interviews and a sample of incident forms selected for review showed the resident’s family had been notified where appropriate, an assessment had been conducted and observations completed. All incident forms are reviewed and where necessary investigated by the CM. There was evidence of actions being implemented to prevent recurrence where possible. These are then signed off as complete by the BCM.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Analysis of incident data occurs monthly to identify facility trends and then data is used to benchmark nationally with other Oceania facilities. Incidents/accidents are also discussed at quarterly regional cluster meetings. Specific learnings and results from incidents/accidents inform quality improvement processes. Meeting minutes confirmed that the BCM and CM share the results of incident analysis and discuss the impact of these at RN, quality/health and safety and staff meetings. Graphs which showed month by month trends and how this compares nationally are displayed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The BCM and the CM described essential notification reporting requirements, including for pressure injuries. Documents showed there have been five section 31 notifications about pressure injuries made to the Ministry of Health, since the previous audit. Notifications for changes in governance, and executive and senior management have also occurred.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management policies and processes are based on good employment practice and relevant legislation. The recruitment process includes referee checks, police vetting and validation of qualifications and practising certificates (APCs), where required.  The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with competency assessments/performance review at set intervals following employment and then annually.  </w:t>
            </w:r>
          </w:p>
          <w:p w:rsidR="00EB7645" w:rsidRPr="00BE00C7" w:rsidP="00BE00C7">
            <w:pPr>
              <w:pStyle w:val="OutcomeDescription"/>
              <w:spacing w:before="120" w:after="120"/>
              <w:rPr>
                <w:rFonts w:cs="Arial"/>
                <w:b w:val="0"/>
                <w:lang w:eastAsia="en-NZ"/>
              </w:rPr>
            </w:pPr>
            <w:r w:rsidRPr="00BE00C7">
              <w:rPr>
                <w:rFonts w:cs="Arial"/>
                <w:b w:val="0"/>
                <w:lang w:eastAsia="en-NZ"/>
              </w:rPr>
              <w:t>St Johns Wood follows the Oceania approach to professional development which ensures that ongoing education is provided to all staff. Training records and interviews confirmed that all staff had undertaken a minimum of eight hours training each year which was relevant to their roles. Continuing education is planned and coordinated nationally each year. This includes role specific mandatory annual education and training modules that are provided via study days. Each facility also has the ability to implement other upskilling opportunities, such as using ‘tool box tutorials’ and inviting in guest presenters for specific purposes. There was written evidence of additional training on prevention and treatment of pressure injuries (PIs) to reduce the number of PIs in the facility. This contributed to the continuous improvement rating in criterion 1.3.6.1.</w:t>
            </w:r>
          </w:p>
          <w:p w:rsidR="00EB7645" w:rsidRPr="00BE00C7" w:rsidP="00BE00C7">
            <w:pPr>
              <w:pStyle w:val="OutcomeDescription"/>
              <w:spacing w:before="120" w:after="120"/>
              <w:rPr>
                <w:rFonts w:cs="Arial"/>
                <w:b w:val="0"/>
                <w:lang w:eastAsia="en-NZ"/>
              </w:rPr>
            </w:pPr>
            <w:r w:rsidRPr="00BE00C7">
              <w:rPr>
                <w:rFonts w:cs="Arial"/>
                <w:b w:val="0"/>
                <w:lang w:eastAsia="en-NZ"/>
              </w:rPr>
              <w:t>Care staff have either completed or commenced a New Zealand Qualification Authority education programme to meet the requirements of the provider’s agreement with the DHB. Of the 30 HCAs currently employed, 19 have completed Careerforce training to level 4, five are at level 3 and six have commenced level 1.  There are designated internal assessors for the Careerforce education programme.</w:t>
            </w:r>
          </w:p>
          <w:p w:rsidR="00EB7645" w:rsidRPr="00BE00C7" w:rsidP="00BE00C7">
            <w:pPr>
              <w:pStyle w:val="OutcomeDescription"/>
              <w:spacing w:before="120" w:after="120"/>
              <w:rPr>
                <w:rFonts w:cs="Arial"/>
                <w:b w:val="0"/>
                <w:lang w:eastAsia="en-NZ"/>
              </w:rPr>
            </w:pPr>
            <w:r w:rsidRPr="00BE00C7">
              <w:rPr>
                <w:rFonts w:cs="Arial"/>
                <w:b w:val="0"/>
                <w:lang w:eastAsia="en-NZ"/>
              </w:rPr>
              <w:t>Each of the RNs and a number of HCAs have current medication competencies and current first aid certification.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ten RNs employed, eight are maintaining their interRAI competencies. </w:t>
            </w:r>
          </w:p>
          <w:p w:rsidR="00EB7645" w:rsidRPr="00BE00C7" w:rsidP="00BE00C7">
            <w:pPr>
              <w:pStyle w:val="OutcomeDescription"/>
              <w:spacing w:before="120" w:after="120"/>
              <w:rPr>
                <w:rFonts w:cs="Arial"/>
                <w:b w:val="0"/>
                <w:lang w:eastAsia="en-NZ"/>
              </w:rPr>
            </w:pPr>
            <w:r w:rsidRPr="00BE00C7">
              <w:rPr>
                <w:rFonts w:cs="Arial"/>
                <w:b w:val="0"/>
                <w:lang w:eastAsia="en-NZ"/>
              </w:rPr>
              <w:t>Education session attendance records showed that ongoing education is provided in topics relevant to the services delivered. The recently introduced electronic training register (LMS) readily identifies individual staff who are due to complete their required training and competencies. These include subjects such as: fire training; infection control; hoist use; restraint; medication management; and wound management. Each of the staff records sampled contained evidence that training and annual performance appraisals were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This meets the minimum requirements of the DHB contract. Interviews and rosters confirmed that staff levels are adjusted to meet the changing needs of residents. There is a small casual pool of HCAs available to supplement rosters when needed to accommodate increases in workloads. The CM is available on call after hours, seven days a week. Staff reported that reliable access to advice is available when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and RNs said there were adequate staff available to complete the work allocated to them.  Residents and family interviewed supported this. Observations and review of a four-week roster cycle confirmed adequate staff cover is provided to meet current residents’ acuity and bed occupancy, with staff replaced in any unplanned absence. Residents’ needs were being consistently met in a timely manner. At least one staff member on duty has a current first aid certificate and there is 24/7 RN coverage to meet the ARC requirements for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St Johns Wood employs 64 staff. This consisted of the management team, RNs, health care assistants (HCAs), activities coordinators, maintenance personnel and household staff, such as kitchen, laundry and cleaning staff who provide services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sighted reflected adequate staffing levels and showed there are at least two RNs on each morning and afternoon shift, who were supported by six to seven HCAs. There is one RN on each night shift supported by three experienced HCAs. Care staff respond to village residents’ after hour’s emergency call bell activations. The village apartments are under the same roof as the care facility. There have been less than two call bell activations in the past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are legible with the name and designation of the person stamped beside the entry.</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for 12 months and are readily retrievable. They are then transferred offsite and held for the required period of time before being destroyed. No personal or private resident information was on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admitted to St Johns Wood following assessment from the Lakes Needs Assessment Service (NASC), as requiring the level of care that St Johns Wood provides. Prospective residents and their families are encouraged to visit the facility prior to admission and are provided with written information about the service and the admission process. All residents are admitted to the facility in accordance with current by MOH, COVID guidelines.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that they were happy with the admission process and the information that had been provided to them. Files reviewed contained the completed demographic information, assessments, and signed admission agreements in accordance with the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Lakes DHB ‘Yellow Envelope’ system to facilitate the transfer of residents to and from acute care settings and ‘pink’ envelopes for palliative care. There is open communication between all services, the residents, and the family. At the time of transition between services, appropriate information, including medication records and the care plan, is provided for ongoing management of the resident. All referrals are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Two RNs or one RN and one medication competent carer sign in the medications against the prescription, then signs and dates each blister pack. All medications sighted were within current use by dates. Clinical pharmacist input is provided as required.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 with controlled drugs signed in. All registered nurses are competent with syringe drivers.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were reviewed and were within the recommended range. The medication room also had evidence of ambient room temperature records taken.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were noted. These included the prescriber’s signature and date recorded on the commencement and discontinuation of medicines and all requirements for pro re nata (PRN) medicines met. The required three-monthly GP review was consistently recorded on the medicine chart. There were no standing or verbal orders. Vaccines are not stored on site. Residents and staff have received the required COVID-19 vaccines with the exception of those who did not want to be vaccinated.</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any residents who are self-medicating. This is decided in conjunction with the GP, RN and the resident. Self-medication documentation is completed by the GP and a copy is placed in the notes. At the time of the audit there were no residents self-administering medications.</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with a cook and kitchen team and is in line with recognised nutritional guidelines for older people. The menu follows summer and winter patterns was reviewed by a qualified dietician on 31 March 2021.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Ministry of Primary Industries which expires on 24 March 2022.  At the time of audit, the kitchen was observed to be clean, and the cleaning schedule was maintained.</w:t>
            </w:r>
          </w:p>
          <w:p w:rsidR="00EB7645" w:rsidRPr="00BE00C7" w:rsidP="00BE00C7">
            <w:pPr>
              <w:pStyle w:val="OutcomeDescription"/>
              <w:spacing w:before="120" w:after="120"/>
              <w:rPr>
                <w:rFonts w:cs="Arial"/>
                <w:b w:val="0"/>
                <w:lang w:eastAsia="en-NZ"/>
              </w:rPr>
            </w:pPr>
            <w:r w:rsidRPr="00BE00C7">
              <w:rPr>
                <w:rFonts w:cs="Arial"/>
                <w:b w:val="0"/>
                <w:lang w:eastAsia="en-NZ"/>
              </w:rPr>
              <w:t>Food temperatures, including for high-risk items, are monitored and recorded as part of the plan using an electronic database.</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Any special diets and modified texture requirements are made known to kitchen staff and accommodated in the daily meal plan. The kitchen provides a varied menu which supports residents with specific food requirements.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The recent resident satisfaction survey (8 September 2021) indicated some dissatisfaction with the meals. A corrective action plan was implemented and discussion with the residents and head chef took place and changes have been made. Family/whānau interviews evidenced satisfaction with the meals.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resident does not meet the entry criteria, there are no vacancies, or the referral has been declined from the service due to inappropriate referral from the NASC service, there is a process in place to ensure that the prospective resident and family are supported to find an appropriate level of care. Examples of this occurring were discussed with the clinical manager and the regional quality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needs of the resident change and they are no longer suitable for the services offered a referral for reassessment is made to the NASC and a new placement is found in consultation with the resident and the whānau/family.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to St Johns Wood, residents are assessed using a range of nursing assessment tools, such as pain scale, falls risk, skin integrity, cognition and behaviour, nutrition and activities to identify any deficits and to inform initial care planning. Within three weeks of admission, residents (except for respite, ACC and YPD residents) are accessed using the interRAI assessment tool, to inform long term care planning. Reassessment using the interRAI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Those long term residents not being assessed using the interRAI assessment tool have clinical assessments to inform care planning. These are reviewed every six months or if the resident’s needs change.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documentation, and observation verified the RNs are familiar with requirements for reassessment of a resident using the interRAI assessment tool when a resident has increasing or changing needs.  </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have current interRAI assessments completed by one of the trained interRAI assessors on site.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at St Johns Wood are electronic. When reviewed they reflected the support needs of the residents, and the outcomes of the integrated assessment process and other relevant clinical information. In particular, the needs identified by the interRAI assessments were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Care plans evidenced service integration with progress notes, activities notes, medical and allied health professionals’ notations clearly documented, informative and relevant.  Any change in care required was documented and verbally passed on to relevant staff. Residents and family/whānau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with residents and families verified that the care provided to the residents was consistent with their needs, goals and plan of care.  The attention to meeting a diverse range of residents’ needs was evident in all areas of service provision.  The service has gone beyond this by implementing a program specifically aimed at reducing the number of pressure sores within the facility. Staff were educated and empowered to utilise equipment and resources which achieved the desired result. This is rated continuous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interviewed confirmed that medical orders are carried out in a timely manner and staff are very proactive at contacting the GP should a resident’s condition change.  Care staff confirmed that care was provided as outlined in the documentation.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equipment and resources were available and suited to the levels of care provided and in accordance with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one full time activities assistant and two part time assistants, who support the residents Monday to Friday 8.00am till 4.30pm in the rest home and hospital. For Saturdays and Sundays, one activities assistant is available in the rest home and hospital from 10am – 3.00pm. The programme is overseen by a diversional therapist who will precept each assistant to complete the qualification should they wish too.</w:t>
            </w:r>
          </w:p>
          <w:p w:rsidR="00EB7645" w:rsidRPr="00BE00C7" w:rsidP="00BE00C7">
            <w:pPr>
              <w:pStyle w:val="OutcomeDescription"/>
              <w:spacing w:before="120" w:after="120"/>
              <w:rPr>
                <w:rFonts w:cs="Arial"/>
                <w:b w:val="0"/>
                <w:lang w:eastAsia="en-NZ"/>
              </w:rPr>
            </w:pPr>
            <w:r w:rsidRPr="00BE00C7">
              <w:rPr>
                <w:rFonts w:cs="Arial"/>
                <w:b w:val="0"/>
                <w:lang w:eastAsia="en-NZ"/>
              </w:rPr>
              <w:t>An activities assessment is completed on admission to ascertain the resident’s needs, interests, abilities and social requirements. Activities assessments are regularly reviewed to help formulate a plan that is meaningful to the resident. The activities are evaluated and documented as part of a six monthly multidisciplinary care plan review.   Activities reflected the residents’ goals, ordinary patterns of life and included normal community activities, regular church services, ‘Housie’, crafts, visiting entertainers and a daily walking group. A variety of public holidays are celebrated along with resident’s individual birthdays.</w:t>
            </w:r>
          </w:p>
          <w:p w:rsidR="00EB7645" w:rsidRPr="00BE00C7" w:rsidP="00BE00C7">
            <w:pPr>
              <w:pStyle w:val="OutcomeDescription"/>
              <w:spacing w:before="120" w:after="120"/>
              <w:rPr>
                <w:rFonts w:cs="Arial"/>
                <w:b w:val="0"/>
                <w:lang w:eastAsia="en-NZ"/>
              </w:rPr>
            </w:pPr>
            <w:r w:rsidRPr="00BE00C7">
              <w:rPr>
                <w:rFonts w:cs="Arial"/>
                <w:b w:val="0"/>
                <w:lang w:eastAsia="en-NZ"/>
              </w:rPr>
              <w:t>There is a facility vehicle available to take residents out. Prior to COVID-19 restrictions this was every day, but at the time of the audit it was three days per week. There are several lounge areas, as well as the individual’s bedrooms where they have the opportunity to watch their own television or listen to the radio. The Activities Calendar is on display throughout the facility and each resident is given a copy of the weekly activities plan showing what is available for them to participate in. Residents and families have the opportunity to evaluate the programme through day to day discussions with the activities co-ordinator and by completing the six-monthly resident satisfaction survey.   Residents interviewed confirmed the programme was interesting and varied.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each shift and reported on in the progress notes. If any change is noted, it is reported to the RN. Formal care plan evaluations occur every six months in conjunction with the six monthly interRAI/clinical reassessment or as the residents’ needs change. Evaluations are documented by the RN. Where progress is different from that expected, the service responds by initiating changes to the plan of care.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consistently reviewed for infections, pain, and weight loss, and progress evaluated as clinically indicated and according to the degree of risk noted during the assessment process. Other plans, such as wound management plans, were evaluated each time the dressings were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If the need for other non-urgent services are indicated or requested, the GP or RN sends a referral to seek specialist input. Copies of referrals were sighted in the residents’ files, including to the district nurses for specialist wound care. The resident and the family/whānau are kept informed of the referral process, as verified by documentation and interviews. Any acute/urgent referrals are attended to immediately, such as ringing an ambulance if the situation dictates.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which staff were observed to be using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08 October 2021)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Evidence that this occurs was confirmed in documentation reviewed, interview with the maintenance manager and observation of the environment. There is an extensive monthly planned maintenance schedule which is reliably attended to by maintenance personnel. Testing and tagging of electrical equipment is carried out by the full time employed maintenance person who is a registered electrician. Testing and calibration of bio medical equipment occurred in April 2021. The environment was hazard free and resident safety was promoted. External areas were confirmed as being safely maintained and were sighted as appropriate to the resident group and setting.</w:t>
            </w:r>
          </w:p>
          <w:p w:rsidR="00EB7645" w:rsidRPr="00BE00C7" w:rsidP="00BE00C7">
            <w:pPr>
              <w:pStyle w:val="OutcomeDescription"/>
              <w:spacing w:before="120" w:after="120"/>
              <w:rPr>
                <w:rFonts w:cs="Arial"/>
                <w:b w:val="0"/>
                <w:lang w:eastAsia="en-NZ"/>
              </w:rPr>
            </w:pPr>
            <w:r w:rsidRPr="00BE00C7">
              <w:rPr>
                <w:rFonts w:cs="Arial"/>
                <w:b w:val="0"/>
                <w:lang w:eastAsia="en-NZ"/>
              </w:rPr>
              <w:t>Staff and residents said they knew the processes to follow when repairs or maintenance are required and said their requests are actioned in a timely way. This was confirmed by sighting entries in the maintenance request book and interview with maintenance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adequate numbers of accessible bathroom and toilet facilities throughout the facility. Each resident has use of their own fully accessible bathroom and toilet. There are additional staff and visitors’ toilets located throughout the facility. Appropriately secured and approved handrails are provided in the toilet/shower areas, and other equipment/accessories are available to promote residents’ independence.</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 testing occurs regularly, and the records showed that all water temperatures were within a safe range, for example, no higher than 45 degrees Celsius in resident accessible areas and slightly higher than 60 degrees Celsius in the kitchen and laundry.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and within their bedrooms safely. All of the 24 standard rooms provide for a single occupant as does two of the 38 care suites. Thirty six of the current care suites could accommodate a couple. There were no couples on site during the audit. All bedrooms/care suites are currently located on the ground floor. Conversion of upstairs village apartments to care suites is underway and will occur as independent living village residents vacate their apartments or transfer to care. Rooms are personalised with furnishings, photos and other personal items displayed.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variety of communal areas are available for residents to engage in activities. The ground floor has two spacious dining rooms and at least two lounge areas. These are centrally located to enable easy access for residents and staff. There are sufficient private and quiet spaces available for residents to access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by dedicated laundry staff who are on site seven days a week. Laundry staff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All designated laundry and cleaning staff have attended training in safe chemical handling as confirmed in interview with staff and their training records. Chemicals were stored in a lockable cupboard and were in appropriately labelled containers. There are now cleaners on site seven days a week. Three cleaners work Monday to Friday for seven hours each and one cleaner on Saturday and Sundays for five hours a 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processes are monitored through the internal audit programme. The chemical provider who visits regularly also provides staff education/information and tests the effectiveness of their products.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issues, complaints or staff injury related to cleaning and laundry.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were displayed and known to staff. </w:t>
            </w:r>
          </w:p>
          <w:p w:rsidR="00EB7645" w:rsidRPr="00BE00C7" w:rsidP="00BE00C7">
            <w:pPr>
              <w:pStyle w:val="OutcomeDescription"/>
              <w:spacing w:before="120" w:after="120"/>
              <w:rPr>
                <w:rFonts w:cs="Arial"/>
                <w:b w:val="0"/>
                <w:lang w:eastAsia="en-NZ"/>
              </w:rPr>
            </w:pPr>
            <w:r w:rsidRPr="00BE00C7">
              <w:rPr>
                <w:rFonts w:cs="Arial"/>
                <w:b w:val="0"/>
                <w:lang w:eastAsia="en-NZ"/>
              </w:rPr>
              <w:t>Disaster and civil defence planning guides direct the facility in their preparation for disasters and described the procedures to be followed in the event of a fire or other emergency. The current fire evacuation plan was approved by the New Zealand Fire Service when it was reviewed in 2009. A trial evacuation takes place six-monthly with a copy sent to the New Zealand Fire Service, the most recent being on 04 June 2021.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National Emergency Management Agency recommendations for the region. Water storage tanks and potable water is stored onsite, and there are effective systems for managing power outages.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Doors and windows are locked at a predetermined time. There have been no concerns about security reported.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and communal areas are heated and ventilated appropriately. All bedrooms have appropriately sized opening external windows which provide sufficient natural light. Each of the care suites have sliding door access to outdoor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Heating in residents’ rooms and in the communal areas is provided by radiators which can be individually temperature adjusted. These radiators are fed by gas fired boilers. </w:t>
            </w:r>
          </w:p>
          <w:p w:rsidR="00EB7645" w:rsidRPr="00BE00C7" w:rsidP="00BE00C7">
            <w:pPr>
              <w:pStyle w:val="OutcomeDescription"/>
              <w:spacing w:before="120" w:after="120"/>
              <w:rPr>
                <w:rFonts w:cs="Arial"/>
                <w:b w:val="0"/>
                <w:lang w:eastAsia="en-NZ"/>
              </w:rPr>
            </w:pPr>
            <w:r w:rsidRPr="00BE00C7">
              <w:rPr>
                <w:rFonts w:cs="Arial"/>
                <w:b w:val="0"/>
                <w:lang w:eastAsia="en-NZ"/>
              </w:rPr>
              <w:t>All areas were warm and well ventilated throughout the audit and residents and families confirmed that the home is maintained at a comfortable temperature regardless of the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Johns Wood implements an infection prevention and control programme to minimise the risk of infection to residents, staff and visitors. A comprehensive and current infection control manual is available to staff and managers. There is evidence that formal reviews of the programme are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the designated infection prevention and control co-ordinator, whose role and responsibilities are defined in a job description. Infection control matters, including surveillance results, are reported monthly and reviewed at the monthly quality committee meetings. Infection prevention and control matters are also discussed at registered nurse meetings, staff handovers, staff meetings and ultimately at management meetings.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 and confirmed this had been further reinforced since the COVID-19 pandemic emerged.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has the appropriate skills, knowledge and qualifications for the role. Additional support and information can be accessed from the infection control team at the DHB, the community laboratory, the GP and the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There is a COVID-19 management plan in place that details all the actions required by the service streams within the facility in response to each of the alert levels. The ICN and the quality manager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reflected the requirements of the IPC standard and current accepted good practice. Policy review is ongoing and clearly documents on each policy the next review date. </w:t>
            </w:r>
          </w:p>
          <w:p w:rsidR="00EB7645" w:rsidRPr="00BE00C7" w:rsidP="00BE00C7">
            <w:pPr>
              <w:pStyle w:val="OutcomeDescription"/>
              <w:spacing w:before="120" w:after="120"/>
              <w:rPr>
                <w:rFonts w:cs="Arial"/>
                <w:b w:val="0"/>
                <w:lang w:eastAsia="en-NZ"/>
              </w:rPr>
            </w:pPr>
            <w:r w:rsidRPr="00BE00C7">
              <w:rPr>
                <w:rFonts w:cs="Arial"/>
                <w:b w:val="0"/>
                <w:lang w:eastAsia="en-NZ"/>
              </w:rPr>
              <w:t>Care delivery, cleaning, laundry and kitchen staff were observed following organisational policies, such as appropriate use of hand sanitises, good hand-washing technique and use of disposable aprons and gloves, as was appropriate to the setting. Hand washing and sanitizer dispensers are distributed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verified staff have received education on infection prevention and control at orientation and in ongoing education sessions.  Education is provided by suitably qualified RNs and the IPC coordinator. Content of the training is documented and evaluated to ensure it is relevant, current and understood.  A record of attendance is maintained. When an infection outbreak or an increase in infection incidence has occurred, there was evidence that additional staff education has been provided in response.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respiratory tract and skin infections. When an infection is identified, a record of this is documented in the resident’s clinical record. The IPC coordinator reviews all reported infections, and these are documented. New infections and any required management plans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at staff meetings and during shift handovers. A good supply of personal protective equipment was available, and St Johns Wood has processes in place to manage the risks imposed by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 restraint register recorded one resident was using a chair brief and bed rails as restraint and one other resident required a chair brief for safety when sitting. There were two residents using bed rails at their request as enablers.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observation of the environment, review of the restraint approval group minutes, files reviewed, and from interviews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made up of the restraint coordinator, other RNs, the BCM, CQM (if needed) and NP and/or GP are responsible for the approval of the use of restraints and the restraint processes. It was evident from review of restraint committee meeting minutes, residents’ files and interviews with the coordinator that there are clear lines of accountability that all restraints have been approved, and the overall use of restraints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family/whānau/EPOA involvement in the decision making was documented. Use of a restraint or an enabler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for the use of restraint were documented and included all requirements of the Standard. The RN restraint coordinators undertakes the initial assessment with input from other RNs and the resident’s family/whānau/EPOA. The RN/restraint coordinator and CM interviewed described the documented process. Families confirmed their involvement. The NP or GP is always involved in the final decision for use of restraint. </w:t>
            </w:r>
          </w:p>
          <w:p w:rsidR="00EB7645" w:rsidRPr="00BE00C7" w:rsidP="00BE00C7">
            <w:pPr>
              <w:pStyle w:val="OutcomeDescription"/>
              <w:spacing w:before="120" w:after="120"/>
              <w:rPr>
                <w:rFonts w:cs="Arial"/>
                <w:b w:val="0"/>
                <w:lang w:eastAsia="en-NZ"/>
              </w:rPr>
            </w:pPr>
            <w:r w:rsidRPr="00BE00C7">
              <w:rPr>
                <w:rFonts w:cs="Arial"/>
                <w:b w:val="0"/>
                <w:lang w:eastAsia="en-NZ"/>
              </w:rPr>
              <w:t>The assessment process identified the underlying cause, history of restraint use, cultural considerations, alternatives and associated risks. The desired outcome was to ensure the resident’s safety and security. Completed assessments were sighted in the records of the residents who were using restraints.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restraint coordinator described how alternatives to restraints are used with input from staff and family members (eg, the use of sensor mats, low beds and fall out mattresses).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(two hourly) monitoring of bed rails and hourly checks/monitoring of residents in chair briefs occurs to check the resident is safe. Records of monitoring sighted had the necessary details. Access to advocacy is provided if requested and processes ensure dignity and privacy are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and reviewed at two monthly restraint group meetings. The register reviewed, contained sufficient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interviewed understood that the use of restraint is to be minimised and how this is maintained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residents’ files showed that their use of restraints was being reviewed and evaluated during care plan and interRAI reviews, two monthly restraint evaluations and at the restraint committee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included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restraint evaluations and reviews are completed, and individual use of restraint use is reported to the quality committee and staff meetings. Minutes of meetings confirmed this included analysis and evaluation of the amount and type of restraint use in the facility, whether all alternatives to restraint have been considered, the effectiveness of the restraint in use, the competency of staff and the appropriateness of education and feedback from the doctor, staff and families. A six-monthly internal audit also informs these meetings. Any changes to policies, guidelines, education and processes are implemented if indicated. </w:t>
            </w:r>
          </w:p>
          <w:p w:rsidR="00EB7645" w:rsidRPr="00BE00C7" w:rsidP="00BE00C7">
            <w:pPr>
              <w:pStyle w:val="OutcomeDescription"/>
              <w:spacing w:before="120" w:after="120"/>
              <w:rPr>
                <w:rFonts w:cs="Arial"/>
                <w:b w:val="0"/>
                <w:lang w:eastAsia="en-NZ"/>
              </w:rPr>
            </w:pPr>
            <w:r w:rsidRPr="00BE00C7">
              <w:rPr>
                <w:rFonts w:cs="Arial"/>
                <w:b w:val="0"/>
                <w:lang w:eastAsia="en-NZ"/>
              </w:rPr>
              <w:t>Data reviewed, minutes and interviews with the CM, CQM and restraint coordinators confirmed that the use of restraint has reduced from five to two since January this year.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90"/>
        <w:gridCol w:w="1280"/>
        <w:gridCol w:w="6251"/>
        <w:gridCol w:w="48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Between June 2019 and December 2020, there were 28 pressure injuries either facility acquired, or residents had been admitted with them, four of these were of a grade 2 or above.  Investigations revealed more equipment and new resources were required. Training and education on specialist equipment and supplies to prevent pressure injuries, was conducted along with an awareness on prevention and improved management of pressure injuries. This included daily monitoring of skin, three-day continence assessments, high protein drinks, two hourly toileting and advice from the GP and wound care nurse on who was at risk of a pressure injury.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Focused education and new resources has enabled staff to readily identify and manage those residents vulnerable to pressure injuries. This has succeeded in reducing the number of pressure injuries from 28 (in an 18 month time period) to six, grade 2 and below in the previous six months.  Residents have improved quality of life and staff described being able to better manage these injuries in the future.  The DHB has commented positively on the success of one particular resident’s pressure injury.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St Johns Wood</w:t>
    </w:r>
    <w:bookmarkEnd w:id="58"/>
    <w:r>
      <w:rPr>
        <w:rFonts w:cs="Arial"/>
        <w:sz w:val="16"/>
        <w:szCs w:val="20"/>
      </w:rPr>
      <w:tab/>
      <w:t xml:space="preserve">Date of Audit: </w:t>
    </w:r>
    <w:bookmarkStart w:id="59" w:name="AuditStartDate1"/>
    <w:r>
      <w:rPr>
        <w:rFonts w:cs="Arial"/>
        <w:sz w:val="16"/>
        <w:szCs w:val="20"/>
      </w:rPr>
      <w:t>27 September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