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Anthony Wilding Retirement Village Limited - Anthony Wilding Retirment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Anthony Wilding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Anthony Wilding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September 2021</w:t>
      </w:r>
      <w:bookmarkEnd w:id="7"/>
      <w:r w:rsidRPr="009418D4">
        <w:rPr>
          <w:rFonts w:cs="Arial"/>
        </w:rPr>
        <w:tab/>
        <w:t xml:space="preserve">End date: </w:t>
      </w:r>
      <w:bookmarkStart w:id="8" w:name="AuditEndDate"/>
      <w:r w:rsidR="00A4268A">
        <w:rPr>
          <w:rFonts w:cs="Arial"/>
        </w:rPr>
        <w:t>10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Anthony Wilding Retirement Village is operated by Ryman and provides rest home, dementia and hospital level care for up to 178 residents, including 30 serviced apartments certified to provide rest home level care.  At the time of the audit there were 151 residents in total including seven rest home residents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village manager (non-clinical) has been in the role for four years, previously being the assistant to the manager for three years.  She is supported by a clinical manager has been in her role for six years and has past experience in aged care in clinical management roles.  They are supported by an assistant to the manager, five-unit coordinators, RNs and caregivers.  The management team is supported by the Ryman management team including regional manager.</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This audit identified no areas of improvement.</w:t>
      </w:r>
    </w:p>
    <w:p w:rsidRPr="00A4268A">
      <w:pPr>
        <w:spacing w:before="240" w:line="276" w:lineRule="auto"/>
        <w:rPr>
          <w:rFonts w:eastAsia="Calibri"/>
        </w:rPr>
      </w:pPr>
      <w:r w:rsidRPr="00A4268A">
        <w:rPr>
          <w:rFonts w:eastAsia="Calibri"/>
        </w:rPr>
        <w:t xml:space="preserve">The service is commended for achieving continuous improvement ratings around recognition of  falls prevention, activities, maintaining a restraint free environment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Village objectives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w:t>
      </w:r>
    </w:p>
    <w:p w:rsidRPr="00A4268A" w:rsidP="00621629">
      <w:pPr>
        <w:spacing w:before="240" w:line="276" w:lineRule="auto"/>
        <w:rPr>
          <w:rFonts w:eastAsia="Calibri"/>
        </w:rPr>
      </w:pPr>
      <w:r w:rsidRPr="00A4268A">
        <w:rPr>
          <w:rFonts w:eastAsia="Calibri"/>
        </w:rPr>
        <w:t>Medication policies reflect legislative requirements and guidelines.  Registered nurses and senior caregivers are responsible for the administration of medicines.  Medication charts are reviewed three-monthly by the GP.</w:t>
      </w:r>
    </w:p>
    <w:p w:rsidRPr="00A4268A" w:rsidP="00621629">
      <w:pPr>
        <w:spacing w:before="240" w:line="276" w:lineRule="auto"/>
        <w:rPr>
          <w:rFonts w:eastAsia="Calibri"/>
        </w:rPr>
      </w:pPr>
      <w:r w:rsidRPr="00A4268A">
        <w:rPr>
          <w:rFonts w:eastAsia="Calibri"/>
        </w:rPr>
        <w:t>The activities team implements the activity programme in each unit to meet the individual needs, preferences and abilities of the residents.  Residents are encouraged to maintain community links.  There are regular entertainers, outings and celebrations.</w:t>
      </w:r>
    </w:p>
    <w:p w:rsidRPr="00A4268A" w:rsidP="00621629">
      <w:pPr>
        <w:spacing w:before="240" w:line="276" w:lineRule="auto"/>
        <w:rPr>
          <w:rFonts w:eastAsia="Calibri"/>
        </w:rPr>
      </w:pPr>
      <w:r w:rsidRPr="00A4268A">
        <w:rPr>
          <w:rFonts w:eastAsia="Calibri"/>
        </w:rPr>
        <w:t>All meals and baking are done on site by qualified chefs.  The menu provides choices and accommodates resident preferences and dislikes.  Nutritious snacks are available 24 hours.  Residents interviewed responded favourably to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are stored safely throughout the facility.  All bedrooms are single occupancy with an ensuite.  There are adequate numbers of communal toilets.  There is sufficient space to allow the movement of residents around the facility.  The hallways and communal areas are spacious and accessible.  The outdoor areas are safe and easily accessible.  There is an emergency management plan in place and adequate civil defence supplies in the event of an emergency.  There is a person on duty at all times with first aid training.  Housekeeping staff maintain a clean and tidy environment.  All laundry services are managed on site.</w:t>
      </w:r>
    </w:p>
    <w:p w:rsidRPr="00A4268A">
      <w:pPr>
        <w:spacing w:before="240" w:line="276" w:lineRule="auto"/>
        <w:rPr>
          <w:rFonts w:eastAsia="Calibri"/>
        </w:rPr>
      </w:pPr>
      <w:r w:rsidRPr="00A4268A">
        <w:rPr>
          <w:rFonts w:eastAsia="Calibri"/>
        </w:rPr>
        <w:t>There is an approved fire evacuation scheme.  There are six-monthly fire drills.  Staff have attended emergency and disaster management training.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is practiced and overseen by the registered nurse.  There were no residents using enablers or restraints.  Staff receive training around restraint minimisation and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6"/>
        <w:gridCol w:w="1280"/>
        <w:gridCol w:w="91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Health and Disability Commissioner (HDC) Code of Health and Disability Services Consumers’ Rights (the Code).  Information related to the Code is made available to residents and their families.  Four managers (village manager, assistant to the manager, clinical manager and regional operations manager) and 28 care staff; including four-unit coordinators, six registered nurses (RNs), one enrolled nurse (EN), 12 caregivers (two dementia, seven hospital, two rest home and one serviced apartments) and five activities staff described how the Code is incorporated into their working environment.  Staff receive training about the Code during their induction to the service.  This training continues through the mandatory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resident files were reviewed, (three rest home including one serviced apartment resident, three dementia residents including one respite resident and seven hospital level of care).  Informed consent processes had been discussed with residents (as appropriate) and families on admission.  Completed resuscitation and general consents were sighted on the electronic files including for Covid-19 and influenza vaccination.  Advance care plans where known were available on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discussion with family when the GP completed a clinically indicated ‘not for resuscitation’ order where residents were deemed not to be competent and had a needs assessment on file.  Discussions with staff, confirmed verbal consent is obtained for entering rooms and when delivering care.  Discussion with family members identified that the service actively involves them in decisions that affect their relative’s lives.  Family/whānau discussions were evident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also included enduring power of attorney (EPOA) documents.  All three residents’ records reviewed from the dementia unit evidenced an approved needs assessment for the service and all included a nominated and enacted EPOA.  Signed admission agreements were evident in the resident’s electronic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included information on the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residents and relatives, confirmed their understanding of the complaints process.  Staff interviewed were able to describe the process around reporting complaints.  There is a complaint’s register that includes written and verbal complaints, dates and actions taken and demonstrates that complaints are being managed in a timely manner.  The complaints process is linked to the quality and risk management system.  Four complaints received in 2021 (year to date) and two complaints made in 2020 have been managed in a timely manner and are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One of the complaints made in 2020 was made through the Health and Disability Commissioner (HDC), who referred the complaint to the Nationwide Health and Disability Advocacy Service.  The complaint was investigated and was resolved in October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Nine relatives (two rest home, three hospital and four dementia care) and nine residents (six rest home and three hospital care) stated they were provided with information on admission which included the Code.  Large print posters of the Code and advocacy information are displayed throughout the facility.  The village manager reported having an open-door policy and described discussing the information pack with residents/relatives on admission.  Relatives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Residents’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 cares.  Staff attend education and training on abuse and neglect, last completed in June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The service has links with the local Māori iwi for advice and support as required.  There was one resident who identified as Māori at the time of the audit.  Cultural needs were addressed in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(formerly known as head office) for collating, monitoring and benchmarking between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Indicators include resident incidents by type, resident infections by type, staff incidents or injuries by type and resident and relative satisfaction.  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Fifteen incident/accident forms and corresponding residents’ files were reviewed, and all identified that the next of kin were contacted.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Anthony Wilding is a Ryman healthcare retirement village.  They are certified to provide rest home, hospital (geriatric and medical) and dementia levels of care for up to 178 residents.  This includes 30 serviced apartments that are certified to provide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151 residents including seven residents in the serviced apartments receiving rest home level care.  The rest home unit has 35 beds with full occupancy, including two private residents not on an aged residential care service agreement.  There are two hospital units, Canterbury unit has 40 beds with full occupancy and the Wimbledon unit has 40 beds with 38 occupied.  All hospital rooms are dual-purpose. The special care unit (dementia) unit has 33 beds, with 31 occupied, including one resident on respite.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quality improvement and risk management in the service.  In addition, a value statement, philosophy, goals, values and beliefs are documented that are specific to Ryman Anthony Wilding.  Four village objectives for 2021 (drive audit compliance, improve clinical indicators, improve resident and relative experience and drive positive team culture) are defined with evidence of reviews in April and August 2021 on progress towards meeting these objectives.  Objectives and the progress towards meeting these objectives are posted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for four years, previously being the assistant to the manager for three years.  She is supported by a clinical manager who has been in her role for six years and has past experience in aged care in clinical management roles.  They are supported by an assistant to the manager, five-unit coordinators, RNs and caregivers.  There are weekly management meetings.  The village manager reports to the regional operations manager who reports to the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during the temporary absence of the village manager, with support from the assistant to the manager, regional operations manager and Ryman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Anthony Wilding has a well-established quality and risk management programme that is directed by Ryman Christchurch.  Quality and risk performance is reported across the facility meetings (full facility, management, clinical, health and safety, infection control meetings) and reported to the organisation's management team.  Discussions with the management team and staff, and review of meeting minutes demonstrated their involvement in quality and risk activities.  Annual resident and relative surveys are completed.  Results and any areas for improvement are fed back to staff and participants through resident (two-monthly) and relative (six-monthly) meetings.  The resident’s overall satisfaction average score was 4.24 and the relatives’ overall satisfaction rate was 4.30.  Corrective actions have been established around housekeeping and linen services.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including those standards relating to the Health and Disability Services (Safety) Act 2001.  The quality monitoring programme is designed to monitor contractual and standards compliance and the quality-of-service delivery.  Management systems have been implemented and regularly reviewed including an internal audit programme.  Quality improvement plans are implemented for audit outcomes less than 90%.  Re-audits are completed as required.  The facility has implemented processes to collect, analyse and evaluate data including infection control, accidents/incidents, complaints which are utilised for service improvements.  Results are communicated to staff across a variety of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at the monthly health and safety committee meeting.  The noticeboard keeps staff informed on health and safety meetings.  The staff health and safety officer (caregiver) was interviewed.  He has completed level two external health and safety training.  The health and safety officer facilitates fire drills and provides education on emergency procedures in small groups from each unit throughout the year.  The risk register is reviewed annually and updated prior to each meeting with new hazards added as appropriate.  The service documents and analyses incidents/accidents, unplanned or untoward events and provides feedback to the service and staff so that improvements are made.  There is a focus on identifying and reporting hazards through the new Donesafe app.  Ryman Christchurch sends out health and safety bulletins regularly and alerts for staff information and awareness.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ongoing falls assessment, reviewing call bell response times and routine checks of all residents specific to each resident’s needs.  All falls are fully investigated, medical causes identified and treated, location and timing of falls analysed for trends and ongoing education includes manual handling, hoist refreshers, intentional rounding and use of equipment such as sensor mats, physiotherapy input and encouragement in exercise programmes.  Case studies are discussed at clinical meetings.  General practitioners (GP) are notified of falls and a medical review including medication review is completed.  Care plans record falls prevention strategies that reflect the residents falls risk.  Falls prevention and management training has been held at a full facility meeting in April 2021 for all staff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for each incident/accident with immediate action noted, relative notification and any follow-up action required.  There was a QIP in place to look at reducing the number of pressure injuries in 2021.  A review of 15 electronic incident/accident reports for August 2021 were reviewed and identified that all were fully completed and included follow-up by a RN.  Neurological observations are completed for unwitnessed falls and where there is an obvious knock to the head.  The unit coordinators and managers review adverse events as part of the weekly management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was able to identify situations that would be reported to statutory authorities.  There were nine section 31 notifications made in 2020, including one health and safety incident and eight pressure injuries (seven unstageable and one stage three).  In 2021 year to date three notifications have been made for three pressure injuries (two unstageable and one stage three).  Notification has also been made to Public Health authorities for one outbreak (gastro) in June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Fifteen staff files reviewed (one clinical manager, four-unit coordinators, one RN, seven caregivers, one activities coordinator and one chef) provided evidence of signed contracts, job descriptions relevant to the role, induction, reference checks and annual performance appraisals.  A register of RN, EN and health professional practising certificates are maintained and current.  An orientation programme provides new staff with relevant information for safe work practice.  There is regular RN journal club.  All RNs, management team and activities persons hold a current first aid certificate.  There are implemented competencies for RNs, ENs and caregivers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completed annual education plan for 2020 and the plan for 2021 is being implemented.  The annual training programme exceeds eight hours annually.  Additional toolbox sessions are provided.  Registered nurses are encouraged to attend external training, including sessions provided by the local DHB.  Communication folders in each unit contain education content for staff to read and sign if they have not attended the education session.  Staff are also required to complete a series of comprehension surveys each year.  There are 26 RNs working at Ryman Anthony Wilding and 13 have completed interRAI training.  There are 102 caregivers in total.  Approximately 90% of caregivers have attained their national certificate in aged care.  Twenty seven of thirty caregivers who work in the special care unit have completed their dementia standards qualification.  Three caregivers are in progress of completing and have been employed for less than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 village manager, assistant to the manager and clinical manager all work Monday to Friday.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35 rest home residents in the rest home unit (35 beds).  A rest home unit coordinator (RN) works from Tuesday to Saturday and an RN covers on the two days that the unit coordinator is not available.  One RN is rostered Monday to Friday 9 am to 1 pm.  They are supported by four caregivers on the morning shift (two long and two short), three caregivers (one senior) on the afternoon shift (two long and two short) and two caregivers (one senior)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39 hospital residents and one rest home resident in the Canterbury, hospital unit (40 dual-purpose beds).  A hospital unit coordinator (RN) works from Tuesday to Saturday.  There are two RNs on morning and afternoon shifts and one on the night shift.  They are supported by eight caregivers on the morning shift (four long and four short), six caregivers on the afternoon shift (two long and four short) and two caregivers on the night shift.  A fluid assistant and physiotherapy assistants work from 9.30 am to 1 pm and a lounge carer works from 4 pm to 8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37 hospital residents and one rest home resident in the Wimbledon, hospital unit (40 dual-purpose beds).  A hospital unit coordinator works from Tuesday to Saturday.  There are two RNs on morning and afternoon shifts and one on the night shift.  They are supported by eight caregivers on the morning shift (four long and four short), six caregivers on the afternoon shift (two long and four short) and two caregivers on the night shift.  A fluid assistant and physiotherapy assistants work from 9.30 am to 1 pm and a lounge carer works from 4 pm to 8 pm.  </w:t>
            </w:r>
          </w:p>
          <w:p w:rsidR="00EB7645" w:rsidRPr="00BE00C7" w:rsidP="00BE00C7">
            <w:pPr>
              <w:pStyle w:val="OutcomeDescription"/>
              <w:spacing w:before="120" w:after="120"/>
              <w:rPr>
                <w:rFonts w:cs="Arial"/>
                <w:b w:val="0"/>
                <w:lang w:eastAsia="en-NZ"/>
              </w:rPr>
            </w:pPr>
            <w:r w:rsidRPr="00BE00C7">
              <w:rPr>
                <w:rFonts w:cs="Arial"/>
                <w:b w:val="0"/>
                <w:lang w:eastAsia="en-NZ"/>
              </w:rPr>
              <w:t>There were 31 dementia residents in the special care unit (33 beds).  A dementia unit coordinator works from Sunday to Thursday.  There is one RN on the morning and afternoon shifts.  They are supported by four caregivers on the morning shift (one long and three short), three caregivers on the afternoon shift (one long and two short) and two caregivers (one senior) on the night shift.  A RN from the hospital unit covers the special care unit overnight.</w:t>
            </w:r>
          </w:p>
          <w:p w:rsidR="00EB7645" w:rsidRPr="00BE00C7" w:rsidP="00BE00C7">
            <w:pPr>
              <w:pStyle w:val="OutcomeDescription"/>
              <w:spacing w:before="120" w:after="120"/>
              <w:rPr>
                <w:rFonts w:cs="Arial"/>
                <w:b w:val="0"/>
                <w:lang w:eastAsia="en-NZ"/>
              </w:rPr>
            </w:pPr>
            <w:r w:rsidRPr="00BE00C7">
              <w:rPr>
                <w:rFonts w:cs="Arial"/>
                <w:b w:val="0"/>
                <w:lang w:eastAsia="en-NZ"/>
              </w:rPr>
              <w:t>There were seven rest home residents in the serviced apartments (30 beds).  A serviced apartment unit coordinator/EN works from Tuesday to Saturday and a senior caregiver covers the two days that the unit coordinator is not available.  They are supported by two caregivers (one senior) on the morning and afternoon shifts (one long and one short).  A RN from the hospital unit covers the rest home residents in the serviced apartments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A cover pool has been implemented whereby (extra) care staff are scheduled to work Friday to Monday to cover absences.  Additional casual staff are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in the hospital and special care units and five days a week in the rest home and serviced apartments.  Separate cleaning and laundry staff are rostered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visible and were attending to call bells in a timely manner as observed by the auditors during the audit.  Staff interviewed stated that overall, the staffing levels are satisfactory, and that the management team provide good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information (hard copy and electronic) is protected from unauthorised access.  Entries are legible and dated by the relevant care staff or registered staff,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and procedures to safely guide service provision and entry to services including an admission policy.  The service has an information pack available for residents/families at entry including short-term stays, rest home, hospital and dementia level of care services.  The admission agreements reviewed met the requirements of the ARC contract.  Exclusions from the service are included in the admission agreement.  All long-term admission agreements including the one short-stay admission agreement for funded respite were signed and dated.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described the admission process including the service reviewing all admissions and discussing the admission with the family and resident prior to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Registered nurses, enrolled nurses and caregivers, who have passed their medication competency, administer medications.  There were six residents (three hospital and three rest home including one in the service apartment) self-administering eye drops, inhalers and nose sprays on the day of audit.  Assessment and monitoring of self-medication occurs.  Medications were stored in a locked drawer in residents’ rooms and administration of medication is verified by the registered nurse.  Specific medication risks are identified in the care plan and include but not limited to warfarin, insulin and beta-blockers.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medication rooms on site, one for each level of care and all have secured keypad access.  Medication’s fridges had weekly temperature checks recorded and were within normal ranges.  Medication room temperatures are monitored daily and do not exceed 25 degrees.  Medication stocks are checked weekly and medication registers comply with the relevant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are updated annually and include syringe drivers, subcutaneous fluids, blood sugars, warfarin, enteral feeds and oxygen/nebulisers.  There is a signed agreement with the pharmacy.  Medications are checked on arrival and any pharmacy errors recorded and fed back to the supplying pharmacy.  The service does not use standing orders.  Medication errors are reported on an incident form and part of quality data and discussed at meetings.  Medication training was completed in April 2021. </w:t>
            </w:r>
          </w:p>
          <w:p w:rsidR="00EB7645" w:rsidRPr="00BE00C7" w:rsidP="00BE00C7">
            <w:pPr>
              <w:pStyle w:val="OutcomeDescription"/>
              <w:spacing w:before="120" w:after="120"/>
              <w:rPr>
                <w:rFonts w:cs="Arial"/>
                <w:b w:val="0"/>
                <w:lang w:eastAsia="en-NZ"/>
              </w:rPr>
            </w:pPr>
            <w:r w:rsidRPr="00BE00C7">
              <w:rPr>
                <w:rFonts w:cs="Arial"/>
                <w:b w:val="0"/>
                <w:lang w:eastAsia="en-NZ"/>
              </w:rPr>
              <w:t>The facility utilises an electronic medication management system.  Twenty-six medication profiles were sampled (fourteen hospital, six rest home including one serviced apartment, and six dementia level of care).  All charts had photo identification and allergy status documented.  All medication sheets evidenced three monthly reviews by the GP.  Prescribed medication is signed electronically after being administered as witnessed on the day of the audit.  Effectiveness of ‘as required’ medication administered was documented in the electronic prescription.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well-equipped commercial kitchen on site where all food and baking is prepared and cooked.  The qualified head chef is supported by one other chef and cook, a weekend cook and a team of four kitchen assistants.  Staff have been trained in food safety.  Project “delicious” has continued to be the focus of meal delivery.  The dining room experience is for enthusing the appetite.  The seasonal menu has been designed in consultation with the dietitian at an organisational level.  Twenty percent (20%) of the menu is changed every menu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Menu choices are decided by residents (or family/EPOA/primary care staff if the resident is not able) and offer a range of choices for main dishes for the midday and evening meal including a vegetarian, gluten free and light meal option.  Diabetic desserts and modified diets are accommodated.  All meals are delivered in hot boxes to each unit’s satellite kitchen, where it is placed in bain maries for service.  The chef receives a dietary profile for all new resident admissions and is notified of any dietary changes.  Resident likes and dislikes are accommodated and listed on the daily spreadsheet.  Alternative foods are available on the menu or offered.  Cultural, religious and food allergies are accommodated.  Nutritious snacks and fruit platters are available 24 hours a day.  There is a supply of snacks (including a nibble platter) in the dementia unit kitchenette.  The service provides protein increased shakes for residents with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Freezer and chiller temperatures and end-cooked temperatures are taken and recorded twice daily.  The chilled goods temperature is checked on delivery.  All foods were date labelled.  A cleaning schedule is maintained for the chef, cook and kitchenhands.  Staff were observed to be wearing appropriate personal protective clothing.  The food control plan was verified and expires on the 9 May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fluid assistants (one in each hospital wing) working morning shift that assist residents with adequate fluid intake.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food communication books in each servery, resident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risk assessments had been completed on admission and reviewed six-monthly as part of the evaluation process.  The outcomes of interRAI assessments and risk assessments that had been triggered were reflected in the care plans reviewed.  Additional assessments such as (but not limited to) behavioural and wound were completed according to need.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used the myRyman electronic resident individualised care programme.  There are a number of assessments completed that assess resident needs.  The assessments generate interventions and a narrative completed by the RNs that are automatically transferred to the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outlines objectives of nursing care, setting goals, and details of implementation required to ensure the resident’s individual needs are met.  Thirteen resident files were reviewed (seven hospital, three rest home including one resident in a serviced apartment and three dementia care including respite care).  Twelve files included up-to-date long term care plans that included interventions to support all current needs.  The resident on respite care in the dementia unit had a comprehensive initial care plan to reflect all current needs.</w:t>
            </w:r>
          </w:p>
          <w:p w:rsidR="00EB7645" w:rsidRPr="00BE00C7" w:rsidP="00BE00C7">
            <w:pPr>
              <w:pStyle w:val="OutcomeDescription"/>
              <w:spacing w:before="120" w:after="120"/>
              <w:rPr>
                <w:rFonts w:cs="Arial"/>
                <w:b w:val="0"/>
                <w:lang w:eastAsia="en-NZ"/>
              </w:rPr>
            </w:pPr>
            <w:r w:rsidRPr="00BE00C7">
              <w:rPr>
                <w:rFonts w:cs="Arial"/>
                <w:b w:val="0"/>
                <w:lang w:eastAsia="en-NZ"/>
              </w:rPr>
              <w:t>One hospital resident receiving end of life care reflected current assessed needs that were regularly updated.  Three files were reviewed of residents in the dementia unit.  All three included integrated activities of daily living that supported activities/interests across 24/7.  Behaviour management/de-escalation plans were documented where assessed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myRyman programme identifies interventions that cover a comprehensive set of goals including managing medical needs/risks.  Key symbols on the resident’s electronic home page identity current and acute needs such as (but not limited to); current infection, wound or recent fall.  There was documented evidence of resident/family/whānau involvement in the care planning process in the long-term files reviewed.  Residents and relatives interviewed confirmed they were involved in the care planning process.  Care plans included involvement of allied health professionals in the care of the resident.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or nurse specialist consultation.  A registered nurse interviewed stated that they notify family members about any changes in their relative’s health status.  Family members interviewed confirmed they are notified of any changes to health of their relative.  Communication and relative notifications are recorded in the electronic progress notes.  All care plans reviewed had interventions documented to meet the needs of the resident.  Care plans have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management plans are completed on myRyman.  When wounds are due to be dressed a task is automated on the RN daily schedule.  Wound assessment, wound management, evaluation forms, and wound monitoring occurs as planned in the sample of wounds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wounds registered in the rest home with no pressure injuries.  There were 14 documented wounds in the hospital, two residents had five wounds between them and evidence of a resolved stage three sacral pressure injury.  There were no residents with current pressure injuries.  There were five residents with wounds in the dementia unit, and no recorded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with wounds documented at least a monthly review as well as scheduled, ongoing wound evaluations as part of routine wound care.  There has been input from the GP and wound care nurse specialist as required.  Photos of wounds demonstrated progress towards healing.  Pressure injury prevention equipment is available and is being used.  Caregivers document changes of position electronically.  Wound care training has been provided in May 2021 as part of the RN journal club.  The wound care RN stated that the service focus is on reducing skin tears and bruising through good skin care and manual handling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generated through completing an updated assessment on myRyman, and interventions are automatically updated into the care plan.  Evaluations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in use as applicable such as weight, food and fluid, vital signs, blood sugar levels, neurological observations, wound monitoring and behaviour charts.  The RNs review the monitoring charts daily.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team and lounge carers implement the Engage activities programme in each unit that reflects the physical and cognitive abilities of the resident groups.  The team includes three qualified diversional therapists and three activity staff for the rest home, hospital and the dementia unit as well as two further activity staff for the serviced apartments.  There is also a van driver.  The rest home and serviced apartment programme is Monday to Friday and the hospital and dementia units are seven days a week.  There is an activity person in the special care unit and hospital in the evenings who, in conjunction with the care staff, ensures that activities and support are always available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for each unit in large print on noticeboards and some residents also have a copy in their rooms.  Residents have the choice of a variety of engage activities in which to participate including (but not limited to) triple A exercises, board games, quizzes, music, reminiscing, sensory activities, crafts and walks outside.  The rest home residents in serviced apartments can choose to attend the serviced apartment or rest home activity programme.  Those residents who prefer to stay in their room or who need individual attention have one-on-one visits to check if there is anything they need and to have a chat.  The service has two vans, a company car and a golf cart.  There are regular combined activities and celebrations held in the large lounges and atrium for residents from all the units.  Dementia care residents (as appropriate) join in the rest home/hospital activities for entertainment and other celebrations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care units include triple A exercises, garden walks in the two courtyards and around the village, singing, happy hours, hand therapy, word games, knitting group and dancing.  Resources are plentiful.  Cultural groups and pet therapy visit (to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in the chapel with room visits as required.  There are regular entertainers visiting the facility.  Special events like birthdays, Easter, Father’s Day, Anzac Day and Christmas and theme days are celebrated.  Junior school children and kapa haka groups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awarded a continuous improvement around providing residents with engaging activities amidst restrictions of the ongoing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of eleven long-term resident care plans reviewed had been evaluated by the registered nurses six monthly or when changes to care occurs, three hospital level residents have not yet been in the facility six months.  The respite care resident file and resident on palliative (end-of-life) care documented reviews and updates to care as needed. </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review involves the RN, GP, caregiver and resident/family if they wish to attend.  Activities plans are evaluated at the same time as the care plan.  There are one to three monthly reviews by the GP for all residents.  Family members interviewed confirmed that they are informed of any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professionals.</w:t>
            </w:r>
          </w:p>
          <w:p w:rsidR="00EB7645" w:rsidRPr="00BE00C7" w:rsidP="00BE00C7">
            <w:pPr>
              <w:pStyle w:val="OutcomeDescription"/>
              <w:spacing w:before="120" w:after="120"/>
              <w:rPr>
                <w:rFonts w:cs="Arial"/>
                <w:b w:val="0"/>
                <w:lang w:eastAsia="en-NZ"/>
              </w:rPr>
            </w:pPr>
            <w:r w:rsidRPr="00BE00C7">
              <w:rPr>
                <w:rFonts w:cs="Arial"/>
                <w:b w:val="0"/>
                <w:lang w:eastAsia="en-NZ"/>
              </w:rPr>
              <w:t>Dementia files sampled included documented evidence of input from mental health services for older people, including the nurse specialist and the geriatrician.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of general waste, medical waste and sharps.  Staff interviewed were aware of practices outlined in relevant policy.  Gloves, aprons, and goggles are available for staff in the laundry, housekeeping and sluice rooms.  Infection control policies state specific tasks and duties for which protective equipment is to be worn.  There is a documented process to clean reusable protective eyewear.  Chemicals are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buildings have a current building warrant of fitness that expires 1 December 2021.  A recent amendment to the fire evacuation document was done to accommodate a change in assembly areas following the last evacuation drill (14 April 2021), this has been approved on 30 June 2021.  The service is divided into two buildings.  The main building includes eighty hospital beds; divided into two units of 40 beds each (Wimbledon and Canterbury) and the serviced apartments.  The rest home and dementia care (upstairs) units are in another building that is easily accessible by a connecting pathway (approximately five metres).  There is a lift between the floors.  The service has a chapel, library service, hairdressers and shop for all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a clinical room had been repositioned to a larger area in the hospital unit and an archive room refurbished to be a sluice room in the Wimbledon wing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The following proposed changes are planned for the main building in 2022: refurbishment of the Village centre including the arcade, lounge and bar, refurbishment of reception area to include a café, refurbishment and extension of laundry, kitchen and hospital dining room.  The architectural plans are awaiting council consent.</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team address any maintenance requests or call on contractors as required.  There is a 12-monthly planned maintenance schedule in place that includes the calibration of medical equipment, functional testing of electric beds and hoists and electrical testing.  An appliance asset list is maintained for facility and resident electrical equipment.  Each unit has its own water supply with tempering valves on each cylinder.  Hot water temperatures in resident areas are monitored monthly and stable between 43-45 degrees Celsius.  A recent corrective action plan had been implemented for July 2021 when water temperatures were between 36 and 39 degrees Celsius for the rest home; the problem was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storage and space in the hospital units for safe manoeuvring of hoists within bedrooms and for hospital level lounge chairs in communal areas.  There are five centrally located nurses’ stations (including one for the service apartments) across the service.  Service apartments are spacious to meet safe mobility and safe care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grounds and garden staff that maintain the external areas.  There are well maintained landscaped outdoor areas including four courtyards.  Residents are able to access the outdoor gardens and courtyards safely from all units.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have sufficient equipment to safely deliver the cares as outlined in the resident care plans including the following equipment: sensor mats, sensor light and bed sensor pads (dementia care unit), standing and lifting hoists, tilting shower chairs, hospital level lounge chairs, mobility aids, transferring equipment, wheel-on and chair scales, pressure relieving mattresses and cushions, electric beds and ultra-low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low stimulus areas that provide privacy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all areas have single ensuites, access to a handbasin and flowing hand soap.  There are adequate numbers of communal toilets located near the communal areas.  Toilets have privacy locks.  Residents interviewed confirmed their privacy is assured when staff are undertaking personal cares.  There are separate toilets for staff and visitors in each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unit has an open plan lounge/dining area.  There are other lounge areas, seating alcoves including a library area that is available for quiet private time or visitors.  Serviced apartments also have a lounge area.  The communal areas are easily and safely accessible for residents and staff.  There is adequate internal and external space to allow maximum freedom of movement while promoting safety for those that wander.  The dementia care unit has a secure courtyard with safe paving and walkways with entry and exit points within the secure facility.  There are seating and shaded areas.  There are raised gardens and vegetable gardens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large communal lounges in each area which is used for group activities and entertainment.  Each unit has a large lounge and dining area with other smaller seating areas.  There are smaller seating areas for residents and families around the facility.  Furniture in all areas is arranged in a very homely manner and allows residents to freely mobilise.  </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 has an open plan lounge and dining room with a safe kitchenette area.  There are seating alcoves with items of memorabilia.  There are accessible communal lounges for residents in apartments.  Rest home residents in the apartments have their meals in the dining room or their apartment.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chemical provider monitors the effectiveness of chemicals in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 site.  Residents interviewed stated they were happy with the cleanliness of their bedrooms and communal areas.  Residents confirmed their clothing was treated with care and returned to them in a timely manner.  Cleaning trolleys are kept in locked designated areas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Staff have attended emergency and disaster management training.  The facility has an approved fire evacuation scheme in place and fire drills take place six-monthly.  The last fire evacuation drill occurred on 14 April 2021.  Smoke alarms, sprinkler system and exit signs are in place.  There are staff employed across the facility 24/7 with a current first aid certificate.  There are first aid kits located at reception, kitchen, facility van and maintenance shed.  Battery operated emergency lighting is in place which runs for at least four hours.  The facility has two on-site diesel generators to run essential services (one for the hospital and main building and one for the rest home and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civil defence kit located on each level which are checked monthly.  Supplies of stored drinkable water is available.  There is sufficient water stored to ensure 20 litres per day for seven days per resident.  There are alternative cooking facilities available with two gas barbeques and ten gas bottles.  There is an effective call bell system in all bedrooms, ensuites communal areas and service apartments.  The call bells and door alarms are linked to pagers carried by staff.  Calls light up on the screen panels in the hallways.  Staff advise that they conduct security checks at night, in addition to an external contractor.  A security camera is installed in the dementia unit only.  The facility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There is under-floor heating throughout the facility, heat pumps in the lounges and medication rooms and ceiling heaters in the hallways.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control and prevention officer is the clinical manager covering for an RN who is on maternity leave.  A job description defines the role and responsibilities for infection control.  The infection prevention and control committee are combined with the health and safety committee, which meets two-monthly.  The programme is set out annually from head office and directed via the quality programme.  The programme is reviewed annually as part of the Ryman training day for infection control officers.  On the day of audit, Anthony Wilding was operating effectively under level two lockdown guidelines.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Residents and staff are offered the annual influenza vaccine.  Hand sanitisers are placed appropriately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meet two-monthly.  The infection control officer is allocated time each month to collate infection rates and provide reports to the committee, management and facility meetings including trends and analysis of infections.  The infection and prevention officers have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Ryman Covid-19 strategies have been implemented within the facility.  There are robust processes documented and include a full monthly stocktake of personal protective equipment.  The result of the stocktake are sent to the offsite Ryman warehouse in Christchurch which ensures PPE stocks are replenished.  Staff were observed practicing good hand washing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coordinating/providing education and training to all staff, and she has attended external training for her role.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There is regular education around Covid outbreak management to ensure staff are fully aware of protocols when lockdown levels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two monthly combined infection prevention and control/health and safety meetings.  Staff are informed of infection control through the variety of facility meetings and graphs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small outbreak involving a suspected gastro outbreak in June 2020.  This was contained and public health and the DHB were informed.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awarded a continuous improvement for the reduction of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no residents using enablers and no residents with restraints.  The service has maintained being restraint free since February 2020.  The restraint coordinator (currently a hospital unit coordinator) provides staff training around restraint minimisation and de-escalation of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awarded a continuous improvement for maintaining a restraint free environment.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606"/>
        <w:gridCol w:w="71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Robust systems are in place for the collection, analyses, and evaluations of quality data.  A range of data is collected around falls, skin tears, pressure injuries, and infections across the service through myRyman.  Data collated is used to identify any areas that require improvement.  Clinical indicator data has individual reference ranges for acceptable limits and levels of incidents and infections.  Data is benchmarked against other Ryman facilities.  Communication of results occurs across a range of meetings across the facility (e.g., management, full facility and clinical/RN meetings).  Templates for all meetings document action required, timeframe, and the status of the actions.  </w:t>
            </w:r>
          </w:p>
          <w:p w:rsidR="00EB7645" w:rsidRPr="00BE00C7" w:rsidP="00BE00C7">
            <w:pPr>
              <w:pStyle w:val="OutcomeDescription"/>
              <w:spacing w:before="120" w:after="120"/>
              <w:rPr>
                <w:rFonts w:cs="Arial"/>
                <w:b w:val="0"/>
                <w:lang w:eastAsia="en-NZ"/>
              </w:rPr>
            </w:pPr>
            <w:r w:rsidRPr="00BE00C7">
              <w:rPr>
                <w:rFonts w:cs="Arial"/>
                <w:b w:val="0"/>
                <w:lang w:eastAsia="en-NZ"/>
              </w:rPr>
              <w:t>Falls are discussed at the leadership meetings, with fall prevention strategies reviewed, and the residents’ underlying conditions considered.  The falls assessment tool is completed, and falls protocols are monitored and followed up post falls.  The clinical manager reviews the call bell report daily, and copies are provided to the unit coordinators.  The physiotherapist review changes in resident mobility and a lounge carer is in the lounge monitoring residents.  Residents at risk of falling are encouraged to join the exercise programme.  Falls and incidents are discussed at the handovers between shifts to ensure staff are up to date with current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in the hospital unit were identified as an area that required improvement from data collected from 2019/2020.  A continuous improvement plan was developed in June 2020 which included identifying residents at risk of falling, reviewing call bell response times, routine checks of all residents specific to each resident’s needs, hourly intentional rounding for identified high risk fallers, staff complete ‘step back’ cards to heighten the awareness of residents with falls risk, reviewing the roster to ensure adequate supervision of residents, the use of sensor mats and night lights, proactive and early GP involvement for residents post falls and review of underlying causes for falls including medications,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The plan has been reviewed monthly and discussed at leadership and clinical meetings, with fall prevention strategies reviewed and the residents’ underlying conditions considered.  Education and training for staff has been provided on manual handling, safe transfers, hoisting, positioning in bed and chair, safe use of equipment, uses of sensors and devices, managing distressed behaviour and promoting nutrition/hydration.  Caregivers interviewed were knowledgeable regarding preventing falls and those residents who were at risk.  The outcome of the plan has been that hospital falls rates in June 2020 were at 9.08/1000 occupied bed nights, the rate of falls continued to reduce with the rates in July 2021 being at 5.64/1000 occupied bed nights.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resident survey in 2020 identified an opportunity to improve resident engagement and satisfaction with meaningful activities that would enhance their quality of life.  Ryman Anthony Wilding continues to implement the Ryman organisational activities programme with a focus on alternatives which encompass the specific needs of Covid restrictions.  There is the flexibility to add activities identified by residents as interests or recreational preferences.  The service has been successful in providing alternative activities using a variety online platform.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aims were identified, and an action plan developed to ensure meaningful activities were implemented during Covid restrictions.  To achieve this, the activities team identified alternative activities using zoom such as virtual happy hours in conjunction with individual goodie bags delivered to rooms, online group activities and video calls to families.  Other options to continue activities involved using PPE and physical distancing.  The service identified the residents who are at risk of isolation and prioritised those residents for one-on-one intervention and facilitated other services such as volunteers and additional therapies.  The service reviewed the activities programme each month and focused on providing activities with highest engagement levels.  Evening activities were provided in the hospital and special care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Once Covid restrictions lifted, the service focused on extending activities around special events such as World Buskers’ festival, Waitangi Day, Matariki, America’s cup, Active aging week, World of Wearable Art, Armistice day, Māori language week, Pink Ribbon breakfast, Royal New Zealand Ballet – sleeping beauty, and the Ryman Olympics.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 enjoyment and positive relative feedback in resident and relative meeting minutes (sighted).  Verbal feedback was received on the day of audit from resident and relative interviews.  Positive messages from families about the activities programme were viewed on social media and on feedback forms.   Monthly attendance rates at all activities were viewed and apart from allowances for lockdown, attendance demonstrated a continuous increase over the last 18 months.  Activity sessions viewed during audit days demonstrated a high level of attendance and engagement in all areas.  The resident’s satisfaction survey in February 2020 reports a satisfaction rate of 3.89/5.  After a year of focusing on the project aims and the action plan, the February 2021 survey reports a satisfaction rate of 3.95/5 demonstrating an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Anthony Wilding is proactive in developing and implementing quality initiatives.  Quality improvement plans (QIP) are developed where results do not meet expectations.  There is a number of ongoing quality improvements identified through meeting minutes and as a result of analysis of quality data collected.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consistently maintained a low rate of urinary tract infections.  It was identified that there was an opportunity to not only maintain but also further reduce the incidence of urinary tract infections in all areas.  An action plan was implemented.  </w:t>
            </w:r>
          </w:p>
          <w:p w:rsidR="00EB7645" w:rsidRPr="00BE00C7" w:rsidP="00BE00C7">
            <w:pPr>
              <w:pStyle w:val="OutcomeDescription"/>
              <w:spacing w:before="120" w:after="120"/>
              <w:rPr>
                <w:rFonts w:cs="Arial"/>
                <w:b w:val="0"/>
                <w:lang w:eastAsia="en-NZ"/>
              </w:rPr>
            </w:pPr>
            <w:r w:rsidRPr="00BE00C7">
              <w:rPr>
                <w:rFonts w:cs="Arial"/>
                <w:b w:val="0"/>
                <w:lang w:eastAsia="en-NZ"/>
              </w:rPr>
              <w:t>Ryman Anthony Wilding implemented strategies for the reduction of urinary tract infections.  Strategies included standardising clinical diagnosis of UTIs to ensure appropriate treatment, increasing fluid intake by identifying and providing residents with their specific preferred options and sanitising of communal toilet chairs between residents.  Continuous training for staff was provided on UTI prevention and the importance of maintaining low rates of infection.  Annual training on closing the loop – nutrition, hydration and UTI prevention and three-monthly caregiver comprehension surveys ensured staff were aware of their role in preventing UTIs.  Related information was discussed at handover.  The guidelines for treating UTIs were discussed with the GP based on information from the medication advisory committee.  The service has been working with the GP service about antibiotic stewardship.  Prophylactic antibiotics were discontinued where it was safe to do so.  Regular review of all residents along with pharmacy input has enabled this downward trend and ensured regular evaluation and review of antibiotic use.  Residents experiencing regular urine tract infection were identified and individual detailed strategies were documented in the resident’s care plan.  Documentation reviewed identified that individual strategies were regularly evaluated</w:t>
            </w:r>
          </w:p>
          <w:p w:rsidR="00EB7645" w:rsidRPr="00BE00C7" w:rsidP="00BE00C7">
            <w:pPr>
              <w:pStyle w:val="OutcomeDescription"/>
              <w:spacing w:before="120" w:after="120"/>
              <w:rPr>
                <w:rFonts w:cs="Arial"/>
                <w:b w:val="0"/>
                <w:lang w:eastAsia="en-NZ"/>
              </w:rPr>
            </w:pPr>
            <w:r w:rsidRPr="00BE00C7">
              <w:rPr>
                <w:rFonts w:cs="Arial"/>
                <w:b w:val="0"/>
                <w:lang w:eastAsia="en-NZ"/>
              </w:rPr>
              <w:t>Infection data including UTI related data is available for all staff to view and recorded in the relevant meeting minutes.  The programme plan was reviewed at weekly management meetings and three-monthly clinical indicator reports.  Since July 2020, urinary tract infections across the three service levels have reduced from 3.9 to 1.2 in December 2020.  The trend has continued with 0.95 per 1000 bed nights in April 21 to 0.74 in May per 1000 bed nights and 0 in June 2021.  The monthly graph demonstrates a continued and sustained downward trend since July 2020 apart from two spikes which could be explained by an individual resident ill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clinical indicator data in May 2020 indicated Anthony Wilding Retirement Village to be restraint free since February 2020.  The unit coordinators, clinical manager and village manager interviewed confirmed that a range of initiatives are implemented to ensure the restraint free environment is maintained.  Meeting minutes reviewed evidenced discussions around strategies to maintain a restraint free environment.  Care staff interviewed could explain current strategies that assist to keep the environment restraint free.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wanted to continue to support residents’ independence and safety with proven strategies and initiatives that maintains the restraint free environment.  This includes: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strategies to respond to specific resident needs including falls prevention, early intervention to identify changes in behaviour, quality use of medication, safe environment for wandering including a dementia friendly design with low stimulus areas, review of timing of other activities and individual schedules/routine. </w:t>
            </w:r>
          </w:p>
          <w:p w:rsidR="00EB7645" w:rsidRPr="00BE00C7" w:rsidP="00BE00C7">
            <w:pPr>
              <w:pStyle w:val="OutcomeDescription"/>
              <w:spacing w:before="120" w:after="120"/>
              <w:rPr>
                <w:rFonts w:cs="Arial"/>
                <w:b w:val="0"/>
                <w:lang w:eastAsia="en-NZ"/>
              </w:rPr>
            </w:pPr>
            <w:r w:rsidRPr="00BE00C7">
              <w:rPr>
                <w:rFonts w:cs="Arial"/>
                <w:b w:val="0"/>
                <w:lang w:eastAsia="en-NZ"/>
              </w:rPr>
              <w:t>Ryman is committed to their responsibility of providing adequate staff levels and skill mixes to meet the needs of the residents.  Rosters include physiotherapy assistants in each hospital unit to promote residents’ independence through mobility support and exercise, lounge carers oversee residents in the lounge area in the dementia unit and hospital and assist with supervision, activities and de-escalation where required, and fluid assistants in the hospital unit ensures residents are adequately hydrated.  Education sessions for staff were provided to include dementia related training to demystify dementia, restraint minimisation practices and management of challenging behaviours.  This resulted in an increased understanding of the importance of early intervention, encourage staff input into residents’ cares and empower staff through accountability.</w:t>
            </w:r>
          </w:p>
          <w:p w:rsidR="00EB7645" w:rsidRPr="00BE00C7" w:rsidP="00BE00C7">
            <w:pPr>
              <w:pStyle w:val="OutcomeDescription"/>
              <w:spacing w:before="120" w:after="120"/>
              <w:rPr>
                <w:rFonts w:cs="Arial"/>
                <w:b w:val="0"/>
                <w:lang w:eastAsia="en-NZ"/>
              </w:rPr>
            </w:pPr>
            <w:r w:rsidRPr="00BE00C7">
              <w:rPr>
                <w:rFonts w:cs="Arial"/>
                <w:b w:val="0"/>
                <w:lang w:eastAsia="en-NZ"/>
              </w:rPr>
              <w:t>The strategies allow for early interventions of distressed behaviour.  Staff aim to understand the unmet need, identify trends in times or locations, and incorporate this into the care plans.  This has resulted in a calm environment and low usage of antipsychotic medications.  The GP interviewed commented that care staff were good at redirecting behaviours.  The data evidenced the service maintained the restraint free environment since the start of the initiative with no incidences of restraint or enablers reported.  Quality data related to incidence of challenging behaviour per 1000 bed days has decreased since between May 2020 and July 2021.  The care delivery and communication ratings in the annual survey for February 2021 increased from 4.41 to 4.49 and from 4.19 to 4.43 respectively.</w:t>
            </w:r>
          </w:p>
          <w:p w:rsidR="00EB7645" w:rsidRPr="00BE00C7" w:rsidP="00BE00C7">
            <w:pPr>
              <w:pStyle w:val="OutcomeDescription"/>
              <w:spacing w:before="120" w:after="120"/>
              <w:rPr>
                <w:rFonts w:cs="Arial"/>
                <w:b w:val="0"/>
                <w:lang w:eastAsia="en-NZ"/>
              </w:rPr>
            </w:pPr>
            <w:r w:rsidRPr="00BE00C7">
              <w:rPr>
                <w:rFonts w:cs="Arial"/>
                <w:b w:val="0"/>
                <w:lang w:eastAsia="en-NZ"/>
              </w:rPr>
              <w:t>These findings were discussed at the upcoming clinical and quality meetings and monthly residents’ newsletters.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Anthony Wilding Retirement Village Limited - Anthony Wilding Retirment Village</w:t>
    </w:r>
    <w:bookmarkEnd w:id="58"/>
    <w:r>
      <w:rPr>
        <w:rFonts w:cs="Arial"/>
        <w:sz w:val="16"/>
        <w:szCs w:val="20"/>
      </w:rPr>
      <w:tab/>
      <w:t xml:space="preserve">Date of Audit: </w:t>
    </w:r>
    <w:bookmarkStart w:id="59" w:name="AuditStartDate1"/>
    <w:r>
      <w:rPr>
        <w:rFonts w:cs="Arial"/>
        <w:sz w:val="16"/>
        <w:szCs w:val="20"/>
      </w:rPr>
      <w:t>9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