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Bert Sutcliffe Retirement Village Limited - Bert Sutcliffe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Bert Sutcliffe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Bert Sutcliffe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August 2021</w:t>
      </w:r>
      <w:bookmarkEnd w:id="7"/>
      <w:r w:rsidRPr="009418D4">
        <w:rPr>
          <w:rFonts w:cs="Arial"/>
        </w:rPr>
        <w:tab/>
        <w:t xml:space="preserve">End date: </w:t>
      </w:r>
      <w:bookmarkStart w:id="8" w:name="AuditEndDate"/>
      <w:r w:rsidR="00A4268A">
        <w:rPr>
          <w:rFonts w:cs="Arial"/>
        </w:rPr>
        <w:t>5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Bert Sutcliffe provides rest home, hospital (geriatric and medical) and dementia level of care for up to 150 residents.  There were 116 residents at the time of the audit.</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acting village manager is appropriately qualified and experienced and is supported by an acting resident services manager, a clinical manager (registered nurse) who oversees clinical operations in the care centre and a regional manager.  There are quality systems and processes being implemented.  Feedback from residents and families was very positive about the care and the services provided.  Induction and in-service training programmes are in place to provide staff with appropriate knowledge and skills to deliver care.</w:t>
      </w:r>
    </w:p>
    <w:p w:rsidRPr="00A4268A">
      <w:pPr>
        <w:spacing w:before="240" w:line="276" w:lineRule="auto"/>
        <w:rPr>
          <w:rFonts w:eastAsia="Calibri"/>
        </w:rPr>
      </w:pPr>
      <w:r w:rsidRPr="00A4268A">
        <w:rPr>
          <w:rFonts w:eastAsia="Calibri"/>
        </w:rPr>
        <w:t>Two areas of continuous improvements were identified in relation to the activities programme and restraint minimisation.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being implemented.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and implemented Māori health plan in place.  Individual care plans reflect the cultural needs of residents.  Discussions with residents and relatives confirms that residents, and where appropriate their families, are involved in care decisions.  Regular contact is maintained with families including when a resident is involved in an incident or has a change in their current health.  Families and friends visit residents at times that suit them.  </w:t>
      </w:r>
    </w:p>
    <w:p w:rsidRPr="00A4268A">
      <w:pPr>
        <w:spacing w:before="240" w:line="276" w:lineRule="auto"/>
        <w:rPr>
          <w:rFonts w:eastAsia="Calibri"/>
        </w:rPr>
      </w:pPr>
      <w:r w:rsidRPr="00A4268A">
        <w:rPr>
          <w:rFonts w:eastAsia="Calibri"/>
        </w:rPr>
        <w:t xml:space="preserve">There is an established system implemented for the management of complaints that meets requirements set forth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An acting village manager, acting resident services manager and clinical manager are responsible for the day-to-day operations.  They are supported by four-unit coordinators, one for each level of service (rest home, hospital, dementia, serviced apartments).  Goals are documented for the service with evidence of regular reviews.  </w:t>
      </w:r>
    </w:p>
    <w:p w:rsidRPr="00A4268A">
      <w:pPr>
        <w:spacing w:before="240" w:line="276" w:lineRule="auto"/>
        <w:rPr>
          <w:rFonts w:eastAsia="Calibri"/>
        </w:rPr>
      </w:pPr>
      <w:r w:rsidRPr="00A4268A">
        <w:rPr>
          <w:rFonts w:eastAsia="Calibri"/>
        </w:rPr>
        <w:t xml:space="preserve">Comprehensive quality and risk management programmes are implemented.  Corrective actions are put in place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twenty-four hours a day.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nursing staff are responsible for each stage of service provision.  The assessments and long-term care plans are developed in consultation with the resident/family/whānau and implemented within the required timeframes to ensure there is safe, timely and appropriate delivery of care. </w:t>
      </w:r>
    </w:p>
    <w:p w:rsidRPr="00A4268A" w:rsidP="00621629">
      <w:pPr>
        <w:spacing w:before="240" w:line="276" w:lineRule="auto"/>
        <w:rPr>
          <w:rFonts w:eastAsia="Calibri"/>
        </w:rPr>
      </w:pPr>
      <w:r w:rsidRPr="00A4268A">
        <w:rPr>
          <w:rFonts w:eastAsia="Calibri"/>
        </w:rPr>
        <w:t xml:space="preserve">The sample of residents’ records reviewed provides evidence that the provider has implemented systems to assess and plan care needs of the residents.  The residents' needs, outcomes/goals have been identified in the long-term nursing care plans and these are reviewed at least six monthly or earlier if there is a change to health status.  </w:t>
      </w:r>
    </w:p>
    <w:p w:rsidRPr="00A4268A" w:rsidP="00621629">
      <w:pPr>
        <w:spacing w:before="240" w:line="276" w:lineRule="auto"/>
        <w:rPr>
          <w:rFonts w:eastAsia="Calibri"/>
        </w:rPr>
      </w:pPr>
      <w:r w:rsidRPr="00A4268A">
        <w:rPr>
          <w:rFonts w:eastAsia="Calibri"/>
        </w:rPr>
        <w:t xml:space="preserve">The activity programme is developed to promote resident independence, involvement, emotional wellbeing and social interaction appropriate to the level of physical and cognitive abilities of the rest home, hospital and dementia care residents.  </w:t>
      </w:r>
    </w:p>
    <w:p w:rsidRPr="00A4268A" w:rsidP="00621629">
      <w:pPr>
        <w:spacing w:before="240" w:line="276" w:lineRule="auto"/>
        <w:rPr>
          <w:rFonts w:eastAsia="Calibri"/>
        </w:rPr>
      </w:pPr>
      <w:r w:rsidRPr="00A4268A">
        <w:rPr>
          <w:rFonts w:eastAsia="Calibri"/>
        </w:rPr>
        <w:t>Staff responsible for administration of medications complete education and medication competencies.  The medication charts reviewed meet all prescribing requirements and are reviewed at least three-monthly.</w:t>
      </w:r>
    </w:p>
    <w:p w:rsidRPr="00A4268A" w:rsidP="00621629">
      <w:pPr>
        <w:spacing w:before="240" w:line="276" w:lineRule="auto"/>
        <w:rPr>
          <w:rFonts w:eastAsia="Calibri"/>
        </w:rPr>
      </w:pPr>
      <w:r w:rsidRPr="00A4268A">
        <w:rPr>
          <w:rFonts w:eastAsia="Calibri"/>
        </w:rPr>
        <w:t xml:space="preserve">Food services and meals are prepared on site.  Resident’s individual food preferences and dislikes are known by kitchen staff and those serving the meals.  There is dietitian review of the menu.  Choices are available and are provided, with nutritious snacks being provided 24 hours per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All rooms have ensuites.  External areas are safe and well-maintained with shade and seating available.  Fixtures, fittings and flooring are appropriate and toilet/shower facilities are constructed for ease of cleaning.  There are spacious lounges and dining areas in each unit.  The dementia unit allows for safe wandering and areas for group or individual activities.  Resident rooms are spacious and allow for safe movement of staff and mobility equipment.  Cleaning and laundry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There was one resident with restraint and no residents with enablers during the audit.  Staff have received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prevention and control leader (clinical manager) is responsible for coordinating/providing education and training for staff.  The infection control leader has attended internal and external training.  The infection control manual outlines a comprehensive range of policies, standards and guidelines, training and education of staff and scope of the programme.  The infection control leader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4"/>
        <w:gridCol w:w="1280"/>
        <w:gridCol w:w="94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Four managers (one acting village manager, one clinical manager, one acting resident services manager, one regional manager) and twenty-eight care staff (four unit coordinators (three registered nurses (RNs) and one enrolled nurse (EN), five registered nurses (RNs), ten caregivers (four hospital, two dementia, two serviced apartments, two rest home) who work during the AM and PM shifts, two laundry staff, three activities coordinators, one chef, one physiotherapist, one maintenance, one village support) interviewed understand the Code and its application to their job role and responsibilities.  Staff receive training about the Code during their induction to the service.  This training continues through the mandatory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and general consent forms were evident in all eleven resident files reviewed (three rest home- including one on an ACC and one respite contract, five hospital and three dementia residents).  Discussions with staff confirmed that they are familiar with the requirements to obtain informed consent for entering rooms and personal care.  Enduring power of attorney (EPOA) evidence is filed in the residents’ charts.  All resident files reviewed in the dementia unit had activated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provides opportunities for the family/EPOA to be involved in decisions.  The residents’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and located in a visible location.  Information about complaints is provided on admission.  Interviews with residents and family confirmed their understanding of the complaints process.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that includes written and verbal complaints, dates and actions taken and demonstrates that complaints are being managed in a timely manner.  The complaints process is linked to the quality and risk management system.  Eleven complaints reviewed for 2021 (year to date) have been managed in a timely manner with nine of the eleven complaints documented as resolved.  Timeframes are met as per Health and Disability Commissioner (HDC) guidelines.  Evidence was sighted of complaints being discussed in the weekly management and monthly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There is also the opportunity to discuss aspects of the Code during the admission process.  Six relatives (three hospital, three dementia) and seven residents (four rest home with one in a serviced apartment, three hospital) stated they were provided with information on admission which includes the Code.  Large print posters of the Code and advocacy information are displayed throughout the facility.  The acting village manager reported having an open-door policy.  The information pack is discussed with residents/relatives on admission.  Relatives and residents are informed in writing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the residents’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whilst assisting with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Residents’ preferences are identified during the admission and care planning process with family involvement.  Instructions are provided in the admission agreement regarding responsibilities of personal belongings.  Caregivers interviewed described how choice is incorporated into residents’ cares.  Staff attend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in assessment and care planning and visiting is encouraged.  Links are established with Ngai Tai Ki Tamaki with evidence of annual contact.  There were no residents who identified as Māori at the time of the audit although there was one family member of a resident who identified as Māori.  She confirmed that the residents’ values and beliefs and her values and beliefs were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Six-monthly multi-disciplinary team meetings occur to assess if needs are being met.  Family are invited and encouraged to attend.  Discussions with relatives confirmed that residents’ values and beliefs are considered.  Residents interviewed confirmed that staff take into account their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full facility meetings occur monthly and include discussions on professional boundaries and concerns as they arise.  Managers provide guidelines and mentoring for specific situations.  Interviews with staff confirmed their awareness and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three-yearly.  The content of policy and procedures are sufficiently detailed to allow effective implementation by staff.  Many core clinical practices also have education packages for staff, which are based on Ryman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service level and reported through to Ryman Christchurch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programme.  Quality improvement plans (QIP) are developed where results do not meet expectations.  An electronic resident care system is used by all sites to report relevant data through to Ryman Christchurch.  The system of data analysis and trend reporting is designed to inform staff at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r w:rsidRPr="00BE00C7">
              <w:rPr>
                <w:rFonts w:cs="Arial"/>
                <w:b w:val="0"/>
                <w:lang w:eastAsia="en-NZ"/>
              </w:rPr>
              <w:t>Key areas of focus that have been determined for the 2021 year include preventing staff injuries by improving their knowledge and skills, improving the induction process for new staff, decreasing the number of pressure injuries and improving the life of residents by being more inclusive of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is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All family interviewed stated they were well-informed.  Fifteen incident/accident forms and corresponding residents’ files were reviewed, and all identified that next of kin were contacted.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if needed for residents who are unable to speak or understand English.  There were two residents with English as their second language.  Family and staff are used as interpreters in the first instance.  Staff reported that they have learned some words in the resident’s language to assist with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Bert Sutcliffe is a Ryman healthcare retirement village located in Birkenhead, Auckland.  They are certified to provide rest home, hospital (geriatric and medical) and dementia levels of care for up to 150 residents.  This includes 30 serviced apartments that are certified to provide rest home level care.  All 82 beds in the rest home and hospital floors are certified as dual-purpose, although at the time of the audit just the rest home floor is being used as a dual-purpose floor.  Thirty-eight dementia level beds are separated into two nineteen bed units with a nursing station located between the two.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there were 38 dementia level residents in the two 19-bed units, 41 hospital level residents and 35 rest home level residents including two residents in the serviced apartments.  Three residents were on respite (rest home level) with one of the respite residents funded by ACC.  The remaining residents were on the age-related residential care contract.</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service philosophy that guides quality improvement and risk management.  Specific values have been determined for the facility.  Organisational objectives for 2021 are defined with evidence of regular reviews and quarterly reporting on progress towards meeting these objectives.  Results are communicated to staff in the full facility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on extended leave during the audit.  Her role is being filled by an acting village manager (non-clinical) who holds a background in the hospitality industry with seven years in elderly care and three years in a management role.  She is the resident services manager at Burt Sutcliffe when not in the acting village manager’s role.  Plans are in place for her to work as the acting facility manager for one year.  This appointment began in June 2021.  She is supported by the clinical manager and acting resident services manager.</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has been in her role for two years with previous experience as a clinical nurse specialist in gerontology for the District Health Board (DHB) for 15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village manager and clinical manager have completed a minimum of eight hours of education per year relating to their managerial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acting resident services manager are responsible during the temporary absence of the village manager, with support provided from the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facilities have a well-established quality and risk management system that is directed by Ryman Christchurch.  Quality and risk performance is reported across the facility meetings and to the organisation's management team.  Discussions with the managers and staff; and review of management and staff meeting minutes, demonstrates their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service delivery.  There are clear guidelines and templates for reporting.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Clinical indicators are graphed showing trends in the data.  Results are communicated to staff across a variety of meetings.  Interviews with care staff confirmed their awareness of clinical indicator trends and strategies being implemented to improve residents’ outcomes.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Minutes are maintained.  Annual resident and relative surveys for the 2021 year reflect that the vast majority of residents and relatives are satisfied or very satisfied with the level of care provided.  A quality improvement plan (QIP) is developed where opportunities for improvement are identified.  The QIP is signed off when resolved.  At the time of the audit, thirteen QIPs were documented for 2021 (year-to-date) with a range of QIPs already signed off in 2021 as fully implemented (reducing skin tears, reducing the number of falls for respite residents, addressing any lower scores received from resident/relative survey results, reducing the number of urinary tract infections, addressing a corrective action in relation to the housekeeping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as evidenced in the monthly health and safety meetings.  The acting village manager has overall responsibility for the health and safety programme.  A health and safety representative (village support) was interviewed during the audit.  The service documents and analyses incidents/accidents, unplanned or untoward events and provides feedback to the service and staff.  The hazard registers for generic and specific hazards are reviewed a minimum of annually.  The internal audit programme is linked to health and safety (e.g., food safety audits, emergency call bell audits, environmental audits, fire safety audits, waste management audits).  Staff document hazards and near miss events in a designated book that is held at reception.  All staff complete health and safety training during their induction to the facility.  Reception staff and/or maintenance staff are responsible to orientating external contractors through the Assure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A range of strategies are implemented around reducing the number of residents falls including: review, discuss and monitor falls fates weekly, monthly and six monthly to identify risk factors and trends; hourly intentional rounding for identified high risk fallers and residents with vision impairment; carers handover to their buddy when they leave the floor; lounge carers remain in the lounge unless relieved by a caregiver or RN; residents are encouraged to attend the triple A exercise classes.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 sample of 15 incident/accident forms (witness and unwitnessed falls, pressure injuries, skin tears) identified that all electronic assessments relating to the adverse event were fully completed and included follow-up by a registered nurse.  The clinical manager is involved in the adverse event process, with links to the management, clinical and staff meetings.  Neurological observations are completed as per protocol if there is a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acting village manager is able identify situations that would be reported to statutory authorities.  Section 31 reports have been completed for one police investigation (absconding resident), two pressure injuries and change in managers since the previous audit.  Notification was made to the DHB and public health authorities relating to one gastrointestinal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Fourteen staff files reviewed (one clinical manager, one village support, one chef, one fluid assistant, four caregivers, one lounge assistant, one receptionist, one activities assistant, one dining assistant, one housekeeper, and one gardener) included a signed contract, job description relevant to the role of the staff member, evidence of staff completing their orientation programmes (general and specific to the position), police vetting and reference checks.  Eight-week performance reviews are completed following employment and were evidenced as being completed annually thereafter.</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and enrolled nurse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Staff training records are maintained.  The annual training programme offered to staff exceeds eight hours annually.  There is an attendance register for each training session and an individual staff member record of training.  Online training is complimented by in-service training and competency assessments.  Nursing staff are supported to maintain their professional competency.  Twelve of twenty RNs have completed their interRAI training.  There are implemented competencies for nurses and caregivers related to specialised procedures and/or treatment including medication competencies and insulin competencies.  All staff are required to complete yearly comprehension surveys.</w:t>
            </w:r>
          </w:p>
          <w:p w:rsidR="00EB7645" w:rsidRPr="00BE00C7" w:rsidP="00BE00C7">
            <w:pPr>
              <w:pStyle w:val="OutcomeDescription"/>
              <w:spacing w:before="120" w:after="120"/>
              <w:rPr>
                <w:rFonts w:cs="Arial"/>
                <w:b w:val="0"/>
                <w:lang w:eastAsia="en-NZ"/>
              </w:rPr>
            </w:pPr>
            <w:r w:rsidRPr="00BE00C7">
              <w:rPr>
                <w:rFonts w:cs="Arial"/>
                <w:b w:val="0"/>
                <w:lang w:eastAsia="en-NZ"/>
              </w:rPr>
              <w:t>Eighty-four caregivers were employed at the time of the audit.  Eight had achieved a level four Careerforce qualification (or its equivalent), seven had a level three qualification, and five had a level two qualification.  A total of 16 caregivers have completed the dementia standards, 10 of these work in the dementia units.  Of the 24 staff who work in the dementia units, 10 have completed the dementia standards.  Four have completed and submitted the required paperwork and are awaiting their results.  The remaining staff who work in the special care unit are in the process of completing their dementia qualification and have been working in the special care unit for less than 18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  The acting village manager is on-site Monday – Friday alongside the clinical manager who is an experienced registered nurse with a current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are thirty serviced apartments certified to provide rest home level of care that are located across six floors.  Two rest home level residents were living in a serviced apartment at the time of the audit.  The serviced apartment (SA) coordinator is an enrolled nurse and works Sunday – Thursday.  An RN covers on the two days that the EN is not available (Friday/Saturday).  The am shift is staffed with two long (eight hour) shift caregivers.  The PM shift is staffed with two (short shift) caregivers (2100 and 2200).  The remaining PM shift and night shift are covered by a designated hospital level caregiver.  Staff communicate via pagers.  One serviced apartment resident who was interviewed reported that staffing levels are adequate.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Thirty-five rest home and two hospital residents were living in the rest home/hospital unit (4th floor).  RN staffing includes a unit coordinator/RN five days a week (Tuesday – Saturday) and a staff RN (Saturday/Sunday).  Two long shift and two short shift caregivers (0700 - 1300) cover the am and pm shifts (1500 - 2030 and 1500 -2100) and two caregivers cover the night shift.  The RN is based in the hospital (3rd floor) and provides oversite during the pm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Thirty-nine hospital level residents were living on the 3rd floor.  A unit coordinator/RN is rostered five days a week.  Two staff RNs are rostered for the am shift and pm shifts and one RN is rostered for the night shift.  The hospital floor is supported by four long and four short (0700 - 1300) caregivers on the AM shift, two long and four short (1500 - 2100) caregivers on the PM shift and two caregivers on the night shift.  A fluid assistant is rostered 0930 – 1300 and a lounge carer is rostered 1600 – 2000, both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There are two secure dementia units (19 beds each) with a shared nursing office.  Both dementia units were full with a total of 38 residents.  A unit coordinator (RN) oversees both units five days a week (Tuesday – Saturday) and a staff RN is rostered the remaining two days of the week (Sunday and Monday).  The RN in the hospital provides oversight for the pm and night shifts.  Two long and two short shift (to 1300) caregivers are rostered in the am and pm shifts (to 2100).  Three caregivers are rostered for the night shift.  Lounge carers are rostered seven days a week from 0900 – 1600 and 1600 – 2000.</w:t>
            </w:r>
          </w:p>
          <w:p w:rsidR="00EB7645" w:rsidRPr="00BE00C7" w:rsidP="00BE00C7">
            <w:pPr>
              <w:pStyle w:val="OutcomeDescription"/>
              <w:spacing w:before="120" w:after="120"/>
              <w:rPr>
                <w:rFonts w:cs="Arial"/>
                <w:b w:val="0"/>
                <w:lang w:eastAsia="en-NZ"/>
              </w:rPr>
            </w:pPr>
            <w:r w:rsidRPr="00BE00C7">
              <w:rPr>
                <w:rFonts w:cs="Arial"/>
                <w:b w:val="0"/>
                <w:lang w:eastAsia="en-NZ"/>
              </w:rPr>
              <w:t>Additional (guaranteed hours) staff who are employed to fill absences in the roster, referred to as cover pool staff, include 32 RN hours per week, 71 caregiver hours per week and 16 housekeeping hours per week.</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seven days a week in the hospital and dementia units and five days a week in the rest home and serviced apartments.  Separate cleaning and laundry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the residents interviewed.  Staff interviewed stated that overall, the staffing levels are satisfactory, and that the management team provide good support.  Residents and family members interviewed reported that there are adequate staff numbers to attend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Entries are legible, dated and signed by the relevant caregiver or registered nurse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including information on the 48-hour complimentary service for village residents, short-term stays, rest home, hospital and dementia level of care services.  The admission agreements reviewed met the requirements of the ARRC contract.  Exclusions from the service are included in the admission agreement.  All long-term and short-term admission agreements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The procedures include a transfer/discharge form and the DHB ‘yellow envelope’ process is used.  The RNs report that they include copies of all the required information in the envelope.  Resident files reviewed included admissions to and from public hospital and all procedures, including documentation had been completed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(standard operating procedures) in place for all aspects of medication management, including self-administration.  The RN checks all medications on delivery against the medication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enrolled nurses and senior caregivers responsible for the administering of medications have completed annual medication competencies and annual medication education.  Registered nurses have also attained syringe driver competency through the local hospice.  There were two self-medicating rest home residents on the day of audit.  Self-medicating competency, three monthly reviews, monitoring and safe storage were in place.  The medication rooms were clean and well organised, all medications were in date and stored appropriately.  The medication room and fridge temperatures are recorded, and these are within acceptable ranges.  There are no standing orders in use and no vaccines are kept on site.</w:t>
            </w:r>
          </w:p>
          <w:p w:rsidR="00EB7645" w:rsidRPr="00BE00C7" w:rsidP="00BE00C7">
            <w:pPr>
              <w:pStyle w:val="OutcomeDescription"/>
              <w:spacing w:before="120" w:after="120"/>
              <w:rPr>
                <w:rFonts w:cs="Arial"/>
                <w:b w:val="0"/>
                <w:lang w:eastAsia="en-NZ"/>
              </w:rPr>
            </w:pPr>
            <w:r w:rsidRPr="00BE00C7">
              <w:rPr>
                <w:rFonts w:cs="Arial"/>
                <w:b w:val="0"/>
                <w:lang w:eastAsia="en-NZ"/>
              </w:rPr>
              <w:t>Twenty-two medication charts were reviewed (six rest home, ten hospital and six dementia).  Photo identification and allergy status was on all charts.  All medication charts had been reviewed by the GP at least three-monthly.  All resident medication administration signing sheets corresponded with the medication chart.  All policy and legislative requirements had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Ryman Bert Sutcliffe are all prepared and cooked on site.  The kitchen was observed to be clean and well organised.  A current approved food control plan was in evidence which expires 9 May 2022.  There is a four-weekly seasonal menu that is designed and reviewed by a registered dietitian at an organisational level.  The chef receives resident dietary information from the RNs and is notified of any changes to dietary requirements (vegetarian, pureed foods) or of any residents with weight loss.  The assistant lead chef (interviewed) was aware of resident likes, dislikes and special dietary requirements.  Alternative meals are offered for those residents with dislikes or religious preferences.  The service utilises pre-moulded pureed foods for those residents requiring that particular modification. Meals are plated by the chefs and delivered via hot boxes to the units where they are served by care staff in each of the unit kitchen/dining rooms.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Food services staff have all completed food safety and hygiene courses.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very satisfied with the standard of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Initial assessments had been completed on the myRyman system within the required timeframes for all residents entering the service including short-stay residents.  InterRAI assessments had been completed for all long-term residents whose files were reviewed.  Applicable myRyman assessments are completed and reviewed at least six monthly or when there is a change to residents’ health/risk.  The outcome of all assessments is reflected in the myRyman care plan.  Behaviour assessments had been completed for the files of the three dementia care residents with the outcomes included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reviewed were resident centred.  Interventions documented support needs, resident goals and provide detail to guide care.  There was a behaviour management plan in the files of dementia care residents that included interventions and strategies for de-escalation including activities.  MyRyman care plans reviewed have been updated when there were changes to health, risk, infections or monitoring requirements.  Residents and relatives interviewed stated that they were involved in the care planning process with the RNs.  There was evidence of service integration with documented input from a range of specialist care professionals including the physiotherapist, hospice nurse, dietitian, wound care nurse and mental health services for older people.  The care staff interviewed advised that the myRyman care plans were easy to access and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GP/NP consultation.  Registered nurses interviewed stated that they notify family members about any changes in their relative’s health status.  Family members interviewed confirmed they are notified of any changes to health of their relative.  Conversations and relative notifications are recorded in the electronic progress notes.  All care plans reviewed had interventions documented to meet the needs of the resident.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The myRyman electronic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(e.g., resident turns, fluids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management plans are completed on myRyman.  When wounds are due to be dressed a task is automated on the RN daily schedule.  Wound assessment, wound management, evaluation forms, and wound monitoring occurs as planned in the sample of wounds reviewed.  Current wounds two facility acquired pressure injuries (one stage 3 and one unstageable), sixteen skin tears, six chronic ulcers, two surgical wounds, four lesions and one abrasion.  There has been input from the wound nurse specialist into pressure injury and chronic wound management.  Photos of wounds demonstrated progress or deterioration.  Pressure injury prevention equipment is available and is being used.  Caregivers document changes of position electronically. An incident report and section 31 notifications were sighted for the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generated through completing an updated assessment on myRyman, and interventions are automatically updated into the care plan.  Evaluations of the assessment when resolved closes out the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in use as applicable such as weight, food and fluid, vital signs, blood sugar levels, neurological observations, wound monitoring and behaviour charts.  The RNs review the monitoring charts daily.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activity and lifestyle coordinators (including two qualified diversional therapists – DT), activity assistants, and lounge caregivers implement the Engage activities programme in each unit that reflects the physical and cognitive abilities of the resident groups.  The activity and lifestyle coordinators work Monday to Friday in each of the four areas (hospital, special care unit, rest home and serviced apartments) and are supported by weekend activity assistants.  The rest home programme is Monday to Friday and the hospital and dementia unit is seven days a week.  The special care (dementia unit) is split in to two units, with the activities and lifestyle coordinator based in one side and a lounge carer leading activity in the other.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for each unit, delivered to each resident’s room.  A daily activity programme is written on the lounge whiteboard.  Residents have the choice of a variety of Engage activities in which to participate including (but not limited to); triple A exercises, board games, quizzes, music, reminiscing, sensory activities, crafts and walks outside.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 in the serviced apartment can choose to attend the serviced apartment or rest home activity programme.  Those residents who prefer to stay in their room or who need individual attention have one-on-one visits to check if there is anything they need and to have a chat.  The village has two vans available for outings and a driver on staff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wing utilises a contracted, wheelchair accessible vehicle for their outings.  </w:t>
            </w:r>
          </w:p>
          <w:p w:rsidR="00EB7645" w:rsidRPr="00BE00C7" w:rsidP="00BE00C7">
            <w:pPr>
              <w:pStyle w:val="OutcomeDescription"/>
              <w:spacing w:before="120" w:after="120"/>
              <w:rPr>
                <w:rFonts w:cs="Arial"/>
                <w:b w:val="0"/>
                <w:lang w:eastAsia="en-NZ"/>
              </w:rPr>
            </w:pPr>
            <w:r w:rsidRPr="00BE00C7">
              <w:rPr>
                <w:rFonts w:cs="Arial"/>
                <w:b w:val="0"/>
                <w:lang w:eastAsia="en-NZ"/>
              </w:rPr>
              <w:t>Activities in the dementia care units include triple A exercises, singing, happy hours, hand therapy, word and memory games.  There are also low-sensory activities if required including manicures and hand-massage.  Community group, entertainer and pet therapy visits occur in all units.  Happy hour occurs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Covid-19 lockdown, the service-initiated hallway activities in all units, with coordinators providing entertainment, hosting quizzes and facilitating exercise sessions for residents who were unable to leave their room.  Happy hour supplies were delivered to individual rooms and entertainment provided via the tablet situated in each resident’s room.  The service also activated zoom sessions for all residents to maintain communication with families, which was managed on a day-to-day basis by the activities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interdenominational church services held weekly in addition to individual spiritual support visits in the residents’ rooms as required.   Special events like birthdays, Matariki, St Patricks day, Easter, Father’s Day, Anzac Day and Christmas and theme 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six-monthly at the same time as the review of the long-term care plan.  Residents have the opportunity to provide feedback though resident and relative meetings and annual surveys.  Residents and relatives interviewed expressed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showed long-term care plans had six monthly reviews completed and were updated when needs changed.  Clinical reviews were documented in the multidisciplinary review (MDR) records, which included input from the GP, NP, RNs, activities coordinators, physiotherapist and resident/family.  Progress towards meeting goals were documented.  Progress notes were completed and reflected response to interventions and treatments.  Changes to care were documented.  Documentation of GP/NP visits evidenced that reviews were occurring at least three-monthly.  Short-term care plans were in use for short term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family/whānau are involved as appropriate when referral to another service occurs.  Registered nurses interviewed described the referral process should they require assistance from specialist practitioners.  The review of resident records included evidence of recent referrals to allied health professionals including mental health services, dietician and wound nurse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three service levels across six floors (including serviced apartments).  All care beds (dementia excluded) are dual-purpose; however, the service currently runs as floor 4 rest home/hospital, floor 3 hospital and floor 2 dementia.  Floor 2 contains 38 dementia beds split in to two units with a central nurses’ hub in-between.  Independent serviced apartments are spread across all floors.  There are multiple lifts, and stairs access between the levels and secure entrance and exits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Building Warrant of Fitness (BWOF) expiring 11 June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employs a full-time maintenance officer, gardens and grounds staff.  Daily maintenance requests are addressed, and a 12-monthly planned maintenance schedule is in place and has been signed off monthly (sighted).  Essential contractors are available 24 hours.  Electrical testing is completed annually.  An external contractor completes annual calibration and functional checks of medical equipment, this is next due January 2022.  Hot water temperatures in resident areas are monitored, and temperature recordings reviewed were between 43-45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mobilise safely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safely accessing the outdoor gardens and courtyards.  Seating and shade are provided.  The caregivers and RNs interviewed stated they have sufficient equipment to safely deliver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The dementia care units each include an open plan dining/lounge area.  There is free and safe and secure access to the outdoor deck areas with raised gardens, seating and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within the facility have ensuites.  Fixtures, fittings and flooring are appropriate.  Toilet/shower facilities are easy to clean.  There is ample space in toilet and shower areas to accommodate shower chairs and hoists if appropriate.  There are mobility toilets near all communal lounges.  There are privacy signs on all 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Staff interviewed reported that they have adequate space to provide care to residents.  Residents can personalise their rooms and the rooms are large enough for family and friends to socialise with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There are dining rooms in each area.  The dementia units each have a separate dining room and main lounge with a smaller quiet sensory lounge.  There is a, café, and hairdressing salon and beauty therapy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laundry is divided into a “dirty” and “clean” area.  There is a laundry and cleaning manual and safety datasheets.  Personal protective equipment is available.  Cleaning and laundry services are monitored through the internal auditing system.  The cleaner’s equipment was attended at all times or locked away.  The cleaning trolley also has a locked cupboard for chemicals.  All chemicals on the cleaners’ trolley sighted were labelled.  The sluice rooms and the laundry are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first aid trained staff member on every shift and on outings.  The village has an approved fire evacuation plan and fire drills take place six-monthly.  Smoke alarms, a sprinkler system, exit signs, emergency lighting and gas cooking facilities are in place.  There are civil defence kits in the facility and adequate water storage on-site to meet DHB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evident in resident’s rooms, lounge areas, and toilets/bathrooms.  The call bell system is linked to staff pagers and to the call bell panels.  Residents can choose to wear an alarm pendant which is alarmed if they remove and walk away from it.  Staff also use a telecommunications system to answer the phone at reception after hours and to communicate with each other if assistance is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systems are being implemented to ensure residents are safe.  Staff confirmed that they conduct security checks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Heating is a mixture of underfloor and individual heat pumps, all of which are thermostatically controlled.  Staff and residents interviewed stated that these are effective.  The entire site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 infection prevention and control leader is the clinical manager.  A job description defines the role and responsibilities for infection control.  The infection prevention and control committee meet bi-monthly, and the programme is set out annually from head office and directed via the quality programme.  The programme is reviewed annually as part of the Ryman training day for infection prevention and control leaders.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have received both doses of the Pfizer Covid-19 vaccine (96%) with staff vaccination ongoing in conjunction with the local DHB.  Residents and staff are offered the influenza vaccine.  There has been one outbreak (norovirus) in 2020 which was appropriately managed and included liaison with the local DHB and public health unit.</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and use of PPE.  During Covid-19 lockdown it was mandatory for staff not to travel to and from the facility in uniform, with changing facilities provided on site.  Although this is no longer mandatory, it is strongly encouraged as being best practice.</w:t>
            </w:r>
          </w:p>
          <w:p w:rsidR="00EB7645" w:rsidRPr="00BE00C7" w:rsidP="00BE00C7">
            <w:pPr>
              <w:pStyle w:val="OutcomeDescription"/>
              <w:spacing w:before="120" w:after="120"/>
              <w:rPr>
                <w:rFonts w:cs="Arial"/>
                <w:b w:val="0"/>
                <w:lang w:eastAsia="en-NZ"/>
              </w:rPr>
            </w:pPr>
            <w:r w:rsidRPr="00BE00C7">
              <w:rPr>
                <w:rFonts w:cs="Arial"/>
                <w:b w:val="0"/>
                <w:lang w:eastAsia="en-NZ"/>
              </w:rPr>
              <w:t>Ryman has a dedicated infection control channel on the ChattR app for information, education and discussion and Covid updates should matters arise in between scheduled meeting times. All visitors are required to provide contact tracing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Ryman Bert Sutcliffe.  The infection control committee meet two-monthly, with information then being cascaded as part of staff meetings and also as part of the registered nurse meetings.  The infection prevention and control leader has completed training in infection control.  The infection prevention and control leader has access to an infection prevention and control nurse specialist from the DHB,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prevention and control policies that are current and reflected the Infection Prevention and Control Standard SNZ HB 8134:2008, legislation and good practice.  These policies are generic to Ryman and the policies have been referenced to policies developed by an infection control consultant.  Infection prevention and control policies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leader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programme is organised and promoted via the Ryman calendar.  Effective monitoring is the responsibility of the infection prevention and control officer who is the clinical manager (RN).  An individual infection report form is completed for each infection.  Data is logged into an electronic system, which gives a monthly infection summary.  This summary is then discussed at the clinical meeting, weekly management meeting, infection prevention and control (IPC) meetings and full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Six-monthly comparative summaries of the data are completed and forwarded to head office.  All meetings held at Ryman Bert Sutcliffe include discussion on infection prevention control.  The IPC programme is incorporated into the internal audit programme.  Infection rates are benchmarked across the organisation and are analysed at site level using power BI.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outbreak in December 2020 which was appropriately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The clinical manager is the restraint coordinator.  Restraints have not been used at the facility since 2016 with the exception of one (hospital) resident who was recently placed in a specialised chair following a fall with injury.  There were no enablers in use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restraint coordinator for the facility.  The role and responsibilities of the restraint coordinator are defined in the restraint coordinator job description.  A range of strategies are implemented by the restraint coordinator and staff to ensure that restraint is only used as a last resort.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that meets criteria (a) – (h) is completed for residents requiring an approved restraint for safety.  The RN in partnership with the restraint coordinator, approval group, resident and their family/whānau undertakes restraint assessments.  These assessments are based on information in the care plan, resident/family discussions and observations.  Ongoing consultation with the resident and family/whānau are evident.  A restraint assessment form was completed for the resident requiring a special (Viking) chair.  This chair prevents him from standing and was implemented following a fall with facial fracture approximately one month ago.  It is being used instead of a lap belt with the resident displaying no eagerness to stand or agitation while in this chair.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up-to-date restraint register that indicates restraint has not been used at this facility since 2016 with the exception of one (hospital) resident who has recently been placed on a restraint.  The service has an approval process (as part of the restraint minimisation policy) that is applicable to the service.  Discussions took place between the restraint coordinator and Ryman Christchurch prior to placing the resident in a special chair and is being used as an alternative to a lap belt restraint.  The reason for the restraint was that the resident was at risk of harming himself due to his high risk of falling.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and observation is included in the restraint policy.  The restraint coordinator is responsible for ensuring all restraint documentation is completed.  Each episode of restraint is monitored on an hourly schedule.  If the resident becomes agitated, strategies are implemented to settle him including one on one specialling.  Restraint use, risks and cares to be carried out during the restraint episode are documented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three-monthly (at a minimum) as part of the ongoing reassessment for residents on the restraint register although the resident using restraint at the time of the audit is being reviewed monthly.  Families are included as part of this review where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throughout the Ryman organisation is monitored regularly.  The review of restraint use is discussed at an organisational level and at relevant facility meetings.  The Ryman organisation and facility are very proactive in minimising restraint.  A comprehensive restraint education and training programme is in place, which includes staff completing a competency in relation to restraint minimisation.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08"/>
        <w:gridCol w:w="1280"/>
        <w:gridCol w:w="2897"/>
        <w:gridCol w:w="54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at admission and in an ongoing manner to establish interests and skills and a plan is developed for the residents around activities.  The activity programme was reviewed and adapted to continue the provision of engaging residents in meaningful activities during a period of pandemic lockdown restrictions.  This resulted in continued resident engagement, physical activity, social interaction and resident satisfaction.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Due to pandemic restrictions in parts of 2020, residents were unable to attend group activities and at times were unable to socialise with other residents and/or have visitors.</w:t>
            </w:r>
          </w:p>
          <w:p w:rsidR="00EB7645" w:rsidRPr="00BE00C7" w:rsidP="00BE00C7">
            <w:pPr>
              <w:pStyle w:val="OutcomeDescription"/>
              <w:spacing w:before="120" w:after="120"/>
              <w:rPr>
                <w:rFonts w:cs="Arial"/>
                <w:b w:val="0"/>
                <w:lang w:eastAsia="en-NZ"/>
              </w:rPr>
            </w:pPr>
            <w:r w:rsidRPr="00BE00C7">
              <w:rPr>
                <w:rFonts w:cs="Arial"/>
                <w:b w:val="0"/>
                <w:lang w:eastAsia="en-NZ"/>
              </w:rPr>
              <w:t>The resident survey results in February 2020 had a score of 3.94.  Despite the lockdown, the activities team adapted the program to enable resident participation in virtual groups through the use of technology and the provision of remote activity facilitation, including virtual happy hour, zoom sessions and the maintenance of contact with family and friends.  This resulted in an improved resident satisfaction survey result, related to activities of 4.21 in February 2021.  Interviews with residents during audit confirmed their satisfaction and engagement with the activities team and program.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has not been used at this facility since it opened with the exception of one resident who poses a risk of harming himself and has recently been placed in a reclining chair.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maintained a restraint-free environment, using it only as a last resort.  This has recently been the case for one hospital level resident.  A number of strategies have been implemented to achieve a restraint-free environment.  Staff are provided education on restraint, the risks of restraint, what constitutes restraint, interventions strategies, accountability and legality; residents and families are well-informed regarding the facility’s goals of maintaining a restraint-free facility and the benefits that this has for residents; falls prevention strategies are implemented with a low falls rate maintained; safe staffing levels are in place, which include lounge carers and fluid assistants;  specialling of residents is permitted for up to ten minutes at a time before other strategies are commenced (e.g., pet therapy using lifelike imitations).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Bert Sutcliffe Retirement Village Limited - Bert Sutcliffe Retirement Village</w:t>
    </w:r>
    <w:bookmarkEnd w:id="58"/>
    <w:r>
      <w:rPr>
        <w:rFonts w:cs="Arial"/>
        <w:sz w:val="16"/>
        <w:szCs w:val="20"/>
      </w:rPr>
      <w:tab/>
      <w:t xml:space="preserve">Date of Audit: </w:t>
    </w:r>
    <w:bookmarkStart w:id="59" w:name="AuditStartDate1"/>
    <w:r>
      <w:rPr>
        <w:rFonts w:cs="Arial"/>
        <w:sz w:val="16"/>
        <w:szCs w:val="20"/>
      </w:rPr>
      <w:t>4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