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Village Hospital Limited - Bob Reed, Ranfurly Care &amp;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Village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2021</w:t>
      </w:r>
      <w:bookmarkEnd w:id="7"/>
      <w:r w:rsidRPr="009418D4">
        <w:rPr>
          <w:rFonts w:cs="Arial"/>
        </w:rPr>
        <w:tab/>
        <w:t xml:space="preserve">End date: </w:t>
      </w:r>
      <w:bookmarkStart w:id="8" w:name="AuditEndDate"/>
      <w:r w:rsidR="00A4268A">
        <w:rPr>
          <w:rFonts w:cs="Arial"/>
        </w:rPr>
        <w:t>17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Ranfurly Village Hospital Ltd is privately owned.  A health services manager/registered nurse is employed and responsible for the daily operations of the service.  A care manager and stable workforce support her.  The service provides rest home and hospital level of care for up to 60 residents.  On the day of the audit, there were 60 residents.</w:t>
      </w:r>
    </w:p>
    <w:p w:rsidRPr="00A4268A">
      <w:pPr>
        <w:spacing w:before="240" w:line="276" w:lineRule="auto"/>
        <w:rPr>
          <w:rFonts w:eastAsia="Calibri"/>
        </w:rPr>
      </w:pPr>
      <w:r w:rsidRPr="00A4268A">
        <w:rPr>
          <w:rFonts w:eastAsia="Calibri"/>
        </w:rPr>
        <w:t xml:space="preserve">The residents and relatives spoke very positively about the care provided at Ranfurly Village Hospital.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This audit identified one shortfall around completion of neurological observations when these were required to be taken.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has a health services manager who provides operational management along with the care manager who provides oversight of the clinical component of service delivery. Registered nurses, health care assistants, and support staff work to deliver services.  </w:t>
      </w:r>
    </w:p>
    <w:p w:rsidRPr="00A4268A">
      <w:pPr>
        <w:spacing w:before="240" w:line="276" w:lineRule="auto"/>
        <w:rPr>
          <w:rFonts w:eastAsia="Calibri"/>
        </w:rPr>
      </w:pPr>
      <w:r w:rsidRPr="00A4268A">
        <w:rPr>
          <w:rFonts w:eastAsia="Calibri"/>
        </w:rPr>
        <w:t xml:space="preserve">A quality and risk management programme includes a service philosophy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There is a documented rationale for determining staffing levels and skill mixes for safe service delivery.  There is a staffing roster developed that meets the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diversional therapist has developed an activity programme to promote resident independence, involvement, emotional wellbeing and social interaction appropriate to the level of physical and cognitive abilities of the rest home and hospital level residents.  </w:t>
      </w:r>
    </w:p>
    <w:p w:rsidRPr="00A4268A" w:rsidP="00621629">
      <w:pPr>
        <w:spacing w:before="240" w:line="276" w:lineRule="auto"/>
        <w:rPr>
          <w:rFonts w:eastAsia="Calibri"/>
        </w:rPr>
      </w:pPr>
      <w:r w:rsidRPr="00A4268A">
        <w:rPr>
          <w:rFonts w:eastAsia="Calibri"/>
        </w:rPr>
        <w:t>Medication polices reflect legislative requirements and guidelines.  Staff responsible for administration of medications complete education and medication competencies.  The medication charts reviewed meet prescribing requirements and had been reviewed at least three-monthly.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and are provided, with nutritious snacks being available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certificate and all external areas were accessible and of an appropriate standard.  There is a preventative and planned maintenance schedule in place.  Ongoing maintenance issues are addressed.  Chemicals are stored safely on site.  The outdoor areas are safe and easily accessible.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on safe restraint use and enablers.  There was one resident voluntarily using enablers and five residents with restraints (bedrails).  The care manager (registered nurse) is the restraint coordinator.  Staff receive training around restraint and challenging behaviours.  Assessment and evaluation processes are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Staff and residents are offered the annual flu vaccine in addition to the Covid-19 vaccine.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email and written on the complaints form is maintained by the health services manager using a complaints’ register.  There were eight resident/family related complaints to date for 2020 and four in 2021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were reviewed, and this confirmed that complaints have been managed in line with Right 10 of the Code.  A review of complaints documentation evidenced resolution of the complaint in a timely manner.  Residents and family members interviewed confirmed that they are aware of the complaints’ procedure.  The health services manager and care manager were interviewed along with the following staff: six HCAs, three RNs, the head chef, diversional therapist, physiotherapy assistant/diversional therapist, maintenance staff, who confirmed discussion around concerns, complaints and compliments at facility meeting minutes as evidenced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and a suggestion box is at the main entrance. This is checked weekly by the health services manager or delegated.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lodged by an external provider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open-door policy.  Relatives/residents are aware of the open-door policy and confirmed on interview that the staff and management are approachable and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ten residents (three from the rest home and seven from the hospital) and three family with relatives in the hospital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17 incident forms confirmed that family were informed in a timely manner when incidents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stated that they have had good communication with managers during Covid with clear guidelines laid out around visiting according to the level restrictions during the pandemic.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 site who speak a range of languages. There are no residents currently requiring the use of interpreting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Village Hospital Ltd is privately owned.  The service has a working relationship with the veteran’s trust.  Veterans are given priority for admission.  The service provides rest home and hospital level of care for up to 60 residents.  All beds are dual-purpose within a new purpose-built facility.  There are 30 beds on level two, and 30 beds on level three.  On the day of audit there were 13 rest home residents and 47 hospital residents.  All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health services manager who is a registered nurse (RN). The health services manager has been in the role for four years, has previous management experience and 17 years’ experience in aged care.  The health services manager is supported by a care manager who has 25 years’ experience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business plan.  The previous business plan (2020-2021) was reviewed prior to the documentation of the 2021 to 2022 plan. There are two monthly quality meetings, and these include review of goals in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services manager and care manager both maintain an annual practicing certificate and have maintained at least eight hours annually of professional development that is related to managing a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The service has implemented policies and procedures to support service delivery with these reviewed at regular intervals and at least two-yearly.  Staff are required to sign the reading sheet to acknowledge they have read new/reviewed policies.  A document control process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include weekly management meetings, monthly staff meetings, two monthly quality, quarterly household and kitchen meetings, health, and safety (including infection control) every two months and two monthly clinical meetings.  There are resident meetings three times a year with family welcome to attend these.  The service had trialled having a separate family meeting however this had a very low attendance and there is now a quarterly newsletter and communication by email.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 discussion around quality data including complaints, compliments, health and safety, accident/incident, infection control, internal audit results and survey results.  Internal audits are completed as scheduled.  Corrective action plans are completed for any corrective actions required with evidence that these are resolved in a timely manner.  There is a monthly quality report to the health services manager and facility meetings.  Trends are identified and analysed for areas of improvement.  Staff confirmed on interview they were kept informed on quality data including corrective actions and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were completed in the final months of 2019 and 2020. Both showed a high level of satisfaction with 84% satisfied or very satisfied with all areas identified in the survey in 2020. There were no consistent areas for improvement noted in the responses.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 service addresses health and safety by recording hazards and near misses, sharing of health and safety information and actively encourage staff input and feedback. The health and safety representative (interviewed) stated the health and safety committee of representatives across the services were involved in the development and review of health and safety goals.  Staff are given the opportunity to provide input into the two monthly health and safety committee meetings.  The health and safety committee review monthly accident/incident reports and review the hazard reports and register.  Health and safety information is displayed on the staff noticeboard.  The representative interviewed has been involved with the contractors regularly.  The village area under construction is cordoned off safely and a hazard board was in place. The service ensures that all new staff and any contractors are inducted to the health and safety programme with a training completed by staff as part of orientation (staff records confirmed that these had been completed).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a number of improvements in the service since the last audit. They include improvements in attendance at training sessions, improvements in the activities programme to include more innovative ways to engage with residents, putting a lounge carer in place to monitor residents at risk of falling, staff wellness, and a review of use of cleaning products to improve effectiveness.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risk management and health and safety framework, there is an accident/incident policy.  All incidents are logged onto an online data base by the RNs.  The care manager reviews all incidents daily and documents a monthly report to the management, health and safety committee, clinical and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Seventeen incident forms were reviewed.  All incident forms identified timely RN assessment of the resident and corrective actions or recommendations that had been completed and signed off by the health services manager or care manager.  Neurological observations had not been completed for all unwitnessed falls or for any known head injury (link 1.3.6.1).  The healthcare assistants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services manager could describe situations that would require reporting to relevant authorities.  The service has not had to report any serious events to external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 practising certificates and allied health professionals is current.  Six staff files were reviewed (health services manager, two RNs, two healthcare assistants, one diversional therapist).  All files contained relevant employment documentation including a signed contract, job description,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educator manages the education for the service.  The education plan is developed annually and reviewed six-monthly to ensure that training is appropriate to resident care needs and/or any issues that have arisen.  The education plan covers all the mandatory education requirements.  Registered nurses have access to external training that includes clinical education relevant to medical conditions.  In-service attended on site delivered by external educators includes end of life/palliative care, loss and grief, diabetes, and wound care.  Seven of the eight RNs are interRAI competent.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long term HCAs who have been with the service for over 10 years.  All have completed either level three or four CareerForce with new staff encouraged to gain certificates from CareerForce after orientation has been completed.  Healthcare assistants interviewed included staff with level three and four qualifications with those interviewed having worked for five, 19, 23 or 25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includes the health service manager and the clinical manager Monday to Friday.  Senior RNs are on call with this escalated to the health service manager or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floors in the building with two wings on each floor.  These are level 1 with Wallingford (11 hospital and four rest home residents) and McKay with (11 hospital and four rest home residents); and level two with Knox (13 hospital and two rest home residents) and Wallace (13 hospital and two rest home residents).  Each floor has the same roster as follows: there are four HCAs on duty in the morning (long shift), two long in the afternoon along with one HCA from 1630 to 2030 and one from 1445 to 2000. There are two HCAs on duty overnight.  There is an HCA on duty from 0645 to 1500 and they help as required on either floor or support residents with menu ordering five days a week.  There is one RN on each floor in the morning with an extra RN on duty three days a week in the morning.  There are two RNs on duty (one on each floor) on the afternoon shift and one overnight.  For three nights a week there are two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cleaning and laundry services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four residents self-administering on the day of audit.  All four had the required GP assessments and three-monthly reviews of their ongoing capacity to self-medicate and safe storage of medications in their rooms.  There are no standing orders in use.  There are no vaccines stored on-site.  All clinical staff (RNs, med-comp health care assistants) who administer and/or check medications have been assessed for competency on an annual basis.  Education around safe medication administration has been provided.  Staff were observed to be safely administering medications.  The registered nurses (interviewed) could describe their role regarding medication administration.  The service currently uses robotics for regular medication and ‘as required’ medications.  All medications are checked on delivery against the medication chart (Medimap) and any discrepancies are fed back to the supplying pharmacy.  Medications were appropriately stored in the facility medication room.  The medication fridge and room temperatures are monitored daily.  Temperatures were within acceptable ranges.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Ranfurly Village are all prepared and cooked on site.  The kitchen was observed to be clean, well-organised, well equipped and a current approved food control plan was in evidence.  There is a four-weekly seasonal menu that is reviewed by an external registered dietitian.  The chef receives resident dietary information from the RNs and is notified of any changes to dietary requirements (vegetarian, pureed foods) or of any residents with weight loss.  The head chef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Cleaning schedules are maintained appropriately.  Staff were observed assisting residents with meals in the dining areas and modified utensils are available for residents to maintain independence with meals.  Food services staff have all completed food safety and hygiene courses.  There is a food control plan expiring September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The service is currently recruiting for a physiotherapist to assess and assist residents’ mobility and transfer needs as required.  A physiotherapy assistant is also employed for 20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appropriate wound management and ongoing evaluations are in place for all wounds.  Wound monitoring occurred as planned and is documented on both on a paper based wound log and, in the residents’ clinical file.  There were fifteen ongoing wounds including nine skin tears, one abrasion, two lesions, two chronic ulcers and one post-surgical wounds.  There were no pressure injuries.  The service can access the wound nurse specialist service for advice and input as required and there was evidence of this in chronic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Not all monitoring requirements for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updated as residents’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activity coordinator covering Monday to Friday who plan and lead all activities.  The diversional therapist prepares activity resources for weekends, with resources labelled and easily identifiable for HCAs and families to utilise as required.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which is given to each resident, emailed to families, and placed in large print on noticeboards in all areas.  Residents have the choice of a variety of activities which are varied according to resident preference and need.  These include (but are not limited to) exercises, cooking, crafts, games, quizzes, entertainers, pet therapy, art therapy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manicures, technology-based activities and hand massage are offered.  All residents and families are able to access the dedicated activities room and use the Tovertafel system which is a virtual projector system, including active games, puzzles, and art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 utilising the facility’s own vehicle.  There are regular entertainers visiting the facility.  Special events like birthdays, Easter, Mothers’ Day and Anzac Day are celebrated in collaboration with the kitchen staff who provide birthday cakes and other themed goods for the residents.  There are visiting community groups such as the tai chi group, churches and local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Four of the five long-term care files sampled of permanent residents contained written evaluations completed six monthly as one rest home resident was a recent admission.  Family are invited to attend review meetings and the GP reviews the resident at least three monthly and more frequently for residents with more complex problems.  Ongoing nursing evaluations occur daily and/or as required and are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and resolved or added to the long-term care plan if the problem is ongoing, as sighted in resident files reviewed.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3 October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safety is ensured through a six-monthly RCD check by a qualified electrician.  All electrical equipment on site runs through the RCD system.  Items of medical equipment are calibrated annually and are next due to be checked December 2021.  Hot water temperatures have been monitored in resident areas and are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lift between floors which is large enough for a stretcher. It is checked and maintained.  Flooring is safe and appropriate for residential care.  All corridors have sufficient room in order to promote safe mobility with the use of mobility aids.  Residents were observed moving freely around the areas with mobility aids where required.  The external areas and gardens are well maintained.  The indoor-outdoor flow from the level 2 lounge allows unrestricted access to a large paved outdoor area raised beds and seating area.  There is safe access to all communal areas in the facility. All indoor and outdoor areas are fit for purpose and are easily accessible to residents.  All outdoor areas have some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Ranfurly Village infection control policy.  Effective monitoring is the responsibility of the infection control coordinator (care manager).  An individual resident infection report is completed for all infections which includes signs and symptoms of infection, treatment, follow-up, review and resolution.  Short-term care plans are used for residents diagnosed with infections as evidenced in the resident files reviewed.  Surveillance of all infections is entered onto a monthly infection summary, which the infection control coordinator uses to collate the data and analyse any trends arising.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provides infection control data, trends and relevant information to the facility management and care staff.  Areas for improvement are identified, corrective actions developed and followed up.  This data is monitored and evaluated monthly.  If there is an emergent issue, it is acted upon in a timely manner.  On review of the surveillance data the infection rate continues to be very low at the facility and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The majority of residents have received both doses of the Pfizer Covid-19 vaccine with staff vaccination ongoing in conjunction with the local DHB.  Residents and staff are offered the influenza vaccine.  Covid-19 scanning/manual sign in is mandatory on entry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service only allows bed rails to be used as a restraint or enabler. restraints.  On the day of the audit, there was one resident with an enabler and five residents with restraints.  One resident file reviewed for enabler use identified the resident had given voluntary consent.  Restraint and challenging behaviour education are included in the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4"/>
        <w:gridCol w:w="1280"/>
        <w:gridCol w:w="4186"/>
        <w:gridCol w:w="3335"/>
        <w:gridCol w:w="19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indications, requirements and timescales related to neurological observations in the organisation’s policy, however, not all neurological observations were carried out and documented as per that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were not consistently documented according to organisational policy for five of fourteen residents with unwitnessed falls and/or a hit to the head.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 monitoring charts are fully completed in a timely manner and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Village Hospital Limited - Bob Reed, Ranfurly Care &amp; Veterans</w:t>
    </w:r>
    <w:bookmarkEnd w:id="58"/>
    <w:r>
      <w:rPr>
        <w:rFonts w:cs="Arial"/>
        <w:sz w:val="16"/>
        <w:szCs w:val="20"/>
      </w:rPr>
      <w:tab/>
      <w:t xml:space="preserve">Date of Audit: </w:t>
    </w:r>
    <w:bookmarkStart w:id="59" w:name="AuditStartDate1"/>
    <w:r>
      <w:rPr>
        <w:rFonts w:cs="Arial"/>
        <w:sz w:val="16"/>
        <w:szCs w:val="20"/>
      </w:rPr>
      <w:t>17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