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William Sanders Retirement Village Limited - William Sanders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William Sanders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William Sanders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July 2021</w:t>
      </w:r>
      <w:bookmarkEnd w:id="7"/>
      <w:r w:rsidRPr="009418D4">
        <w:rPr>
          <w:rFonts w:cs="Arial"/>
        </w:rPr>
        <w:tab/>
        <w:t xml:space="preserve">End date: </w:t>
      </w:r>
      <w:bookmarkStart w:id="8" w:name="AuditEndDate"/>
      <w:r w:rsidR="00A4268A">
        <w:rPr>
          <w:rFonts w:cs="Arial"/>
        </w:rPr>
        <w:t>9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William Sanders is part of the Ryman Group of retirement villages and aged care facilities.  The facility opened in October 2020 and provides rest home, hospital and dementia level care for up to 112 residents in the care centre and rest home level care for up to 30 residents in the serviced apartments.  On the days of the audit there were 60 residents receiving care in the care centre including one resident at rest home level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The village manager (non- clinical) has been in the role since 2019.  He is supported by a clinical manager (registered nurse) who has been in the role for a year and has previous experience within Ryman.  The management team are supported by unit coordinators, a regional manager and support staff at head office.  The residents, relatives and the nurse practitioner interviewed spoke positively about the care and support provided.  Ryman have robust quality and risk systems which have been implemented at William Sanders.  </w:t>
      </w:r>
    </w:p>
    <w:p w:rsidRPr="00A4268A">
      <w:pPr>
        <w:spacing w:before="240" w:line="276" w:lineRule="auto"/>
        <w:rPr>
          <w:rFonts w:eastAsia="Calibri"/>
        </w:rPr>
      </w:pPr>
      <w:r w:rsidRPr="00A4268A">
        <w:rPr>
          <w:rFonts w:eastAsia="Calibri"/>
        </w:rPr>
        <w:t xml:space="preserve">This audit identified the service is meeting the health and disability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The service complies with the Health and Disability Commissioner’s Code of Health and Disability Consumers’ Rights. Information on informed consent is included in the admission agreement and discussed with residents and relatives.  Staff strive to ensure that care is provided that focuses on the individual resident, values residents' autonomy and maintains their privacy and choice.  Cultural needs of residents are met.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village manager, clinical manager and unit coordinators are responsible for the day- to-day operations. Services are planned, coordinated, and appropriate to the needs of the residents.  An annual quality plan is being implemented.  A comprehensive quality and risk management programme is in place and goals are documented for the service with evidence of regular reviews.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Human resources are managed in accordance with good employment practice.  A comprehensive orientation programme is in place for new staff.  Ongoing education and training are in place, which includes in-service education and competency assessments.</w:t>
      </w:r>
    </w:p>
    <w:p w:rsidRPr="00A4268A">
      <w:pPr>
        <w:spacing w:before="240" w:line="276" w:lineRule="auto"/>
        <w:rPr>
          <w:rFonts w:eastAsia="Calibri"/>
        </w:rPr>
      </w:pPr>
      <w:r w:rsidRPr="00A4268A">
        <w:rPr>
          <w:rFonts w:eastAsia="Calibri"/>
        </w:rPr>
        <w:t xml:space="preserve">Residents receive appropriate services from suitably qualified staff.  Registered nursing cover is provided 24 hours a day, seven days a week.  Residents and families reported that staffing levels are adequate to meet the needs of the residents.  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information/welcome pack that includes information on each level of care. Registered nurses are responsible for Initial assessments, risk assessments, interRAI assessments and development of care plans in consultation with the resident/relatives.  Care plans demonstrate service integration, were individualised and evaluated six-monthly.  The general practitioner reviews residents on admission and at least three- monthly.  Other allied health professional are involved in the care of residents including (but not limited to) the physiotherapist and dietitian. </w:t>
      </w:r>
    </w:p>
    <w:p w:rsidRPr="00A4268A" w:rsidP="00621629">
      <w:pPr>
        <w:spacing w:before="240" w:line="276" w:lineRule="auto"/>
        <w:rPr>
          <w:rFonts w:eastAsia="Calibri"/>
        </w:rPr>
      </w:pPr>
      <w:r w:rsidRPr="00A4268A">
        <w:rPr>
          <w:rFonts w:eastAsia="Calibri"/>
        </w:rPr>
        <w:t xml:space="preserve">The activity team implement the Engage activity programme in the rest home/ hospital and dementia units that ensures the abilities and recreational needs of the residents is varied, interesting and involves entertainers, outings and community visitors.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 xml:space="preserve">Meals are prepared on-site.  The project delicious menu is designed by a dietitian at organisational level and provides meal options including gluten free and vegetarian.  Individual and special dietary needs are catered for.  There are nutritious snacks available 24 hours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certificate for public use.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and balconies are safe and easily accessible.  There is an approved fire evacuation scheme.  There are six-monthly fire drills.  Staff have attended emergency and disaster management.  There is a first aider on-site at all times.  The environment is warm and comfortable. Housekeeping staff maintain a clean and tidy environment.  All linen and personal clothing is laundered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currently no restraints or enablers in use.  Staff receive training around restraint minimisation and the management of challenging behaviour.  The service has appropriate procedures and documents for the safe assessment, planning, monitoring and review of restraint and enablers.  There is a restraint register for restraints and enablers when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committee meet six-weekly.  All infections are captured through the electronic resident management system, collated and analysed for trends by the infection control coordinator (clinical manager).  A monthly infection control report is completed and forwarded to head office for analysis and benchmarking. Education around infection control is included in the annual education plan and extra training is provided as required.  All infection control policies, procedures and the pandemic/ emergency plan have been updated to include Covid 19.  Resource folders are available to guide staff on the different lockdown level guidelines.  Adequate supplies of personal protective equipment were sighted during the audit.  There have been no outbreaks in the facility since opening in October 2020.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3"/>
        <w:gridCol w:w="1280"/>
        <w:gridCol w:w="100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clinical manager/RN, regional manager, and 20 clinical staff (eight caregivers who work across all service levels, four registered nurses (RNs), four-unit coordinators, one activities coordinator and three diversional therapists) confirmed their familiarity with the Code.  Non-clinical staff including one laundry coordinator, one lead chef, one housekeeper, one receptionist/ health and safety officer, and a maintenance person were also familiar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and are included in the admission agreement.  General consents were sighted in the eight files reviewed (three hospital level, three rest home including one resident in the serviced apartments and one resident on respite care and two dementia level). Specific consents were viewed for wound photographs, influenza and Covid vaccines.  Caregivers and registered nurses (RN) interviewed, confirmed verbal consent is obtained when delivering care.  Informed consent training is held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was signed by the competent resident and witnessed by the general practitioner (GP).  Where the resident is unable to make a decision, the GP makes a medically indicated not for resuscitation in consultation with the enduring power of attorney (EPOA).  The EPOA for the two-dementia level of care residents had been activated.   Copies of EPOA and activation status are available on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for seven long-term resident files under the ARCC had been signed within a timely manner.  There was a short-term agreement in place for the respite care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included information on residents’ family/whānau and chosen social networks.  There is information on the noticeboards on each floor around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included opportunities to attend events outside of the facility including activities of daily living, such as shopping and weekly outings.  There are beautician and hairdressing salons on site.  Residents are supported and encouraged to remain involved in the community and external groups, there are residents who are supported to be picked up by friends and relatives to attend church and reading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management of the complaints process.  Complaints forms are available at reception and on each floor on the noticeboards beside the lifts.  Information about complaints is provided on admission.  Interviews with residents and families demonstrated their understanding of the complaints process.  All staff interviewed were able to describe the process around reporting complaints.  There is a box beside reception where people can put their complaint if they wish to remain anonymous.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maintained.  There has been one complaint received around care provision, which was investigated, education was provided, and the complaint was resolved.  All documentation and correspondence are held on file and was completed in accordance to the timeframes set out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Learnings from complaints are discussed at all facility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that includes information about the Code and the nationwide advocacy service is given to prospective residents and families.  There is the opportunity to discuss aspects of the Code during the admission process.  Six residents (three rest home and three hospital) and six relatives (two rest home, two dementia and two hospital) interviewed confirmed that information around the Code had been provided to them.  Large print posters of the Code and advocacy information are displayed on noticeboards on each floor (service level).  The village manager or the clinical manager discusses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requirements of the revised Privacy Act and Health Information Privacy Code.  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family members interviewed confirmed that staff promote the residents’ independence wherever possible, and that residents’ choices are encouraged.  Staff have undertaken training on privacy and dignity in September 2020.  Privacy, and code of rights are covered during induction to the service.  The caregivers interviewed were fluent is describing how residents are treated with privacy and dignity and are encouraged to maintain independence as far as the resident is 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are established with the district health board Māori health directorate who are available as a liaison for Maori residents and as a support to staff if required.  There were no residents who identified as Maori on the days of the audit.  Staff have completed education around cultural safety which included spirituality, effective communication.  The sessions include scenarios where staff provide a solution.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All residents at the facility were able to speak and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regional manager is available to support the management team if there is a concern around discrimination.  Interviews with the managers, registered nurses and caregivers confirmed an awareness of professional boundaries.  Caregivers could discuss professional boundaries.  Clear expectations are set out during the induction process.  All staff sign ‘house rules’ and a code of conduct which addresses discriminations.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policies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seven days a week, 24 hours a day.  The service receives support from the district health board which includes visits from specialists (e.g., wound care, mental health) and staff education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focus on providing a positive environment for staff, residents and relatives.  There is a real sense of teamwork and the management work hard to ensure all members of staff feel valued as conformed during interviews with the management team, and staff.  Quality data is collated monthly by the clinical manager, analysed for trends and discussed thoroughly at the clinical meetings, outcomes and corrective action plans are discussed at all facility meetings. Staff completed education in line with the Ryman education plan and using the online education platform.  All staff are trained in first aid.  As the resident admissions increase, there is ongoing planning for staffing, employment and managing rosters across the service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then enter details into the electronic system.  Staff are required to record family notification when entering an incident into the system.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have set up their own social media platform CHATTR which so far 80% of staff are active and 70% are engaged members.  This platform is only available to Ryman staff and is used by staff socially and also utilised by management to inform staff of meetings, important changes, current infections and the like.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William Sanders is located in Auckland.  The facility opened on 5 October 2020 and provides care for a total of 142 residents across rest home, hospital, and dementia level care.   The facility is built on a slope and provides services in the care centre over five floors.  Level 3 (rest home) and level 4 (hospital) can accommodate up to 38 residents each.  Both floors are dual-purpose.  Level 3 (dual purpose unit) was opened first accommodating rest home and hospital level residents until occupancy allowed the opening of level 4.  The special care (dementia care) unit on level 2 (opened 7 December 2020) provides care for up to 36 residents across two units, (only one 18-bed unit was open on the day of the audit).   There are serviced apartments across five levels also, providing rest home level care for up to 30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23 rest home residents (level 3) including a resident on respite, 24 hospital residents (level 4) and 12 residents in the special care unit (level 2), and one resident in the serviced apartments at rest home level care.  All residents (excluding the resident on respite) were on the age-related residential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overall vision and values are displayed in a visible location.  All staff are made aware of the vision and values during their induction to the service.  There is a Ryman strategic and quality plan and a TeamRyman quality programme.  There are documented quality/health and safety goals.  The ‘kindness culture’ is a theme of the service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since April 2019 and has a background in senior management and leadership in education.  He is supported by a regional manager who visits regularly and is available by phone when required for support and advice.  The clinical manager has been in her role for a year and has had previous experience in unit coordinator roles across all service levels with Ryman since 2016.  The managers are supported by an experienced unit coordinator (registered nurse) in each service level (rest home, hospital, and dementia) and enrolled nurse unit coordinator across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village manager, the clinical manager will step into the role with support from the unit coordinators and the regional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William Sanders commenced implementing the quality and risk management system on opening that is directed by Ryman Christchurch (head office).  Policies and procedures are reviewed at a national level and are forwarded through to a service level.  Changes to policy and procedures are discussed at all meetings held in the facility.  There is an internal auditing programme set out by head office. The service develops a corrective action plan for any audit result below 90%.  A quality improvement register is maintained.  Corrective actions are signed off when completed and audit results are communicated at the management and facility meetings.  Processes have been implemented to collect, analyse and evaluate data including resident and staff accident/incidents, hazards, infections, complaints and audit outcomes, which is utilised for service improvements.  Quality improvement plans have been developed for areas identified for improvement including call bell response times, increase in challenging behaviours in dementia care and falls with injury.  Action plans have been implemented and demonstrated ongoing improvements in these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performance are reported at the weekly management meetings and also to the organisation's management team.  Quality data, quality initiatives and corrective action plans are discussed at the monthly full facility meetings, clinical meetings and other facility meetings held across the site.  Staff who are unable to attend can join the meeting virtually through Zoom. Meetings are recorded and can be viewed by staff at their leisure.  Discussions with the managers and staff and review of management and staff meeting minutes, demonstrated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relatives annual survey has not yet been completed (opened in October 2020), this is planned for later in 2021.  Monthly food service audits are completed which evidenced overall satisfaction of 4.5 out a possible 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in the rest home and hospital levels, minutes of the meetings evidence residents are able to provide feedback and suggestions across all areas of service provision.  A relative’s meeting for all service level was held in May 2021, this was the first meeting held due to resident occupancy.  Relatives interviewed appreciated the meeting and stated it as a good opportunity to confirm points of contact, complaint process, survey and feedback processes, and found the information provided to be useful, and they had the opportunity to ask any questions.  Relatives interviewed confirm the management have an open-door policy and they can approach them at any time if they have a question or query.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officer and fire warden (administrator) were interviewed.  The health and safety officer is responsible for completing monthly audits, ensuring checks of emergency kits, first aid kits around the facility are completed and stock is maintained.  She has completed the health and safety induction, fire officer training and external risk management training.  The health and safety committee is representative of all areas of the service.  Meeting minutes evidence revision of all incidents and accidents, review of emergency procedures, new and ongoing hazards and risks, and implementation of the step back cards.  The noticeboard keeps staff informed on health and safety meetings.  Head office sends out health and safety bulletins regularly and alerts for staff information and awareness.  A current hazard and risk register is in place and easily accessible to staff. All new hazards have been logged onto the hazard log, which is reviewed each meeting, and then entered onto the register as appropriate.  The register was last reviewed in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falls prevention strategies are in place for residents identified at risk of falls.  The service contract a physiotherapist 15 hours a week who assesses residents on admission and is involved in developing transfer plans.  Care staff interviewed could describe falls prevention strategies as documented in myRyman care plan.  Discussions with the managers and staff and review of management and staff meeting minutes, demonstrated their involvement in quality and risk management activities. Currently the service is reviewing data around falls and implementing fall prevention strategies, including provision of education sessions around fall prevention and reviewing care plans of residents at high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on VCare for each incident/accident with immediate action noted, relative notification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15 incident/accident reports including witnessed and unwitnessed falls and skin tears for June and July 2021 were reviewed and identified that all were fully completed and included follow-up by a registered nurse.  Neurological observations were completed for unwitnessed falls and where there was an obvious knock to the head.  The unit coordinators and managers review adverse events as part of the weekly management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were able to identify situations that would be reported to statutory authorities.  There have been section 31 notifications completed for four non facility acquired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(HR) policies including recruitment, selection, orientation and staff training and development.  Eleven staff files reviewed (one clinical manager, one hospital unit coordinator, two registered nurses (RN) four caregivers (one from rest home, dementia, serviced apartments, and hospital), one housekeeper, one chef and one diversional therapist) contained all the required employment documents including job descriptions and completed orientations specific to their role.  A three-month and six-month post-employment assessment is completed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orientation programme for all new staff is completed on site at induction days.  The induction/ orientation day covers (but is not limited to) Ryman’s commitment to quality, code of conduct, staff obligations, health and safety including incident/accident reporting, infection control and manual handling.  The second aspect to the orientation programme is tailored specifically to the job role and responsibilities.  Caregivers interviewed could describe the orientation process and felt staff were adequately orientated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that covers the mandatory training requirements and many topical debriefs/toolbox sessions at handovers.  To date, the service has completed all compulsory training sessions, and staff have completed relevant competencies including (but not limited to); infection control, fire, medications, caregiver comprehension, moving and handling, and wound care.  Staff complete education through face-to-face sessions and using the online education platform.  As spreadsheet is maintained of sessions staff have completed, which also provides a notification of staff have completed and are overdue.  All staff are first aid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10 registered nurses including the four-unit coordinators.  Three of the unit coordinators, two registered nurses and the clinical manager are competent in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caregivers employed in the dementia care unit, one caregiver has completed their dementia unit standards with nine (employed less than one year) are progressing through the standards.  One caregiver has completed a level 7 diploma of health sciences.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to complete New Zealand Qualification Authority (NZQA) qualifications.  Currently there are two staff who have completed level 3 NZQA, and three staff have completed level 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and clinical manager/RN work Monday – Friday.  The unit coordinator (RN) in the rest home special care (dementia) and serviced apartments (EN) works from Sunday to Thursday.  The hospital coordinator (RN) works across Tuesday to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 the hospital provides support to the rest home special care unit and serviced apartments as required on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Rest home unit (with 23 rest home residents on the day of audit) has a unit coordinator or RN seven days (morning shifts), who is supported by three caregivers on the morning shift; 1x 7am to 3.30pm, 1x 7am to 3pm and 1x 7am to 1pm.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three caregivers (including one senior caregiver with a medication competency); 2x 3pm to 11pm, and 1x 4pm to 9pm.  Nightshift is covered by two caregivers; 1x 10.45pm to 7.15am and 1x 11pm to 7am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apartments with one rest home resident on the day of audit: There is a senior caregiver who covers the serviced apartment coordinator days off.  There are two caregivers on the morning from 7am to 1pm,and one caregiver on the afternoon shift from 4pm to 9pm.  The night shift is covered by caregivers/RN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care (dementia) unit with 12 residents on the day: A RN covers the unit coordinator days off. There are three caregivers on the morning shift; 1x 7am to 3.30pm, 1x 7am to 1.30pm and 1x 9am to 1pm.  There are two caregivers on the afternoon shift: 1x 3pm to 9pm, and 1x 3pm to 11pm.  There is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unit with 24 hospital level residents on the day of audit: In addition to the unit coordinator there are two RNs on morning and afternoon shifts and one RN on night shift.  There are five caregivers on the morning shift; 2x 7am to 3.30pm, 1x 7am to 3pm and 2x 7am to 1pm.  The afternoon shift has three caregivers: 2x 3pm to 11pm and 1x 3pm to 9.  There are two caregivers from 11pm to 7am.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designated activities coordinator(s) and housekeeping staff.  Residents and family members interviewed reported there are adequate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into the resident’s individual record within 24 hours of entry.  Personal resident information is kept confidential and cannot be viewed by other residents or members of the public.  Electronic resident files were protected from unauthorised access.  Entries were dated and included relevant caregiver or registered nurse, including designation.  The electronic system (myRyman) demonstrated service integration of resident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Information gathered on admission is retained in residents’ records.  The relatives interviewed stated they were well informed upon admission.  The service has an information pack available for residents/families/whānau at entry including specific information on dementia level of care and the safe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including advance directives or medical care guidance documentation.  Transfer notes and discharge information was available in the hard copy resident records of those with previous hospital admissions.  The facility uses the ‘yellow envelope’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each unit.  Registered nurses and senior caregiver’s complete annual medication competencies and education.  Registered nurses complete syringe driver training. Medication reconciliation of monthly blister packs and as required blister packs are checked by an RN with the signature on the back of the blister pack.  Any errors are fed back to the pharmacy. There were two rest home level residents self-medicating (inhalers and topical creams) with a self-medicating assessment in place that had been reviewed three-monthly by the GP. The medication fridge temperatures are taken weekly in all units and are within the acceptable range.   Medication room air temperatures are taken and recorded daily.  All eye drops in use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Sixteen medication charts were reviewed (six hospital, six rest home and four dementia care).  All medication charts had photographs and allergies documented. Medication charts had been reviewed at least three-monthly by the GP (except for respite care residents and new admissions).  Records demonstrated that regular medications were administered as prescribed.  As required medications had the indication for use documented.   The effectiveness of as required medications was recorded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kitchen is located in the service area on the ground floor.  The lead chef is supported by one full time chef and two part time chefs.  There are four kitchen hands and two cook assistants who work on a roster.  There are also two part time bakers and baristas.  The bakers also supply the cafe.   All food services staff have completed food safety on-line training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Project “delicious” is a four weekly seasonal menu with three menu choices for the midday meal and two choices for the evening meal, including a vegetarian option. Other dietary needs such as diabetic, gluten or dairy free are supplied as required.  The seasonal menu has been designed in consultation with the dietitian at an organisational level.  The chef receives a resident dietary profile for all new admissions and is notified of any dietary changes including weight loss.  Dislikes are accommodated. Pure foods are used for pureed meals and as a base for soups and other suitable foods. Lip plates are available to encourage resident’s independence with meals.  Meals are delivered by scan boxes to the units where the meals are served by the caregivers.  Special diets are plated and labelled in the kitchen.  Nutritious snacks such as sandwiches, muffins, fruit and yoghurts are delivered to the dementia care unit daily and there were ample snacks, fluids and foods available in all the units.  Each unit has a functioning satellite kitchen from where the breakfast is served.   Temperatures are taken and recorded for fridges, freezer, cooking and cooling and incoming goods.  All foods were stored correctly, and date labelled.  The chemicals are stored safely, and the chemical provider conducts checks on the dishwasher regularly.  A cleaning schedule is maintained.  Staff were observed to be wearing appropriate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and direct contact with the food services staff.  Resident and relatives interviewed spoke positively about the choices and meals provided.  The resident monthly survey results for food services are positive.</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9 December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an initial assessment and relevant risk assessment tools had been completed on admission for all residents including the respite care resident.  The outcomes of interRAI assessments and triggers for long-term residents were reflected in the long-term care plans reviewed.  Additional assessments such as (but not limited to) behavioural, pain, wound and physiotherapy assessments were completed according to need. There are a number of assessments completed that assess resident needs holistically such as cultural and spiritual and activities assessments.  The assessments generate interventions and narrative completed by the RNs that are transferred to the myRyman care plan.  Assessments are completed when there is a change of health status or incident and as part of completing the six-month care plan evaluation.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outlines objectives of nursing care, setting goals, and details of implementation required to ensure the resident’s individual needs and goals are met in all eight resident files reviewed.  The myRyman programme identifies interventions that cover a comprehensive set of goals including managing medical needs/risks.  Key symbols on the resident’s electronic home page identify current and acute needs such as (but not limited to); current infection, wound or recent fall, likes and dislikes.  There were behaviour management plans in place for the two dementia care resident files reviewed.  There was documented evidence of resident/family/whānau involvement in the care planning process in the long-term files reviewed.  Relatives interviewed confirmed they were involved in the care planning process and signed the care plan acknowledgment form (kept in hard copy files).   Other information gathered from allied health professionals and discharge summaries are used to develop care plans.   Care plans included involvement of allied health professionals in the care of the resident such as the GP, physio, dietitian and mental health care team for older people.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reported their needs were being met.  The family members interviewed stated their relative’s needs were being appropriately met.  When a resident's condition alters, the registered nurse initiates a review and if required a GP visit.   The care plans are updated with any changes to care and required health monitoring interventions for individual residents are scheduled on the RN or caregiver electronic work log.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23 wounds.  There were skin tears, a laceration, leg ulcers and one surgical wound.  There are currently three facility acquired pressure injuries – two stage 1 and one stage 2.   All wounds/pressure injuries are linked to the care plans.  Photos have been taken where relevant.  Each floor has a wound champion.  Ryman wound champions are able to contact the Ryman wound nurse specialist as required.   Referrals are made as necessary to the dietitian and wound nurse specialist.  The service has adequate wound products and pressure relieving equipment available.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requirements are scheduled on the electronic work log and used to monitor a resident’s progress against clinical/care interventions for identified concerns or problems. Monitoring forms reviewed included (but not limited to) blood pressure, weights, blood sugar levels, pain, behaviour, repositioning charts, bowel records, food and fluids, intentional rounding, restraint and neurological observations   Intentional rounding is determined by the residents need including toileting, whereabouts of residents or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team of two diversional therapists (DT) and two activities coordinators.  There is an activity team member for each area and weekends are covered by staff.   The Ryman Engage programme runs from Monday to Sunday.  In the dementia unit the more flexible care companion model is utilised in the mornings.  This allows more one on one activity with caregivers and activity team members working with residents on whatever they would like to do. Often this involves residents participating in activities they would have done at home, such as folding laundry, setting tables and baking.  On the day of audit one resident was making egg sandwiches.  In the afternoons it reverts to the Engage programme.  The rest home residents in the serviced apartments can choose to attend the rest home or serviced apartment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(but not limited to); Triple A exercises, board games, news and views, make and create, memory lane, gardening, village walks, small group walks, movies, indoor bowls, music and  happy hour.  There are events for ladies such as high teas, baking and pampering.  There is a men’s club. There is entertainment every Happy Hour.  One village resident comes in and plays the piano and others assist with craft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for all areas.  One van has wheelchair access.  Pet therapy is fortnightly.  There is an interdenominational church service weekly, and Catholics have weekly communion.   Themed events and festive occasions are celebrated.  The current theme is the Olympics with residents participating in varied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community links.  One of the rest home residents attends a gardening club and others like to be taken out shopping and for coffees.  There are also visits from pre-schools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an activity assessment are completed for residents on admission.  The resident/family are involved in the development of the activity plan.  An identity map is completed by the family for all dementia care residents and the information used to develop the individual activity plan. The activity plan is incorporated into the myRyman care plan and evaluated six-monthly with the MDT review.  Residents/relatives can feedback on the programme through the resident and relative meetings and surveys.  The residents/relatives interviewed were satisfied with the activity programme.  Activities were observed in each of the units with good resident attendance and participation.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of long-term residents had been evaluated at three weeks prior to the development of the long-term care plan.  Two files of residents who had been at the service six months identified that long-term care plans had been evaluated by registered nurses.  Five of seven long-term resident care plans were not due for a six-monthly evaluation.  The respite care resident was not required to have a care plan evaluated.   Care plans had been updated with any changes to health and care.  </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and any changes made on the care plan where goals have not been met.  A number of risk assessments (including interRAI) are completed in preparation for the six-monthly care plan review.  The multidisciplinary (MDT) review includes the RN, caregivers, DT, GP, physiotherapist, resident, relative and any other health professionals involved in the resident’s care.  A record of the MDT review is kept in the resident hard copy file.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Discussion with the clinical manager and RNs identified that the service has access to a wide range of support either through the GP, Ryman specialists, DHB nurse specialists, older person’s service, mental health services,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Relevant staff have completed chemical safety training.  Gloves, aprons, and goggles are available for all care staff and laundry/housekeeping staff and available in sluice rooms and laundry/housekeeping areas. Infection control policies state specific tasks and duties for which protective equipment is to be worn.  Staff were observed to be wearing appropriate personal protective clothing while carrying out their duties. Chemicals are labelled correctly and stored safely throughout the facility.  Safety data sheets and product information is available.  The chemical provider monitors the effectiveness of chemicals and provides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certificate for public use current till 7 October 2021.  A building warrant of fitness will not be issued till construction has been completed.   The care centre is across three levels:  the dementia care unit on level 2, rest home unit on level 3, hospital unit on level 4.  The serviced apartments are across all five levels.   There are lifts between floors.  A keypad code is required to utilise the dementia unit lift.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lead maintenance person and the support maintenance person both work full-time.  The maintenance register is checked daily for repairs and requests and signed off as requests are addressed.  There is a monthly planned maintenance schedule which covers internal and external maintenance, resident equipment checks and calibrations, testing and tagging of electrical equipment.  Resident hot water temperatures are checked, and records demonstrate the temperatures were below 45 degrees Celsius.  Contracted plumbers and electricians are used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space in the rest home and hospital units for safe manoeuvring of hoists within bedrooms and communal areas.   The ensuites are spacious and safely accessible with the use of a hoist as demonstrated on the day of audit.  There is a call bell at the head of each bed space.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separate gardening and grounds team.  Residents are able to access outdoor areas safely or with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entry/exit to the two dementia 20-bed units.  Currently only one unit is occupied as there are only twelve residents.  Each unit has access to safe balcony areas with, planters, seating and shade.  Each unit also has access to safe courtyard areas with raised gardens,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they have sufficient equipment to safely deliver the care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(including the serviced apartments) have full toilet/shower ensuites.  There are adequate numbers of communal toilets located near the communal areas.  Toilets have privacy locks. Toilets in the dementia unit have signs and pictures as well as words. Toilet seats are a different colour in the dementia unit.  Non-slip flooring and handrails are in place. Care staff interviewed confirmed they maintain the resident’s privacy when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with ensuites.  All serviced apartments have a lounge, ensuite and separate bedroom.  All bedrooms and ensuites across the rest home/hospital and dementia units are spacious for the safe use and manoeuvring of mobility aids. In the dementia unit doors to resident’s rooms are painted different colours.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hospital and rest home units have a large open-plan dining area with kitchenette and open plan lounge area.  Seating is arranged to allow large group and small group activities to occur. Both units have a family room and quiet lounge.  All serviced apartments also have their own spacious lounge and kitchenette as well as communal dining areas.  The village centre is on the ground floor with communal areas available to care centre residents including the hairdresser room, beauty room, reflection room, library, movie theatre, gym and pool.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dementia unit has an open-plan living area.  Each living area is spacious with a separate dining area.  The open plan areas allow for quiet areas and group activities.  The hallways and communal areas allow maximum freedom of movement while promoting the safety of residents who are likely to wander.  There are alcoves with memorabilia throughout the units.  There is free access to the safe outdoor courtyards from each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The laundry is located in the service area on the ground floor.  The laundry has an entry and exit door with defined clean/dirty areas.  All linen and personal clothing is laundered on-site.  There is currently a laundry coordinator and one laundry assistant who work fulltime daily.  Staff and shifts will increase as resident numbers grow.  There are large commercial washing machines, sluice machine, delicate machine and dryers.  The clean side has space for folding washing, ironing and a labelling machine.  There is minimal unlabelled/unclaimed clothing. There is a large linen storeroom.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secure area for the storage of cleaning trolleys and chemicals.   There is a team of cleaners who cover seven days a week, five hours a day. Cleaner’s trolleys were well equipped. A chemical dispensing unit is used to refill chemical bottles. All chemical bottles have the correct manufacturer’s labels. Cleaners were observed wearing appropriate protective clothing while carrying out their duties.  Trolleys are stored in locked cleaners’ cupboards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received through resident meetings, results of internal audits and surveys.  The chemical provider conducts monthly quality control checks on the equipment and efficiency of chemicals in the laundry and housekeeping areas.  Residents and relatives were satisfied with the laundry and cleaning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in place to guide staff in managing emergencies and disasters.  Emergency management and fire evacuations drills are included in the mandatory in-service programme.  There is a first aid trained staff member on every shift.  The village has an approved fire evacuation plan dated September 2020.  Fire drills occur six-monthly in April and October.  The village manager has engaged with the local fire stations who perform regular fire drills and practices around the facility to ensure their familiarity with the facility in the event of a fire or emergency.  There is a designated storage room which olds emergency supplies which is centrally located and can be accessed in the event of any emergency situation.  There is a food and water supply to last for at least three days. The service has a generator which is serviced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effective call bell system in all bedrooms, ensuites and communal areas.  The call bells and door alarms are linked to pagers carried by staff.  Calls light up on the main call panel in the nurse’s station. The indicator lights on the outside of the resident room indicates whether the resident requires help, or the nurse is in attendance for privacy reasons.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 and exit to the dementia care unit.  The call points in the dementia unit are specifically designed to disguise the emergency button. There are sensors within the room which alert staff to whether the resident is mobile in the room or is in the bathroom.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are heat pumps in communal areas and residents’ rooms have electric panel heaters.  There are external windows in resident rooms and communal areas with plenty of natural sunlight.  The facility is a smoke free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There is an infection prevention and control responsibility policy that included a chain of responsibility and an infection prevention and control coordinator’s job description.  The infection prevention and control programme is linked into the quality management system.  The infection prevention and control committee meet bi-monthly.  The facility meetings also include a discussion of infection prevention and control matters.  The programme is set out annually from head office and directed via the TeamRyman calendar.  The facility had developed links with the GPs, local laboratory, the infection control and public health departments at the local DHB.  An appointed registered nurse (clinical manager) responsible for infection prevention and control at the facility.  She has been in the role since October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reminded not to visit of they are feeling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coordinator has maintained best practice by attending infection control updates and has attended external infection control officer training in March 2021.  The infection control team is made up of the four-unit coordinators and the clinical manager.  Resident care plans reviewed included comprehensive documentation for any known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resources and support are available when required. Ryman is a member of Bug control.  Infection prevention and control is part of staff orientation and induction.  Hand washing facilities are available throughout the facility and alcohol hand gel is freely available.  All visitors are required to complete an electronic wellness questionnaire on arrival to the facility and contact tracing measures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Policies, procedures and the pandemic plan have been updated to include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 and also during relative/resident meetings.  Staff have completed training around donning and doffing personal protective equipment (PPE), antimicrobials, use and storage of hand sanitizers, and continence.  Training and notices around infections are communicated through the ChattR platform.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TeamRyman.  Effective monitoring is the responsibility of the infection prevention and control coordinator who is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infection report form is completed for each infection.  Data is logged into an electronic system, which gives a monthly infection summary.  This summary is then discussed at the bi-monthly infection prevention and control (IPC) meetings.  All meetings held at William Sanders include discussion on infection prevention control.  The IPC programme is incorporated into the internal audit programme.  Internal audits are completed for hand washing, housekeeping, linen services, and kitchen hygiene.  Infection rates are benchmarked across the organisation.  There is an electronic programme that generates graphs of data which is used to report data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William Sanders opened in October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restraints or enablers on the day of the audit. Restraint is actively minimised.  Staff interviewed were knowledgeable around restraint and enabler use, and associated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in place around restraint minimisation and enablers, falls prevention and analysis,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William Sanders Retirement Village Limited - William Sanders Retirement Village</w:t>
    </w:r>
    <w:bookmarkEnd w:id="58"/>
    <w:r>
      <w:rPr>
        <w:rFonts w:cs="Arial"/>
        <w:sz w:val="16"/>
        <w:szCs w:val="20"/>
      </w:rPr>
      <w:tab/>
      <w:t xml:space="preserve">Date of Audit: </w:t>
    </w:r>
    <w:bookmarkStart w:id="59" w:name="AuditStartDate1"/>
    <w:r>
      <w:rPr>
        <w:rFonts w:cs="Arial"/>
        <w:sz w:val="16"/>
        <w:szCs w:val="20"/>
      </w:rPr>
      <w:t>8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