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Taslin NZ Limited - Hillcrest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Taslin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Hillcrest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July 2021</w:t>
      </w:r>
      <w:bookmarkEnd w:id="7"/>
      <w:r w:rsidRPr="009418D4">
        <w:rPr>
          <w:rFonts w:cs="Arial"/>
        </w:rPr>
        <w:tab/>
        <w:t xml:space="preserve">End date: </w:t>
      </w:r>
      <w:bookmarkStart w:id="8" w:name="AuditEndDate"/>
      <w:r w:rsidR="00A4268A">
        <w:rPr>
          <w:rFonts w:cs="Arial"/>
        </w:rPr>
        <w:t>16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Hillcrest Rest Home is owned by Taslin NZ Limited.  Hillcrest Rest Home provides rest home level care for up to 20 residents.  On the day of the audit there were 15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general practitioner, relatives, staff and management.  </w:t>
      </w:r>
    </w:p>
    <w:p w:rsidRPr="00A4268A">
      <w:pPr>
        <w:spacing w:before="240" w:line="276" w:lineRule="auto"/>
        <w:rPr>
          <w:rFonts w:eastAsia="Calibri"/>
        </w:rPr>
      </w:pPr>
      <w:r w:rsidRPr="00A4268A">
        <w:rPr>
          <w:rFonts w:eastAsia="Calibri"/>
        </w:rPr>
        <w:t xml:space="preserve">Residents and families interviewed were complimentary of the care and support provided.  The owner/manager and clinical nurse manager are well qualified for their roles.  </w:t>
      </w:r>
    </w:p>
    <w:p w:rsidRPr="00A4268A">
      <w:pPr>
        <w:spacing w:before="240" w:line="276" w:lineRule="auto"/>
        <w:rPr>
          <w:rFonts w:eastAsia="Calibri"/>
        </w:rPr>
      </w:pPr>
      <w:r w:rsidRPr="00A4268A">
        <w:rPr>
          <w:rFonts w:eastAsia="Calibri"/>
        </w:rPr>
        <w:t>This audit identified that improvements are required around; medication management and emergency management (water tank).</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Hillcrest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 with a family member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Communication with families is recorded.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Hillcrest Rest Home is implementing a quality and risk management system that supports the provision of clinical care.  Quality management processes are reflected in the businesses plans, goals, objectives and policies.  Quality data is collated and discussed at staff and quality and risk management meetings.  There is a current business plan in place.  Staff document incidents and accidents.  There are human resources policies including recruitment, job descriptions, selection and orientation.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each stage of service provision.  There is an admission package available prior to or on entry to the service.  A registered nurse assesses and reviews each resident’s needs, outcomes and goals.  Care plans demonstrated service integration and included medical notes by the general practitioner and visiting allied health professionals.  There are processes in place to manage medications in line with accepted guidelines.  Senior carers who are responsible for administration of medication complete annual education and medication competencies.  An activities coordinator implements an activities programme for the residents.  The programme includes community visitors, outings and activities that meet the individual and group recreational preferences for the residents.  Residents' food preferences and dietary requirements are identified at admission.  All meals and baking are cooked on site.  Food, fluid, and nutritional needs of residents are provided in line with recognised nutritional guidelines.  Dislikes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in place.  There are documented processes for the management of waste and hazardous substances in place, and incidents are reported in a timely manner.  Resident bedrooms are personalised.  There are sufficient communal shower/toilet facilities.  Residents can freely mobilise within the communal areas with safe access to the outdoors, seating and shade.  Documented policies and procedures for the cleaning and laundry services are implemented with appropriate monitoring systems in place to evaluate the effectiveness of these services.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Hillcrest Rest Home has restraint minimisation and safe practice policies and procedures in place.  There were no residents requiring the use of a restraint or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(clinical nurse manager) working together with the registered nurse, is responsible for coordinating and providing education and training for staff.  The infection control manual outlined the scope of the programme and included a range of policies and guidelines.  The infection control coordinator uses the information obtained through surveillance to determine infection control activities, resources and education needs within the facility. There had been education pertaining to covid and required actions. This included audits of the facility, hand hygiene and surveillance of infection control events and infections.  Staff and residents are offered the annual flu vaccine and the covid vaccine.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8"/>
        <w:gridCol w:w="1280"/>
        <w:gridCol w:w="95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seven staff, including one registered nurse (RN), two healthcare assistants (HCA), one activities coordinator, one administrator, one HR/administrator and one cook confirmed their familiarity with the Code.  Staff have completed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policies and procedures relating to informed consent and advanced directives.  All files reviewed included signed informed consent forms and resuscitation instructions.  Staff interviewed were aware of advanced directives, informed consent and informed consent processes.  General written consents were obtained on admission.  Specific consents sighted were obtained for specific procedures such as influenza vaccine.  There was evidence of discussion with family when the general practitioner (GP) completed a clinically indicated not for resuscitation order where residents were deemed not to be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identified that the service made them aware of the informed consent processes and that appropriate information had been provided to ensure residents and families were actively involved in decision making.  The clinical nurse manager, RN and health care assistants interviewed confirmed verbal consent is obtained when delivering care.  Five long-term rest home resident files were reviewed and had signed admission agreements by residents or their nominated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Rights to access advocacy services and independent advocates is identified for residents.  Advocacy leaflets are available in the facility foyer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  Staff have completed training on advocacy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have been implemented and residents and their family/whānau are provided with information on admission.  Complaint forms are visible at the entrance of the facility.  A complaints register is maintained.  There have been two complaints (March 2021) made since the last audit.  The two complaints were made through the Health and Disability Commissioner (HDC).  The service investigated and completed corrective actions and responded to HDC on 19 March 2021.  At the time of the audit the service had not received a response from HDC.  The complaints are still open.  The residents and family/whānau interviewed were aware of the complaints process and to whom they should direct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owner/manager, clinical nurse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Five residents and two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are signed by staff at commencement of employment.  Residents and family interviewed reported that residents are able to choose to engage in activities and access community resources.  There is an abuse and neglect policy in place and staff have completed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On the day of the audit there were three residents that identified as Māori.  Files of two residents that identified as Māori were reviewed and included a Māori health plan.  The service has established links with local Māori community members who provides advice and guidance on cultural matters.  Staff interviewed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the family members interviewed indicated that they are asked to identify any spiritual, religious and/or cultural beliefs.  The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The managers encourage open communication between staff, family/whānau and residents to promote early identification of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organisation has developed and implemented policies, procedures, and service delivery and clinical processes and systems that ensure there is a quality of service provided.  All residents and family /whanau interviewed praised the staff for the difference the service makes to their life.   Staffing policies include pre-employment, the requirement to attend orientation and ongoing in-service training.  Three monthly staff and quality/management, monthly operation/health and safety and bi-monthly residents meetings are conducted.  Staff interviewed stated that they feel supported by the management team.  Residents and family members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family are informed prior to entry of the scope of services and any items they have to pay for that are not covered by the agreement.  Residents and family members interviewed confirmed that the owner/manager, clinical nurse manager and staff are approachable and available.  Fifteen incident forms reviewed identified family were notified following a resident incident.  The family members interviewed confirmed they are notified of any incidents/accidents.  Families are invited to attend the bi-monthly resident meeting.  The service has policies and procedures available for access to interpreter services for residents (and their family).  If residents or family/whānau have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Rest Home is owned by Taslin NZ Limited who also own Otatara Heights Residential Care.  Hillcrest Rest Home provides care for up to 20 rest home level residents.  On the day of audit there were 15 rest home residents.  There were two residents on mental health contracts, one resident on an ACC contract and one resident on a long-term support chronic health condition contract (LTS-CHC).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governance and quality plan 2019/2021, which is reviewed annually, outlines the purpose, values, scope, philosophy, direction, and goals of the organisation.  The documents described annual and long-term objectives and the associated operational plans.  A sample of the report to the management group showed adequate information to monitor performance is reported, including financial performance, quality data, staffing, emerging risks, and issues.  A full governance review, which includes all managers and both owners, is undertaken on a regular basis with the last one being held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owner/manager who has owned the business since September 2019 and has worked in aged care for 20 years with experience in dealing with mental health residents.  She is supported by a clinical nurse manager who has a post graduate qualification in aged care and has worked in aged care for over 20 years.  The owner/manager and clinical nurse manager are also supported by an RN, administration manager and administrator/HR.  The owner/manager and clinical nurse manager confirmed their knowledge of the sector, regulatory and reporting requirements and maintain currency through regular ongoing education related to the roles they have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manager/owner and clinical nurse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that in the event of her temporary absence the clinical nurse manager or RN fills the role with support from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quality and risk system that reflects the principles of continuous quality improvement.  Data is collected in relation to a variety of quality activities and an internal audit schedule has been completed.  Monthly data is collected on complaints, accidents, incidents, infection control and is provided to staff to read and sign.  Meeting minutes reviewed confirmed regular review and analysis of quality indicators and that related information is reported and discussed at the quality/management, operation/H&amp;S and staff meetings.  Discussions with HCAs confirmed their involvement in the quality programme.  Resident/family meetings occur bi-monthly.  Resident and family satisfaction surveys are completed annually and were undertaken in May 2021.  Both surveys indicated that residents and families were happy with the quality of care and food service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2021 is being completed as per schedule.  Areas of non-compliance identified at audits have been actioned for improvement.  There are policies and procedures implemented to provide assurance that the service is meeting accepted good practice and adhering to relevant standards, including those standards relating to the Health and Disability Services (Safety) Act 2001.  The service has in place a range of policies and procedures to support service delivery that are developed by an external consultant.  Staff interviewed confirmed they are made aware of new/reviewed policies.  Health and safety goals are established and regularly reviewed at the monthly operation/H&amp;S meeting.  Hazard identification forms are completed for any accidents or near misses and an up-to-date hazard register was in place.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Fifteen accident/incident forms for the month of May, June and July 2019 were reviewed.  Accident/incident forms reviewed for three medication errors reported, did not include follow up action/investigation (Link 1.3.12.1).  The clinical nurse manager investigates accidents and near misses and provides a monthly analysis and trends of incident/accidents.  There is a discussion of incidents/accidents at the quality/management, operation/H&amp;S and staff meetings.  Appropriate care and support have been provided by caregivers and RNs post incident.  Discussions with the owner/manager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This includes that the recruitment and staff selection process require that relevant checks be completed to validate the individual’s qualifications, experience, and veracity.  A copy of practising certificates is kept.  Five staff files (one RN, three HCAs and one activities coordinator) were reviewed.  All files include documentation that reflected good employment processes.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2020 has been completed and the plan for 2021 is being implemented.  The owner/manager, clinical nurse manager and RN are able to attend external training, including sessions provided by Hawkes Bay DHB.  Discussions with the HCAs confirmed that ongoing training is encouraged and supported by the service.  There are 11 HCAs in total with four having completed level 4 and one has completed level 3 NZQA National Certificate.  At the time of the audit four HCAs were enrolled to complete level 3.  The RN has completed interRAI training.  The HCAs complete competencies relevant to their role such as medication competencies.  Staff training has included sessions around community participation and supporting residents to live full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are on duty to match needs of different shifts and needs of individual residents.  There are 20 staff in total with eight being shared with Otatara Heights.  The clinical nurse manager and RN work 8 hours on Tuesday and Friday respectively with the owner/manager working on days that the clinical nurse manager and RN are not there.  There is always a manager available on site at Hillcrest Rest Home with the administration manager and owner/maintenance also working on site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administration manager share the on-call cover for any operational needs.  The clinical nurse manager and RN rotate the on-call duties for any clinical issues.  The owner/manager, clinical nurse manager and RN are supported by two HCAs on the morning and afternoon shifts and one HCA on the night shift.  There is always a minimum of one care staff trained in first aid on duty. Interviews with the residents and family members confirmed staffing overall was satisfactory.  The HCAs interviewed stated that they have sufficient staffing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Sensitive resident information is not displayed in a way that can be viewed by other residents or members of the public.  Record entries are legible, dated and signed by the relevant staff member.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resident admissions.  Needs assessments establishing the level of care are required prior to entry to the facility.  There is an information pack provided to all residents and their families on services available.  Residents and or family/whānau are provided with associated information (e.g., information on their rights, the Code, complaints management, advocacy, and the admission agreement).  The owner/manager screens all potential residents prior to entry and records all admission enquires.  Family members and residents interviewed stated that they had received the information pack and had received sufficient information prior to and on entry to the service.  The five long-term admission agreements reviewed align with the expectations in the aged residential care agreement and includes exclusions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ensure exit, discharge or transfer of residents is undertaken in a timely and safe manner.  Planned exits, discharges or transfers are coordinated in collaboration with the resident and family to ensure continuity of care.  The service would transfer residents out that require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There were no residents self-administering on the day of audit.  There was one medication room in the facility that had locked access.  The medication fridge temperature and room temperature are monitored and recorded.  The senior HCAs who administer medications have completed their annual competency assessment.  There is a signed agreement with the local pharmacy and any discrepancies fed back to the pharmacy.  The RN signs a checklist to verify reconciliation of medications.  The facility uses a robotics pack medication management system for the packaging of all tablets.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does not have standing orders.  Eyedrops and other liquid medications were dated on opening as evidenced in the medication trolley and fridge.  The facility utilises an electronic medication management system.  Ten medication profiles were reviewed.  All medication charts reviewed had photo identification.  Six medication charts did not indicate if any allergies were known. All ‘as required’ medication prescribed had indications for use documented by the GP.  Effectiveness of ‘as required’ medication administered is documented. Medication errors are reported through the accident and incident event reporting process.  Three such reported incidents reviewed evidenced no follow up investigation or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kitchen.  All meals and baking are prepared and cooked on site by a cook.  There was one cook who works Monday to Friday 7.00 am to 3.00 pm and a weekend cook who works 7.00 am to 1.00pm.  The cook had commenced two weeks prior to audit and was still completing orientation.  She had previously worked in a commercial food handling role.  To date she had undertaken handwashing and chemical handling and on audit demonstrated a good understanding of safe food handling. There was a tea shift person who works 4.00 pm to 7.00 pm, seven days a week to serve and manage the evening meal.  The main meal of the day is served at lunch time.  There is a four weekly rotating seasonal menu in operation that has been reviewed by the dietitian (June 2021).  A diary records any menu changes.  All food was served directly from the kitchen to residents in the dining room or to their rooms as required.  A tray service is available if required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developed on admission, which identifies their dietary requirements, likes and dislikes.  This profile is reviewed six monthly as part of their care plan review.  Changes to residents’ dietary needs are communicated to the kitchen staff.  Fridge and freezer temperatures are monitored and recorded daily.  End-cooked temperatures are taken and recorded.  Reheating/serving temperatures are checked.  All perishable goods are date labelled as sighted.  A kitchen cleaning schedule is maintained.  The food control plan and verification by Hastings District Council occurred June 2021.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this be necessary.  This includes informing persons and referrers (as applicable) the reasons why the service has been declined.  Management have not had to decline entry to prospective rest home residents.  The reason for declining service entry to residents would be recorded and communicated to the resident/family/whānau and alternative options suggested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the files reviewed, the interRAI assessment tool had been used for all residents admitted under the ARRC agreement.  A suite of assessment tools including, falls assessment, pressure assessment, pain and dietary assessment were used for the residents who were not on the ARRC contract.  A nursing assessment and care plan were completed on admission.  As well as using interRAI assessments, the residents’ files also included a full range of assessments to assist with resident care planning.  Files reviewed identified that risk assessments have been completed on admission and reviewed six monthly as part of the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LTCPs reviewed were resident-focused and individualised.  Care plans documented all the required supports/needs, goals and interventions to reflect the resident’s current health status.  Long-term care plans evidenced resident and/or relative involvement in the development of care plans.  Staff interviewed reported they found the plans easy to follow.  Short-term care plans (STCP) were used for short-term needs and these were either resolved or transferred to the LTCP.  STCPs were used for infections, wounds, use of antibiotics and acute conditions e.g. fractured hip where there is an acute change with a short term outcome.  Activities care plans were completed for all files reviewed.  Resident files demonstrated service integration and evidence of allied health care professionals involved in the care of the resident such as mental health services for the older person team, podiatrist, occupational therapist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HCAs follow the care plan and report progress against the care plan each shift.  If external nursing or allied health advice is required, the RN will initiate a referral (e.g.: to the wound care nurse specialist or the mental health team).  If external medical advice is required, this will be actioned by the GP.  There is evidence that family members were notified of any changes to their relative’s health including (but not limited to) accident/incidents, infections, GP visits and changes in medications.  Discussions with families and notifications are documented on the family contact form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Staff have access to sufficient medical supplies (e.g., dressings).  There was one resident with a wound on the day of the audit.  Access to specialist advice and support is available as needed on referral, including physiotherapy, mental health services and dietitian.  Interviews with the RN and HCAs demonstrated understanding of the individualised needs of residents.  Monitoring forms reviewed included two hourly turning charts, monthly weight and vital sign monitoring, food and fluid charts and behaviour charts.  Residents and family members interviewed expressed their satisfaction with the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 qualified diversional therapist) ten hours per week, to coordinate and implement an afternoon activities programme.  The programme is flexible and meets the resident preferences as discussed at the monthly resident meetings.  Group activities are provided in the lounge /dining area, and outdoors in the gardens when weather permits.  Individual activities are provided in resident’s rooms or wherever applicable.  On the day of the audit residents were observed being actively involved with a variety of activities including bingo and listening to an entertainer.  The group activities programme is developed monthly and a copy of the programme is available in the lounge and on the noticeboard.  The group programme includes residents being involved within the community with at least a weekly outing to play bowls, pool and/or ten pin bowling, lunch at McDonalds and visits to meet with residents from their sister home are among a number of activities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exercise sessions (balloon games, golf, walks, magnetic darts) followed by newspaper reading and an activity.  Activities such as creative writing, word builders, quizzes, and crafts follow a chosen topic for the month, for example seasons, colours, animals/birds/nature.  The service uses a van that is shared with their sister home and also hires a taxi van for outings.  The resident who is funded by ACC is under 65, and has an individual activity plan including individualised interests and stimulating activities.  The resident goes out keeping involved with friends and activities or otherwise prefers to remain in his unit watching TV/ listening to music or reading the newspaper which is delivered to him.  A resident activity assessment is completed on admission.  Each resident has an individual activity plan which is reviewed six monthly.  Monthly activity progress notes were evidenced in the five resident files sampled.  The service receives feedback on activities through one-on-one feedback, resident’s meetings and surveys.  Residents and family members interviewed spoke positively of the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evaluates initial care plans within three weeks of admission and a LTCP is developed.   Written evaluations identified if the desired goals had been met or not and were detailed.  The GP reviews the residents at least three monthly or earlier.  Ongoing nursing evaluations occur as indicated and are documented within the progress notes.  The RN reviews care staff progress notes.  Short-term care plans were evident for the care and treatment of residents.  Family contact forms reviewed reflect that the family are informed of GP reviews (their input is invited) and resident incidents and progress.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medical and non-medical services.  The RN interviewed confirmed that residents, family and the resident’s GP are informed of any referrals made directly to other nursing services or the needs assessment team.  Referrals to medical specialists are made by the GP in consultation with the RN.  Referral documentation is maintained on residents’ files and was evident in resident files sampled.  Relatives and residents interviewed stated they are informed of referrals required to other services and are provided with options and choice of service provider where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waste and hazardous substances management to ensure incidents are reported in a timely manner.  Residents, staff and visitors are protected from harm through safe practice.  Chemicals are labelled with manufacturer labels.  There are designated areas for storage of chemicals and chemicals are stored securely in an outside locked storage room.  Product use information was available.  Protective equipment including gloves, aprons, and goggles are available for use by staff and was observed being worn by staff while they were carrying out their duties on the day of audit.  Staff interviewed were familiar with accepted waste management principles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January 2022.  Staff complete a general maintenance form for repairs and maintenance requests.  Essential contractors are available 24 hours.  The owner oversees reactive and planned maintenance.  The planned maintenance schedule includes electrical testing and tagging of equipment and annual calibrations.  Hot water temperatures checks are conducted monthly.  Hot water is provided at 45 degrees maximum in resident areas.  There is a large communal lounge and dining room and a smaller sitting area for residents and families to enjoy.  All bedrooms are personalised.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toilets adjacent to the bedrooms, lounge and dining areas for easy access.  There is sufficient space for residents to safely mobilise using mobility aids and communal areas are easily accessible.  There is easy access to the outdoors.  The exterior by the front entrance is well maintained with safe paving, gardens and car parking, the rear entrance had an outdoor deck with shaded seating.  There is a designated outdoor resident smoking area.  Interviews with the RN and the HCAs confirmed that there was adequate equipment including a sling hoist, mobility aids and wheelchairs to carry out the cares according to the resident’s care plans.     Extensive refurbishment/decoration has occurred over the last eighteen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are in two wings.  One bedroom and the two flats have ensuites.  All other resident rooms except for two have hand basins.  There are adequate numbers of communal shower rooms and toilets.  There are privacy locks and labels on the doors.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enough to meet the assessed needs of residents.  Residents and families are encouraged to personalise their rooms as viewed on the day of audit.  There is adequate room for residents to safely manoeuvre using mobility aids.  Healthcare assistants interviewed reported that rooms have sufficient space to allow cares to take place.  Resident rooms are refurbished as they become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and small seating areas which are used for activities, recreation and dining activities.  The dining room is spacious and located directly off the kitchen/server area and opens to the outdoor decking area.  All areas are easily accessible for residents.  The furnishings and seating are appropriate.  Residents were seen to be moving freely both with and without assistance throughout the audit.  Residents interviewed reported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outdoor laundry area, with a defined clean/dirty area where all linen and personal clothing is laundered by staff.  A dedicated cleaner/laundry person undertakes laundry and cleaning tasks four days a week 9.30am to 1.00pm.  Healthcare assistants undertake the duties for the balance of the week. The laundry equipment is serviced regularly.  Chemicals for laundry and cleaning are purchased from an approved supplier.  Staff attend infection prevention and control education and there is appropriate protective clothing available.  The effectiveness of the cleaning and laundry processes are monitored through internal audits, resident meetings and surveys.  Manufacturers’ data safety charts are available for reference if needed.  Residents and family interviewed reported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and business continuity plan in place.  There is a staff member with a current first aid certificate on duty 24/7.  There is an approved fire evacuation scheme in place.  Fire safety training has been provided.  Fire evacuation drills have been conducted six monthly, last occurring on 1 February 2021.  Civil defence and first aid kits are available and are checked six monthly.  Sufficient dry food are stored for emergency use and alternative heating and cooking facilities (gas hobs in the kitchen)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installed a 900-litre water tank to provide sufficient water supply for 10 litres per person for 3 days.  Emergency lighting is installed and available for up to four to eight hours (this was upgraded in 2021).  A call bell light over each door and a panel alerts staff to the area in which residents require assistance.  Visitors and contractors sign in at reception when visiting.  Security checks are conducted each night by staff.  The front door is locked, and a keypad code is prominently displayed for residents and visitors to exit freely.  The front door is connected to the fire system.  There is a resident register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The facility is heated by a mix of central heating and wall panels.  Windows and ranch sliders open for ventilation.  The general living areas and resident rooms were appropriately heated and ventilated on the day of audit.  Residents and family interviewed stated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Rest Home has an established infection control programme with content and detail that is appropriate for the size, complexity and degree of risk associated with the service.  The clinical nurse manager and owner/manager share the infection control responsibilities.  The clinical nurse manager has a signed position description for the role of infection control coordinator.  The infection control coordinator provides a report of all infection events to staff and operations meetings.  The infection control programme is reviewed annually.  Visitors are asked not to visit if they have been unwell.  Influenza vaccines and covid vaccines have been offered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Covid-19 vaccinations were booked to occur the week following audit.  There are hand sanitisers throughout the facility and adequate supplies of personal protective equipment.  There have been no outbreaks since the previous audit.  Additional supplies of PPE equipment were readily available from the store at the local sister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(clinical nurse manager).  The infection control coordinator has maintained current knowledge of infection prevention and control.  The infection control coordinator has access to infection control personnel within the district health board, regional health, laboratory services and the GP who monitors the use of antibiotics.  The DHB infection control (IC) nurse specialist had been involved with providing information on covid and also with training staff.  Along with 1:1 meetings with the IC nurse specialist, infection control coordinator and RN had had zoom meetings with DHB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clinical nurse manager and owner/manager with information from a number of sources.  The service has worked with the Hawkes Bay Navigator team and had lodged a pandemic plan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in the past year by the IC nurse specialist from HBDHB.  Staff receive education on orientation and one on one training as required.  Resident education occurs as part of providing daily cares and at resident meetings such as use of sanitisers and hand 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monthly, identifies trends and uses the information to initiate quality activities within the facility including training needs.  The RN and HCAs interviewed were aware of infection rates and infection control practises.  Systems are in place that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Rest Home has restraint minimisation and safe practice policies and procedures in place.  The restraint policy includes the definitions of restraint and enablers, which is congruent with the definitions in NZS 8134.0.  On the day of the audit there were no residents requiring the use of a restraint or enabler.  Staff received training on restraint minimisation and challenging behaviour management in 2021.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4"/>
        <w:gridCol w:w="1280"/>
        <w:gridCol w:w="4260"/>
        <w:gridCol w:w="2808"/>
        <w:gridCol w:w="1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the documentation of allergies/or of nil known allergies on the medication chart and the process of reporting medication errors through the accident and incident reporting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ten medication charts reviewed had no record of allergies known or not known.</w:t>
            </w:r>
          </w:p>
          <w:p w:rsidR="00EB7645" w:rsidRPr="00BE00C7" w:rsidP="00BE00C7">
            <w:pPr>
              <w:pStyle w:val="OutcomeDescription"/>
              <w:spacing w:before="120" w:after="120"/>
              <w:rPr>
                <w:rFonts w:cs="Arial"/>
                <w:b w:val="0"/>
                <w:lang w:eastAsia="en-NZ"/>
              </w:rPr>
            </w:pPr>
            <w:r w:rsidRPr="00BE00C7">
              <w:rPr>
                <w:rFonts w:cs="Arial"/>
                <w:b w:val="0"/>
                <w:lang w:eastAsia="en-NZ"/>
              </w:rPr>
              <w:t>ii). Three medication errors reported via the accident and incident reporting system evidenced no follow up action/investigation or corrective 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 charts include relevant information such as allergies.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any medication errors are followed through with an investigation and outcome.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and business continuity plan.  Civil defence and first aid kits are available and are checked six monthly.  Sufficient dry food are stored for emergency use and alternative heating and cooking facilities (gas hobs in the kitchen) are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installed a 900-litre water tank however at the time of the audit the water tank was empty and needs to be put on a platform to enable the tap to be fully accessed.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water tank is filled and put on a platform so that the tap can be accessed.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Taslin NZ Limited - Hillcrest Rest Home</w:t>
    </w:r>
    <w:bookmarkEnd w:id="58"/>
    <w:r>
      <w:rPr>
        <w:rFonts w:cs="Arial"/>
        <w:sz w:val="16"/>
        <w:szCs w:val="20"/>
      </w:rPr>
      <w:tab/>
      <w:t xml:space="preserve">Date of Audit: </w:t>
    </w:r>
    <w:bookmarkStart w:id="59" w:name="AuditStartDate1"/>
    <w:r>
      <w:rPr>
        <w:rFonts w:cs="Arial"/>
        <w:sz w:val="16"/>
        <w:szCs w:val="20"/>
      </w:rPr>
      <w:t>16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