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Windsor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Windsor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2021</w:t>
      </w:r>
      <w:bookmarkEnd w:id="7"/>
      <w:r w:rsidRPr="009418D4">
        <w:rPr>
          <w:rFonts w:cs="Arial"/>
        </w:rPr>
        <w:tab/>
        <w:t xml:space="preserve">End date: </w:t>
      </w:r>
      <w:bookmarkStart w:id="8" w:name="AuditEndDate"/>
      <w:r w:rsidR="00A4268A">
        <w:rPr>
          <w:rFonts w:cs="Arial"/>
        </w:rPr>
        <w:t>29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Windsor Court is owned and operated by Radius Residential Care Limited.  The service provides care for up to 76 residents requiring rest home, hospital or dementia level care.  On the day of the audit, there were 64 residents.  Currenting there is an acting facility manager (regional manager) who is supported by an experienced clinical nurse manager.   A Radius regional manager and a clinical nurse leader support the management team.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nurse practitioner.  </w:t>
      </w:r>
    </w:p>
    <w:p w:rsidRPr="00A4268A">
      <w:pPr>
        <w:spacing w:before="240" w:line="276" w:lineRule="auto"/>
        <w:rPr>
          <w:rFonts w:eastAsia="Calibri"/>
        </w:rPr>
      </w:pPr>
      <w:r w:rsidRPr="00A4268A">
        <w:rPr>
          <w:rFonts w:eastAsia="Calibri"/>
        </w:rPr>
        <w:t xml:space="preserve">The residents, relatives and general practitioner spoke positively of the care and service provided at Radius Windsor Court. </w:t>
      </w:r>
    </w:p>
    <w:p w:rsidRPr="00A4268A">
      <w:pPr>
        <w:spacing w:before="240" w:line="276" w:lineRule="auto"/>
        <w:rPr>
          <w:rFonts w:eastAsia="Calibri"/>
        </w:rPr>
      </w:pPr>
      <w:r w:rsidRPr="00A4268A">
        <w:rPr>
          <w:rFonts w:eastAsia="Calibri"/>
        </w:rPr>
        <w:t xml:space="preserve">This audit has identified an area for improvement around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 addition to a Māori health plan for the organisation, there is a Māori care plan in place for each resident who identifies as Māori.   </w:t>
      </w:r>
    </w:p>
    <w:p w:rsidRPr="00A4268A">
      <w:pPr>
        <w:spacing w:before="240" w:line="276" w:lineRule="auto"/>
        <w:rPr>
          <w:rFonts w:eastAsia="Calibri"/>
        </w:rPr>
      </w:pPr>
      <w:r w:rsidRPr="00A4268A">
        <w:rPr>
          <w:rFonts w:eastAsia="Calibri"/>
        </w:rPr>
        <w:t>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 and observed during the audit.</w:t>
      </w:r>
    </w:p>
    <w:p w:rsidRPr="00A4268A">
      <w:pPr>
        <w:spacing w:before="240" w:line="276" w:lineRule="auto"/>
        <w:rPr>
          <w:rFonts w:eastAsia="Calibri"/>
        </w:rPr>
      </w:pPr>
      <w:r w:rsidRPr="00A4268A">
        <w:rPr>
          <w:rFonts w:eastAsia="Calibri"/>
        </w:rPr>
        <w:t>There is an implemented system for the management of complaints, which meets guidelines established by the Health and Disability Commissioner.  Complaints received are managed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 acting facility manager and clinical nurse manager are responsible for the day-to-day operations.  Goals are documented for the service with evidence of regular reviews.  A quality and risk management programme are embedded into practice.  Corrective action plans are implemented and evaluated where opportunities for improvements are identified.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specific to the role that they are undertaking.  </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welcome pack for potential residents and family members.   The registered nurses’ complete assessments, care plans and evaluations using the eCase electronic system.  Residents/relatives are involved in planning and evaluating care.  Service delivery plans demonstrate service integration and allied health professionals involved in the care of residents.  Care plans are evaluated six monthly or more frequently when clinically indicated.  </w:t>
      </w:r>
    </w:p>
    <w:p w:rsidRPr="00A4268A" w:rsidP="00621629">
      <w:pPr>
        <w:spacing w:before="240" w:line="276" w:lineRule="auto"/>
        <w:rPr>
          <w:rFonts w:eastAsia="Calibri"/>
        </w:rPr>
      </w:pPr>
      <w:r w:rsidRPr="00A4268A">
        <w:rPr>
          <w:rFonts w:eastAsia="Calibri"/>
        </w:rPr>
        <w:t xml:space="preserve">The activities team provide an activities programme that meets the physical and cognitive abilities of the residents.  The programme includes outings, volunteers and community visitors.  Each resident has an individualised plan.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The general practitioner/nurse practitioner reviews medication charts at least three-monthly. </w:t>
      </w:r>
    </w:p>
    <w:p w:rsidRPr="00A4268A" w:rsidP="00621629">
      <w:pPr>
        <w:spacing w:before="240" w:line="276" w:lineRule="auto"/>
        <w:rPr>
          <w:rFonts w:eastAsia="Calibri"/>
        </w:rPr>
      </w:pPr>
      <w:r w:rsidRPr="00A4268A">
        <w:rPr>
          <w:rFonts w:eastAsia="Calibri"/>
        </w:rPr>
        <w:t xml:space="preserve">Meals are prepared on site.  Individual and special dietary needs are catered for.  Nutritional snacks are available 24 hours. Residents interviewed responded favourably regarding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system in place.  Chemicals are stored safely throughout the facility.  There is a mix of ensuites, single or shared and communal toilets/showers.  Internal communal lounges and dining rooms are easily accessible.  External areas are safe and well maintained with shade and seating available.  The dementia unit’s outdoor garden and walking pathway is safely fenced.  Cleaning and laundry services are monitored through the internal auditing system.  Systems and supplies are in place for essential, emergency and security services.  There is a qualified first aider on each shift.   </w:t>
      </w:r>
    </w:p>
    <w:p w:rsidRPr="00A4268A">
      <w:pPr>
        <w:spacing w:before="240" w:line="276" w:lineRule="auto"/>
        <w:rPr>
          <w:rFonts w:eastAsia="Calibri"/>
        </w:rPr>
      </w:pPr>
      <w:r w:rsidRPr="00A4268A">
        <w:rPr>
          <w:rFonts w:eastAsia="Calibri"/>
        </w:rPr>
        <w:t>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has a restraint free philosophy.  If restraint is used, it is a last resort.  The restraint coordinator/clinical nurse manager is responsible for ensuring restraint minimisation policies and procedures are adhered to, and for providing restraint minimisation education for staff.  There were three residents voluntarily using enablers and no residents using restraint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nurse manager is the infection control coordinator who is responsible for the collation of infections, orientation and education for staff.  There is a suite of infection control policies and guidelines to support practice.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0"/>
        <w:gridCol w:w="1280"/>
        <w:gridCol w:w="98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Windsor Court policies and procedures are being implemented that align with the requirements of the Health and Disability Commissioner’s (HDC)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fourteen staff (six healthcare assistants [HCAs] who work during the AM and PM shifts in the rest home/hospital wings and dementia wing), two registered nurses (RNs), two activities coordinators, two maintenance staff, one housekeeping/laundry staff, one kitchen manager) confirmed their understanding of the Code and could describe its application to their job role and responsibilities.  Six residents (five rest home and one hospital) and four relatives (one rest home, one hospital and two dementia) interviewed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were reviewed, (three rest home including one respite care, three hospital level and two dementia care including one resident under long-term chronic health condition – LTS-CHC).   Informed consent processes had been discussed with residents (as appropriate) and families on admission.  Written general consents and specific consents (e.g. vaccine consents) were sighted on the electronic files.  Advance care plans were available on the electronic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discussion with family when the GP completed a clinically indicated ‘not for resuscitation’ order where residents were deemed not to be competent.  The EPOA had been activated in the files reviewed of the two dementia care residents and in the file of one hospital resident.  The registered nurses and healthcare assistants confirmed verbal consent is obtained when delivering care.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a complaints policy that describes the management of complaints process.  There are complaint forms available that are visible and located next to a suggestions box.  Information about complaints is provided on admission.  Staff interviewed understood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complaints’ register that is being managed by the (acting) facility manager.  Eight complaints were lodged in 2020 and five have been lodged (year-to-date) in 2021.  Three complaints have been lodged through HDC in 2021 and one has been lodged through the DHB in 2021.  One of the three HDC complaints is closed and three remain under investigation by HDC.  One explanation provided during the audit is a fairly recent high RN staff turnover (60% for June 2020 – June 2021) with six RN resignations).  As a result of these resignations, a number of recruitment efforts were implemented.  The acting facility manager reported that they are currently fully staffed with RNs; however, three additional RNs have been recruited and the acting facility manager is awaiting their work visas.</w:t>
            </w:r>
          </w:p>
          <w:p w:rsidR="00EB7645" w:rsidRPr="00BE00C7" w:rsidP="00BE00C7">
            <w:pPr>
              <w:pStyle w:val="OutcomeDescription"/>
              <w:spacing w:before="120" w:after="120"/>
              <w:rPr>
                <w:rFonts w:cs="Arial"/>
                <w:b w:val="0"/>
                <w:lang w:eastAsia="en-NZ"/>
              </w:rPr>
            </w:pPr>
            <w:r w:rsidRPr="00BE00C7">
              <w:rPr>
                <w:rFonts w:cs="Arial"/>
                <w:b w:val="0"/>
                <w:lang w:eastAsia="en-NZ"/>
              </w:rPr>
              <w:t>Other corrective actions implemented as a result of the HDC complaints lodged include the following: clinical staff have received additional training around communication with family in relation to acute medical events; clinical staff have received additional training in identifying the signs and symptoms of acute deterioration; and clinical staff have received additional training in responding to the unresponsive resident/how to respond in a medical emergency.  This training is scheduled to continue in August and November 2021 and January 2022.  Other corrective actions implemented have included a restructure of kitchen staff with the employment of a trained chef, and the regular (quarterly) completion of resident satisfaction food surveys to ensure residents are satisfied with their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reflected their understanding of the complaints process.  They confirmed that any issues identified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explaining the Code.  Large print posters of the Code are displayed throughout the facility.  Either the facility manager or clinical nurse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b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organisation’s Māori health plan references regional Māori health care providers and provides recognition of Māori values and beliefs.  Family/whānau involvement is encouraged in assessment and care planning, and visiting is encouraged.  Links are established with disability and other community representative groups as requested by the resident/family.  For those residents who identify as Māori, cultural needs are addressed in their resident-specific Māori care plan.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five residents at the facility identified as Māori.  One resident was interviewed who confirmed that her cultural needs are being met by the service.  Links to her whanau were evident in her Māori care plan and were expressed during the interview.  Residents who identify as Māori were observed greeting others in Te Reo during the audit.  Music playing was another example of a regular cultural event, led by a Māori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education is an annual topic that staff are required to complete.  The 2020 resident satisfaction survey identified that the resident’s cultural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resident’s care plan.  Six monthly multi-disciplinary team meetings occur to assess if needs are being met.  Families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The orientation and employee agreement provided to staff on induction includes standards of conduct.  The monthly staff meetings include discussions around professional boundaries and concerns as they arise.  The RNs supervise staff to ensure professional practice is upheld.  The abuse and neglect processes cover harassment and exploitation.  Residents interviewed stated that the staff treated them with respect.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accepted best practice.  The content of policy and procedures are sufficiently detailed to allow effective implementation by staff.  There is a minimum of two RNs onsite during the morning and afternoon shifts, and one RN is onsite during the night shift.  A general practitioner (GP) or nurse practitioner (NP) is onsite three days per week with on-call cover provided 24/7.</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training programme is implemented as per the training plan.  Additional training is provided for the RNs from the DHB.  HCAs are encouraged to complete a qualification through the Careerforce programme.  Education is provided three different ways; through in-service training, attendance at a scheduled full day training day and reading relevant education materials and completing a competency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analysis of quality data results (e.g., falls, infections, pressure injuries, complaints received) is reported each month and includes an analysis of this data.  Residents’ falls are analysed with input provided by a physiotherapist who is available two days a week (16 hours).  Staff are kept informed regarding at-risk residents through the eCase electronic programme, at staff handovers, and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latest resident satisfaction survey (June 2020) results indicated that 90% of residents are satisfied or very satisfied with the services they are receiving and would recommend Radius Windsor Court to a family member or friend.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15 adverse events reviewed met this requirement.  Family members interviewed confirmed they are notified following a change of health status of their family member and/or if their family member is involved in an adverse event.  There is an interpreter policy in place and contact details of interpreters are available.  At the time of the audit, there were no residents who were unable to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Windsor Court is a Radius aged care facility located in the rural town of Ohaupo.  The facility is certified to provide rest home, hospital (medical and geriatric) and dementia levels of care for up to 76 residents.  There are 20 dementia beds in a secure dementia unit.  The remaining beds include 8 dedicated rest home beds and 48 dual-purpose (rest home/hospital) beds.  On the day of the audit there were 64 residents (28 rest home, 21 hospital, and 15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2021/2022 annual business plan for Radius Windsor Court links to the organisation’s vision and values.  Annual goals reflect regular (quarterly) reviews that are forwarded to the regional manager.  Results are communicated to staff in the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acting facility manager is a registered nurse whose original role is the Radius regional manager for this facility.  She holds a master’s degree in Nursing and has eight years of aged care experience.  She has been in an acting role as facility manager at Radius Windsor Court since June 2021.  Interviews for a suitable replacement were in process at the time of the audit.  Plans are in place to recruit a facility manager who holds a current practising certificate in nursing.  The CNM has been in his role for 15 months.  He has worked in aged care for 11 years, with 4 of the 11 years as a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acting facility manager and CNM have maintained at least eight hours of professional development activities related to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or regional manager covers during the absence of the facility manager, which was the situation during this audit with the regional manager working as the acting facility manager until a suitable replacement is found.  Additional support is provided by the Radius national quality manager and the Radius eCase coordinator, both who were available during this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including the national quality manager, and staff reflected their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three-monthly.  Minutes are maintained.  Annual resident and relative surveys are completed with results communicated to residents and staff.  The last survey was completed in June 2020 (sample size 25 residents and family).  Survey results reflect overall satisfaction.  Residents feel cared for and were reported as enjoying the laughter and family atmosphere.  Corrective action plans were implemented to address two areas of concern (activities programme, food services).  Results were communicated to residents and staff, evidenced in the applicable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designed to be monitored against contractual and health and disability standards.  There are clear guidelines and templates for reporting.  The facility has implemented established processes to collect, analyse and evaluate data, which is utilised for service improvements.  Internal audits are being completed as per the internal audit schedule.  Corrective actions are implemented where scores reflect opportunities for improvements (below 95% threshold).  The internal audit is then repeated every eight weeks, to evidence the effectiveness of the corrective actions implemented, until the internal audit scores 95% or higher.  Quality results are communicated to staff across the variety of meetings scheduled.  Meeting minutes are retained in the staff room for staff to read and sign if they are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A health and safety representative who is fairly new to her role was interviewed.  She is scheduled to attend external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Staff training begins during their orientation and continues annually.  Contractors are orientated to health and safety processes by the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intentional rounding, sensor mats, post falls reviews and individual interventions.  Physiotherapy input is provided for residents who are at high risk of falling (e.g., two or more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forms (witnessed and unwitnessed falls, pressure injuries, episodes of challenging behaviours) identified that the electronic accident/incident forms are fully completed and include follow-up by a registered nurse.  Families/EPOA are kept informed.  Missing was consistent evidence of neurological observations being recorded as per Radius protocol for four of eleven unwitnessed falls (link 1.3.6.1).  The clinical manager signs off on all adverse events which indicated that the event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was able to identify situations that would be reported to statutory authorities including stage three and unstageable pressure injuries, and one police investigation.  There has been one gastro-intestinal outbreak since the previous audit with the DHB and public health authorities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clinical nurse manager, one staff RN, three HCAs, one cleaner, one kitchen manager and one activities coordinator) included a comprehensive recruitment process which included reference checking, signed employment contracts and job descriptions, police checks,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Training is provided either as an in-service, attendance at a study day, or if the staff member is unable to attend either, is provided with written information and then completes a competency questionnaire.  There is an attendance register for each training session and an individual staff member record of training.  Education is linked to staff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Three of nine registered nurses (including the acting facility manager and clinical nurse manager)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are 15 HCAs that work in the dementia unit.  All 15 have completed their required dementia Careerforce (or equivalent) qualification.  Out of a total of twenty-eight HCAs, nine have completed their level four Careerforce qualification (or its equivalent), eight have completed a level three qualification and three have completed a level two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acting facility manager and CNM work full time at Radius Windsor Court (Monday – Friday).  Interviews are currently underway to fill the facility manager’s role, which is intended to be an RN with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RNs:  There are two RNs on the AM and PM shifts and one RN on the night shift.  When two RNs are rostered, they are each responsible for two wings.  One is rostered for the dementia wing (15 residents) and one rest home/hospital wing (6 rest home and 5 hospital residents) and one is rostered for the other two rest home/hospital wings (22 rest home and 16 hospital).  Three RN positions are in the process of being filled.  The acting facility manager reported that this will put their staffing mix above what is budgeted and will assist in covering staff absences.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Sunshine (dementia):  The morning and afternoon shifts are covered by two long (eight hour) HCAs, and the night shift is covered by one long HCA.  </w:t>
            </w:r>
          </w:p>
          <w:p w:rsidR="00EB7645" w:rsidRPr="00BE00C7" w:rsidP="00BE00C7">
            <w:pPr>
              <w:pStyle w:val="OutcomeDescription"/>
              <w:spacing w:before="120" w:after="120"/>
              <w:rPr>
                <w:rFonts w:cs="Arial"/>
                <w:b w:val="0"/>
                <w:lang w:eastAsia="en-NZ"/>
              </w:rPr>
            </w:pPr>
            <w:r w:rsidRPr="00BE00C7">
              <w:rPr>
                <w:rFonts w:cs="Arial"/>
                <w:b w:val="0"/>
                <w:lang w:eastAsia="en-NZ"/>
              </w:rPr>
              <w:t>Rest home/hospital wings: Five HCAs (four long and one short (0700 - 1300) are rostered on the AM shift, four long and two short (1500 - 2130) are rostered on the PM shift and two (long) HCAs are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the residents interviewed.  Staff reported that overall, the staffing levels are satisfactory and that the managers provide good support.  Residents and family members interviewed reported there are sufficient staff numbers.  Agency staff is used as needed and is kept to a minimum.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Electronic resident files (e-case) demonstrate service integration.  Resident files are individually password protected and include the service users name, designation and time of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There is specific information available to families of dementia care residents.  The admission agreements reviewed meet the requirements of the ARCC.  Exclusions from the service are included in the admission agreement.  Admission agreements for long-term residents were signed and dated.   The respite care resident had signed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and the relatives.   The service ensures appropriate transfer of information occurs.  Relatives interviewed stated they are kept well informed and involved in any referrals for treatment options.    Residents in hospital or on social leave are identified and monitored through the eCase resident database.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Medications were stored safely in the main medication room and the medication cupboard in the dementia unit.  Registered nurses and level 4 HCAs administer medications and have completed annual medication competency and education.   The RNs have syringe driver competency.  Regular medications are dispensed in robotic rolls with as required medications in bottles/packets.  The RN on duty completes a documented medication reconciliation for medications delivered.   There were three self-medicating residents with completed medication competencies. There is a hospital stock of medications available.  Telephone orders are used and signed by the NP/GP at the next visit.   The medication fridge and medication room air temperature are monitored and recorded daily with both within the acceptable temperature range.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(paper-based) were reviewed (six hospital, six rest home and four dementia care) and met prescribing requirements. The allergy status and photo identification were on all medication charts.  ‘As required’ medications had prescribed indications for use.   The effectiveness of as required medications were documented in progress notes.  The Radius group are awaiting the implementation of an electronic medication system linked to eCase with an expected roll out across facilities in September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kitchen manager (interviewed) works 8am to 4.30pm Monday to Friday and there is a qualified chef for the weekends.  They are supported by morning and afternoon kitchenhands.  All kitchen staff have current food safety certificates.   The four weekly winter menu has been reviewed by a dietitian April 2021.  There are two meal options for the main meal.  The kitchen manager receives dietary information for all new residents and notified of any resident dietary requirements or weight loss.  The chef meets with new residents.  Special diets are accommodated and include pureed meals using Pure Foods and diabetic meals.  Food allergies and dislikes are accommodated.   Meals are served from the kitchen adjacent to the main dining room.  Special equipment such as lipped plates is available. Meals may be served in rooms at resident requests.  There is a satellite kitchen in the dementia unit.  There are nutritional snacks regularly delivered and available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 food control plan that expires 31 March 2022.  The service uses an electronic tablet to record daily fridge, freezer, end cooked foods, inward goods and dishwasher rinse and wash temperatures.  Internal audits are implemented to monitor performance.  Residents and family members interviewed were happy with the meals and home baking provided.  Residents and relatives have the opportunity to feedback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GP medical notes and allied health input is used to develop the initial interim care plan within 24 hours.  Appropriate assessment tools have been completed on the eCase and reviewed at least six monthly or when there was a change to a resident’s health condition.  Behaviour assessments had been completed in the two-dementia level of care residents.  Electronic care plans are developed on the outcomes of these assessments.  An activity assessment is also completed for all new residents.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on the eCase described the support required to meet the residents’ goals as identified by the ongoing assessment process.  The long-term care plans reflected the outcomes of risk assessment and interRAI assessments.  There were care plans developed for specific medical conditions such as diabetes and risk plans, pain management plans and behaviour management plans for residents with dementia and behaviours of concern.  Residents and their family/whānau confirm they are involved in the care planning and review process.  The electronic progress notes evidence resident/relative involvement in care planning and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involvement was linked to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NP or GP consultation.  Registered nurses interviewed stated that they notify family members about any changes in their relative’s health status including accidents/incidents, infections, GP visits, appointments, medication changes and transfers to hospital.  Family interviewed confirmed this.  Care plans had been updated as residents’ needs changed, however not all interventions had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assessments, dressing plans, photos and evaluations were completed on the electronic system for 18 residents including skin conditions, five chronic venous ulcers and eight pressure injuries.  There were two stage 2 (hospital level) and one unstageable pressure injury (dementia care) that were facility acquired.  There were five community acquired stage 3 pressure injuries (two hospital residents).  There was sufficient pressure relieving devices available including air alternating mattresses, foam booties and cushions.  Monitoring charts evidencing two hourly repositioning as instructed on the work logs.   Care plans describe pressure injuries interventions for residents at risk and with pressure injuries.  The wound nurse specialist had been involved in the wound care of pressure injuries and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by the RN for progress against short term needs and supports.  Monitoring charts include bowel charts, blood pressure, weight charts, blood sugar levels, food and fluid charts, fluid balance charts, re-positioning  charts, behaviour charts and pain monitoring.  Neurological observations are completed for unwitnessed falls or falls where residents hit their heads, however not all neurological observations reviewed were completed as per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one in the rest home and hospital and one who works in the dementia unit Monday to Friday from 7.30 – 3.30pm and they work alternate Saturdays.  On Sundays the HCAs coordinate set activities on the programme and are involved in one-on-one time.  There are plentiful resources.  The activity coordinator in the dementia unit is enrolled to complete diversional therapy (DT) papers.  There is communication and liaison with DTs at other regional Radius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activity programmes for the rest home/hospital and the dementia care unit.  The weekly programme is displayed in communal areas and in resident rooms.  Residents have the choice of a variety of activities, in which to participate and every effort is made to ensure activities are meaningful and tailored to residents’ needs.  These include (but not limited to); exercises and strong and stable sessions with the physio, walks, floor games, quizzes, board games, music, movies, sing-a-longs, happy hours, crafts and baking.   There are integrated activities that dementia unit residents can attend under supervision such as church services and entertainment.  Community visitors include a library volunteer, entertainers, preschool children and pet therapy.  There is a ladies knitting group who contribute to the community charities and a men’s group who enjoy outings of interest including inter-home bowls.    Community links are maintained with RSA, Lion’s foundation group, Golden Hearts and working men’s club.  Outings are being re-established to places of interest and scenic drives.  The service has a wheelchair van.  Both activity coordinators have a current first aid certificate.   Special events like birthdays, Easter, Matariki, Mothers’ Day, Anzac Day and the Melbourne Cup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have tactile sensory boards in the hallways.  The garden area has been upgraded with a concrete walking pathway.  A sensory garden was completed late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coordinators do a meet and greet every morning with all residents. Those residents who prefer to stay in their room or who need individual attention have one-on-one visits to check if there is anything they need and to have a chat.  The resident under LTS-CHC has an individual leisure plan which describe the residents’ individual interests, one on one activities and group activities they like to attend.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Each resident has a leisure plan which is reviewed six-monthly at the same time as the care plan. Resident meetings are held quarterly and open to families to attend. Feedback on activities was positive from both residents and families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and at least six-monthly thereafter.  Care plans are updated with other changes as they occur.  A multidisciplinary conference is held (MDT) involving input from resident (as appropriate), relative, care staff, DT, keyworker RN, physio, GP and other allied health professionals involved in the care of the resident.  There is a record of the MDT meeting which records if the resident goals have been met or unmet and changes to care to meet the resident goals.   There is at least a three-monthly review by the NP/GP.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electronic resident files.  The RNs initiate referrals to nurse specialists and allied health services.  Other specialist referrals are made by the NP/GPs and responded to in a timely manner.  Referrals and options for care were discussed with the family as evidenced in interviews and e-case medical notes.  There is close liaison and good communication with dietitians, physiotherapists, podiatrist, mental health service for the older person, assessment and rehabilitation team, ophthalmology, diabetes service and DHB nurse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There is a chemical mixing dispenser. Staff have completed chemical safety training.  There is one sluice room in the rest home/hospital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June 2022.  There is a full-time maintenance person Monday to Friday and available on-call and a full-time gardener.  The maintenance person receives eCase notifications for maintenance requests and repairs.  There are essential contractors available 24 hours who are familiar with the site. Testing and tagging of electrical equipment are completed two-yearly. Clinical equipment is calibrated annually.  There is a planned maintenance schedule in place.  Resident hot water temperatures are randomly checked monthly.  Corrective actions have been documented for temperatures above 45 degrees Celcius.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 the rest home/hospital and the dementia unit are readily accessible for residents using mobility aids and for hospital residents being transferred in in lounge chairs.  All seating was appropriately placed in communal lounge and dining areas.   The external areas and gardens were well maintained.  There is safe access to the outdoors for rest home/hospital residents.   The dementia unit has a large fenced off garden with a concrete waling pathway, seating, and shade md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have adequate equipment to safely deliver care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ensuites, shared ensuites and use of communal shower/toilets.  All rooms have hand basins.  There are no ensuites in the dementia unit.  Fixtures, fittings and flooring are appropriate.  There is ample space in toilet and shower areas to accommodate shower chairs and in larger ones a hoist and shower trolley if appropriate.  Communal shower/toilet doors have privacy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dining room, large lounge and smaller lounge in the main rest home/hospital unit.   Activities occur in the larger areas and the smaller areas are spaces where residents who prefer quieter activities or visitors may sit.   Lounges open out onto the outdoor areas.  In the dementia unit there are two lounges and a main dining room with a satellite kitchen safeguarded by a door barrier.   There are exit/entry doors to the outdoor walking pathway.  A hairdresser visits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on-site for the laundering of delicates and woollens only.  All other laundry including linen and personal clothing is laundered off-site at a commercial laundry.  This is a five day pick up dirty laundry and 6-day delivery.  The pickup is from the external laundry door and delivery into the facility at a separate door.  There were adequate linen supplies available.   There are three cleaners on duty Monday to Friday and one on the weekends from 7.30am to 3 pm who also do laundry duties. Cleaning trolleys were attended at all times and locked away when not in use.  All chemicals on the cleaner’s trolley were labelled.  The chemical provider monitors the effectiveness of chemicals used.  Cleaning and laundry services are monitored through the internal auditing system.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emergency and disaster manuals to guide staff in managing emergencies and disasters.  There is a minimum of one first aid trained staff member on every shift and during outings.  The facility has an approved fire evacuation plan.  Fire drills take place every six months.  Fire safety is completed with new staff as part of the health and safety induction and is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stores are adequate for three days and water supplies are adequate for seven as per civil defence guidelines (note: an additional 600 litres of water was purchased during the audit in order to meet these guidelines).  There is a gas barbeque and spare gas bottles.  Civil defence bins/supplies are checked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light up on corridor lights that are visible from all areas in the facility.  Security policies and procedures are documented and implemented by staff.  The building is secured at night and there is security lighting.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is heated by a mixture of underfloor heating, heat pumps, and adjustable electric heaters in resident rooms.   Staff and residents interviewed stated the temperature of the facility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infection control coordinator (IC coordinator) and has been in the role 15 months and held the role previously at another facility.   Responsibility for infection control is described in the job description.  The infection control coordinator oversees infection control for the facility and is responsible for the collation and reporting of monthly infection events to the infection control committee and monthly zoom meetings with the Radius Quality Manager for infection control.    The infection control programme is reviewed annually by the Radius group in consultation with infection control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annual influenza vaccine and have received Covid vaccines. Covid screening and declarations continue.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has previous experience in infection control and recently completed outbreak management via on-line DHB Kowatea learning site for RNs.  During Covid restrictions there were weekly zoom meetings and updates from head office.  There is access to infection control expertise from within the Radius group, DHB infection control team, wound nurse specialist, laboratory, pharmacy and GPs.   The infection control committee meet monthly and are representatives across the areas.  Meeting minutes are available in the staff room.  There is sufficient personal protective equipment available at the facility and at the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reviewed last in April 2021 by an infection control specialist in the Radius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the orientation programme and ongoing thereafter.  There has been additional education provided around outbreak management, handwashing techniques and donning and doffing of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Residents and relatives were kept informed and updated on Covid restrictions and alert levels and visiting restriction.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policies.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with an end of month analysis.  A monthly report of antibiotic use is provided by the pharmacist. This data is monitored and evaluated monthly and annually and is provided to Radius head office.   Outcomes and actions are discussed at management meetings and staff meetings and minutes are available to staff.  Results from surveillance is used to determine education needs, resources required, and quality improvements required.  Benchmarking occurs with other Radius sites.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undertaken a restraint-free philosophy.  If restraint is used, it is as a last resort and is discontinued as soon as it is safe to do so.  The CNM is the restraint coordinator and is responsible for assessing the need for restraint (if necessary), enablers (if requested by the resident) and for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three (hospital) residents voluntarily using enablers (bedrails and lap belts for their wheelchairs) and no residents using restraints.  One file of a resident using an enabler (bedrails) was reviewed.  The assessment and consent process indicated that this restraint had been voluntarily requested by the resident to keep them safe in bed.  Enablers (and restraints if any) are reviewed six-monthly.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792"/>
        <w:gridCol w:w="5095"/>
        <w:gridCol w:w="19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for example, turning charts, food and fluid charts, blood pressure, weight charts and behaviour charts however not all monitoring charts had been implemented as documented or directed in the care plans.  Not all neurological observations reviewed had been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2-litre fluid restriction chart had not been implemented as per care plan for one hospital resident with cardiorespiratory conditions.  The same resident did not have interventions in place to monitor weight loss since hospital admission, and (ii) there was no continuation of weekly weighs as per care plan for another hospital resident with weight loss, and (iii) Neurological observations had not been completed as per protocol for four of 11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monitoring charts are implemented as documented in care plans.  (iii) Ensure neurological observations are completed as per protocol for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Windsor Court Rest Home</w:t>
    </w:r>
    <w:bookmarkEnd w:id="58"/>
    <w:r>
      <w:rPr>
        <w:rFonts w:cs="Arial"/>
        <w:sz w:val="16"/>
        <w:szCs w:val="20"/>
      </w:rPr>
      <w:tab/>
      <w:t xml:space="preserve">Date of Audit: </w:t>
    </w:r>
    <w:bookmarkStart w:id="59" w:name="AuditStartDate1"/>
    <w:r>
      <w:rPr>
        <w:rFonts w:cs="Arial"/>
        <w:sz w:val="16"/>
        <w:szCs w:val="20"/>
      </w:rPr>
      <w:t>28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