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Edenvale Trust Board - Edenvale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Edenvale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Edenvale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2021</w:t>
      </w:r>
      <w:bookmarkEnd w:id="7"/>
      <w:r w:rsidRPr="009418D4">
        <w:rPr>
          <w:rFonts w:cs="Arial"/>
        </w:rPr>
        <w:tab/>
        <w:t xml:space="preserve">End date: </w:t>
      </w:r>
      <w:bookmarkStart w:id="8" w:name="AuditEndDate"/>
      <w:r w:rsidR="00A4268A">
        <w:rPr>
          <w:rFonts w:cs="Arial"/>
        </w:rPr>
        <w:t>26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Edenvale Rest Home provides rest home, dementia and hospital level care for up to 45 residents. The service is owned and operated by a trust board and managed by a general manager and a clinical leader. There have been no significant changes to the service and facilities since the previous certification audit in September 2019.</w:t>
      </w:r>
    </w:p>
    <w:p w:rsidRPr="00A4268A">
      <w:pPr>
        <w:spacing w:before="240" w:line="276" w:lineRule="auto"/>
        <w:rPr>
          <w:rFonts w:eastAsia="Calibri"/>
        </w:rPr>
      </w:pPr>
      <w:r w:rsidRPr="00A4268A">
        <w:rPr>
          <w:rFonts w:eastAsia="Calibri"/>
        </w:rPr>
        <w:t xml:space="preserve">This surveillance audit was conducted in accordance with the relevant Health and Disability Standards and the provider’s contract with the district health board (DHB). The audit process included a review of policies and procedures, the review of residents’ and staff files, observations and interviews with residents, their family members, staff, management and a general practitioner. </w:t>
      </w:r>
    </w:p>
    <w:p w:rsidRPr="00A4268A">
      <w:pPr>
        <w:spacing w:before="240" w:line="276" w:lineRule="auto"/>
        <w:rPr>
          <w:rFonts w:eastAsia="Calibri"/>
        </w:rPr>
      </w:pPr>
      <w:r w:rsidRPr="00A4268A">
        <w:rPr>
          <w:rFonts w:eastAsia="Calibri"/>
        </w:rPr>
        <w:t>The auditors also sought to confirm that actions taken to correct the four non-conformances identified at the last audit had effectively addressed the issues. And that the recommendations made by the Office of the Health and Disability Commission following a complaint investigation in 2020, had been implemented.</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There were no areas identified as requiring improvement as a result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provided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plans include the scope, direction, goals, values and mission statement of the organisation. Reports monitoring the services provided to the governing body are regular and effective. </w:t>
      </w:r>
    </w:p>
    <w:p w:rsidRPr="00A4268A">
      <w:pPr>
        <w:spacing w:before="240" w:line="276" w:lineRule="auto"/>
        <w:rPr>
          <w:rFonts w:eastAsia="Calibri"/>
        </w:rPr>
      </w:pPr>
      <w:r w:rsidRPr="00A4268A">
        <w:rPr>
          <w:rFonts w:eastAsia="Calibri"/>
        </w:rPr>
        <w:t>An experienced and suitably qualified person manages the facility and is supported by a clinical leader and an administration manager.</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w:t>
      </w:r>
    </w:p>
    <w:p w:rsidRPr="00A4268A">
      <w:pPr>
        <w:spacing w:before="240" w:line="276" w:lineRule="auto"/>
        <w:rPr>
          <w:rFonts w:eastAsia="Calibri"/>
        </w:rPr>
      </w:pPr>
      <w:r w:rsidRPr="00A4268A">
        <w:rPr>
          <w:rFonts w:eastAsia="Calibri"/>
        </w:rPr>
        <w:t>Adverse events are documented with corrective actions implemented. Actual and potential risks, including health and safety risks, are identified and mitigated. Policies and procedures support service delivery and were current and reviewed regularly. Improvement plans are developed, and corrective action taken to address service shortfalls.</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are sufficient to provide the care needed for residents,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These provide clear and detailed guidelines on the use of restraints and enablers. There were no residents using restraint and one resident using an enabler at the time of the audit. Staff interviewed demonstrated a good understanding of restraint and enabler use and receive ongoing education in the management of challenging behaviours.</w:t>
      </w:r>
    </w:p>
    <w:p w:rsidRPr="00A4268A">
      <w:pPr>
        <w:spacing w:before="240" w:line="276" w:lineRule="auto"/>
        <w:rPr>
          <w:rFonts w:eastAsia="Calibri"/>
        </w:rPr>
      </w:pPr>
      <w:r w:rsidRPr="00A4268A">
        <w:rPr>
          <w:rFonts w:eastAsia="Calibri"/>
        </w:rPr>
        <w:t>There is environmental restraint in place to ensure safety of the residents in the dementia unit. There is also a keypad exit from the main entrance which enables visitors to come and go as they please.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8"/>
        <w:gridCol w:w="1280"/>
        <w:gridCol w:w="104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of Rights.  Information on the complaint process is provided to residents and families on admission and those interviewed said they felt comfortable raising concerns with staff or the GM who is responsible for complaints management and follow-up.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GM and review of the complaints register revealed one complaint received over the past year. This matter was investigated and closed off by the Deputy Health and Disability Commissioner (HDC) in October 2020.  The GM and senior staff conducted an extensive review during the period of investigation. This included reflective practice sessions with staff on the learnings and taking into account the HDC recommendations. The service has introduced an electronic consumer information system which provides more detail and accuracy in clinical documentation. The system also provides a communication tool to staff which facilitates shared understanding.  </w:t>
            </w:r>
          </w:p>
          <w:p w:rsidR="00EB7645" w:rsidRPr="00BE00C7" w:rsidP="00BE00C7">
            <w:pPr>
              <w:pStyle w:val="OutcomeDescription"/>
              <w:spacing w:before="120" w:after="120"/>
              <w:rPr>
                <w:rFonts w:cs="Arial"/>
                <w:b w:val="0"/>
                <w:lang w:eastAsia="en-NZ"/>
              </w:rPr>
            </w:pPr>
            <w:r w:rsidRPr="00BE00C7">
              <w:rPr>
                <w:rFonts w:cs="Arial"/>
                <w:b w:val="0"/>
                <w:lang w:eastAsia="en-NZ"/>
              </w:rPr>
              <w:t>More details about clinical documentation and accurate recording of medicines are reported in standards 1.3.6 and 1.3.12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what their roles are and how to respond to complaints or concerns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or their relative’s health status. They said they were advised in a timely manner about any incidents or accidents and outcomes of regular or urgent medical reviews. This was evident in incident reports and the residents’ records reviewed. Staff understood the principles of open disclosure, which is supported by policies and procedures that meet the requirements of the Code of Rights. Family members confirmed they were invited to multidisciplinary meetings where up to date care information is shared, and their input was sought.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being able to speak English. There is a policy and procedure in place to guide staff on the process for seeking interpreter services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Edenvale Rest Home is owned by a charitable trust and governed by a six member board of trustees whose trust deed is underpinned by Christian 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Trustees meet every six weeks with the GM who submits operational reports for their consideration. The 2021 business plan sighted was signed off by the board, and the GM provides reports on progress at each board meeting. This was confirmed in the board reports sampled. </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the day to day running of the home and has been in the role for 20 years. The clinical leader (CL) is a registered nurse who works closely with the GM. The GM is also supported by an administration manager. Each role is clearly defined in position descriptions as are individual delegations of authority. The GM maintains skills and knowledge through membership with aged sector organisations and attends at least eight hours of education relevant to the sector and management of an aged care facility each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Edenvale has an aged residential care contract (ARCC) with the Auckland DHB for the provision of rest home, dementia and hospital care services, plus provision of care to individuals under 65 years who are diagnosed with age related conditions. The approved maximum number of residents is 45. This allows for four couples sharing the same room. Twenty nine of the 41 rooms are designated dual purpose (rest home or hospital) and the maximum number of residents in the dementia wing is 12.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36 residents, comprising 11 rest home, 17 hospital and 8 dementia level care. One of the RH residents was under the age of 65.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established quality and risk system which is embedded in day to day practice. Quality data, such as incidents and accidents, results of internal audits, complaints, infection and restraint events and resident and family feedback, is collected for analysis and evaluation. This data is discussed by members of the quality risk management (QRM) team each month. This six member team includes the GM, CL, workplace safety representative, staff educator, activities person and a health care assistant (HCA) representative. Interviews and meeting minutes demonstrated that effective decision making occurs to mitigate unwanted trends and/or emerging risks. Other staff are involved in quality and risk management processes through incident reporting, eliciting feedback from families and residents, and participating in internal audit activities. Any gaps in services are remedied by immediate implementation of corrective actions. The effectiveness of corrective actions is monitored by follow up audits.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satisfaction is formally surveyed each year and residents are encouraged to provide feedback on all services at their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policies and procedures and other known systems to meet accepted good practice and adherence to the Health and Disability Services (Safety) Act 2001. A document control system is in place. Policies are reviewed every two years (or sooner if required) and new policies, or changes to policy, are communicated to staff. Obsolete documents are removed from circulation. All documents are issued in hard copy.</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active risk management system. All risks identified are reported, added to the risk plan and/or hazard register and monitored. The health and safety team review all known and potential risks, including hazards and emergency procedures. There have been no staff injuries reported to WorkSafe in the period between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completed with sufficient detail and confirmed that the resident’s nominated person is contacted/informed about incidents. The system demonstrated showed that incidents were investigated, action plans developed, and that the effectiveness of actions was being monitored at appropriate time intervals.  Adverse event data is collated, analysed and reported to the quality and risk management committee, GM and the board. Trends in accidents/incidents are reported to all staff at their meetings and pictorial graphs were on display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essential notification reporting requirements.  Records of section 31 reports submitted to the Ministry of Health in the past 12 months, revealed there had been one notification of a stage three pressure injury in July 2020 and 11 notifications about the availability of RNs on duty. There had been no police investigations, coroner’s inquests, or issues-based audits. There is an ongoing matter in the employment court.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Staff files sampled contained job descriptions, employment contracts, and evidence of qualifications and competencies relevant to the role. External health providers who visit or provide services to residents at Edenvale provide proof of current membership and practising certificates with their regulatory bodies each year. For example, the GP, pharmacist, podiatrist and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mandatory training requirements, such as emergency procedures, infection control, moving and handling, the Code of Rights and other topics related to care of older people. Records of staff education are maintained on an electronic education data base. Review of this showed that all staff, including managers and RNs, attend sufficient hours of education to meet the requirements in the DHB agreement or professional body regulations. Attendance at compulsory training is monitored. Each of the RNs had a current first aid certificate and all staff who administer medicines are assessed as competent to do so each year. At the time of this audit, 10 care staff were approved to administer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are required to achieve the Limited Credit Pathway (LCP) level 4 dementia qualification. Only staff who have achieved this or are progressing study are rostered to work in the dementia unit. Five of the RNs have also completed these modules. Of the 20 care staff employed, seven care staff have achieved level 4 of the National Certificate in Health and Wellness as required by the DHB agreement. Seven have achieved level 3, four have achieved level 2 and two are yet to commence the modules. </w:t>
            </w:r>
          </w:p>
          <w:p w:rsidR="00EB7645" w:rsidRPr="00BE00C7" w:rsidP="00BE00C7">
            <w:pPr>
              <w:pStyle w:val="OutcomeDescription"/>
              <w:spacing w:before="120" w:after="120"/>
              <w:rPr>
                <w:rFonts w:cs="Arial"/>
                <w:b w:val="0"/>
                <w:lang w:eastAsia="en-NZ"/>
              </w:rPr>
            </w:pPr>
            <w:r w:rsidRPr="00BE00C7">
              <w:rPr>
                <w:rFonts w:cs="Arial"/>
                <w:b w:val="0"/>
                <w:lang w:eastAsia="en-NZ"/>
              </w:rPr>
              <w:t>Four of the six RNs employed are maintaining their annual competency requirements to undertake interRAI assessments as confirmed in the personnel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performance appraisals occur annually, along with ongoing staff performance monitored by the GM and clinical leader between the formal appraisals through day to day observations, and feedback from residents and family or other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clinical leader is responsible for the oversight of clinical services and there is always a registered nurse and at least two care staff on site. The clinical leader provides on-call back up. Rosters sampled confirmed that there is enough staff with the required skills and knowledge to ensure that all residents’ needs were met over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One RN is rostered on each shift (plus the clinical leader Monday to Friday and on call) and four care staff are available for rest home and hospital residents on each morning and afternoon shift. Two of these care staff work an eight hour shift and the other two shifts are for shortened hours which are adjusted depending on resident numbers and acuity.</w:t>
            </w:r>
          </w:p>
          <w:p w:rsidR="00EB7645" w:rsidRPr="00BE00C7" w:rsidP="00BE00C7">
            <w:pPr>
              <w:pStyle w:val="OutcomeDescription"/>
              <w:spacing w:before="120" w:after="120"/>
              <w:rPr>
                <w:rFonts w:cs="Arial"/>
                <w:b w:val="0"/>
                <w:lang w:eastAsia="en-NZ"/>
              </w:rPr>
            </w:pPr>
            <w:r w:rsidRPr="00BE00C7">
              <w:rPr>
                <w:rFonts w:cs="Arial"/>
                <w:b w:val="0"/>
                <w:lang w:eastAsia="en-NZ"/>
              </w:rPr>
              <w:t>Two care staff are rostered for night shifts which includes one in the dementia unit. At all other times two care staff are allocated to work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unplanned staff absence, the roster can be filled by a casual RN, or the clinical leader works the shift, and existing care staff often avail themselves for extra shifts. Use of agency/bureau staff seldom occurs. There have been 11 RN notifications submitted to the MoH in the past year, for times that the usual RN duty could not be filled. These shifts have been covered by the clinical leader and the service provider is continuing with attempts to recruit more RNs as availability of RNs is an ongoing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Outcome for PRN medications are documented on the online patient management system. The corrective action from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three monthly GP review is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and is in line with recognised nutritional guidelines for older people. The menu follows summer and winter patterns was reviewed by a qualified dietitian in May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in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r w:rsidRPr="00BE00C7">
              <w:rPr>
                <w:rFonts w:cs="Arial"/>
                <w:b w:val="0"/>
                <w:lang w:eastAsia="en-NZ"/>
              </w:rPr>
              <w:t>A regular cleaning schedule is maintained. There was evidence of regular cleaning of equipment such as fans and oven grills. The corrective action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from the previous audit has been followed up. As per the interRAI due report on the day of audit, all the interRAIs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including behavioural plans. The corrective action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medical orders are followed, and care is of high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is currently training to be a diversional therapist, and rostered volunteers. In the dementia unit, care staff also do activities under the supervision of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satisfaction surveys. Residents interviewed confirmed they enjoy the programme.</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urinary tract infections and oedema. When necessary, and for unresolved problems, long term care plans are added to an updated.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30 September 2021) was publicly displayed. There have been no changes to the building structure or footprint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were fit for their purpose and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soft tissue, colds, eye infections, ear infections, skin, respiratory tract infections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the online patient management system and at staff handovers. They identify trends for the current year, and comparisons against previous years and this is reported to the quality assurance manager. The infections rate is 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pandemic preparedness document was sighted and staff interviewed are aware of this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the clinical leader who demonstrated a sound understanding of the organisation’s policies, procedures and practice and staff roles and responsibilities. Restraint competencies were completed for all staff and challenging behaviour and de-escalation techniques are discussed as part of the competency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bed lever as an enabler to assist with positioning in bed. This was installed at the request of the resident and with their signed consent.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successfully avoided using restraint interventions by using alternatives such as low beds, and sensor mats for more than three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Edenvale Trust Board - Edenvale Rest Home</w:t>
    </w:r>
    <w:bookmarkEnd w:id="58"/>
    <w:r>
      <w:rPr>
        <w:rFonts w:cs="Arial"/>
        <w:sz w:val="16"/>
        <w:szCs w:val="20"/>
      </w:rPr>
      <w:tab/>
      <w:t xml:space="preserve">Date of Audit: </w:t>
    </w:r>
    <w:bookmarkStart w:id="59" w:name="AuditStartDate1"/>
    <w:r>
      <w:rPr>
        <w:rFonts w:cs="Arial"/>
        <w:sz w:val="16"/>
        <w:szCs w:val="20"/>
      </w:rPr>
      <w:t>26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