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Karaka Court Limited - Woodlands of Feilding</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Karaka Court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Of Feilding</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July 2021</w:t>
      </w:r>
      <w:bookmarkEnd w:id="7"/>
      <w:r w:rsidRPr="009418D4">
        <w:rPr>
          <w:rFonts w:cs="Arial"/>
        </w:rPr>
        <w:tab/>
        <w:t xml:space="preserve">End date: </w:t>
      </w:r>
      <w:bookmarkStart w:id="8" w:name="AuditEndDate"/>
      <w:r w:rsidR="00A4268A">
        <w:rPr>
          <w:rFonts w:cs="Arial"/>
        </w:rPr>
        <w:t>2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Woodlands of Feilding provides rest home and hospital level care for up to 80 residents.  On the days of audit there were 69 residents. The home sits in the grounds of Woodlands retirement village which is managed and run independently to the home.</w:t>
      </w:r>
    </w:p>
    <w:p w:rsidRPr="00A4268A">
      <w:pPr>
        <w:spacing w:before="240" w:line="276" w:lineRule="auto"/>
        <w:rPr>
          <w:rFonts w:eastAsia="Calibri"/>
        </w:rPr>
      </w:pPr>
      <w:r w:rsidRPr="00A4268A">
        <w:rPr>
          <w:rFonts w:eastAsia="Calibri"/>
        </w:rPr>
        <w:t xml:space="preserve">The service is managed by an appropriately qualified and experienced clinical nurse manager who is supported by a clinical nurse leader.  The company director also plays a role in management.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audit has identified improvements required around staff training, risk management, service provision requirements and care planning.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Woodlands of Feilding practices in accordance with the Health and Disability Commissioner (HDC) Code of Health and Disability Services Consumers' Rights (the Code).  There is information available about the Health and Disability Advocacy Service.  Staff, residents and family verified the service is respectful of individual needs including cultural and spiritual beliefs.  Individual values and beliefs are considered on admission and continuing through the care planning process.  There is an open disclosure policy that staff understand.  Family/friends can visit at any time and ongoing involvement with community activity is supported.  Residents and relatives are informed about the complaints process and complaints are well managed.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 has an annual business and quality plan in place with annual quality objectives.  Quality information is reported to two monthly quality/risk staff meetings.  An annual survey and two monthly resident meetings provide residents and families with an opportunity for feedback about the service.  The service has policies/procedures to provide rest home and hospital level of care.  There is an orientation and training programme in place. There is a staffing policy that includes a documented rationale for determining staffing levels and skill mixes for safe service delivery.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The diversional therapists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medication competent caregivers are responsible for the administration of medicines.  Medication charts are reviewed three-monthly by the GP</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Residents commented positively on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Appropriate policies and product safety charts are available.  Chemicals are stored safely throughout the facility.  The building holds a current warrant of fitness.  All rooms are single with full ensuite facilities.   There are toilets situated close to communal areas.  Fixtures, fittings and flooring are appropriate and toilet/shower facilities are constructed for ease of cleaning.  External areas are safe and well maintained with shade and seating available.  Large open plan lounge and dining areas are centrally located on each wing with smaller seating areas provided in the large foyer and smaller rooms including the chapel and library for residents and relatives to enjoy.  </w:t>
      </w:r>
    </w:p>
    <w:p w:rsidRPr="00A4268A">
      <w:pPr>
        <w:spacing w:before="240" w:line="276" w:lineRule="auto"/>
        <w:rPr>
          <w:rFonts w:eastAsia="Calibri"/>
        </w:rPr>
      </w:pPr>
      <w:r w:rsidRPr="00A4268A">
        <w:rPr>
          <w:rFonts w:eastAsia="Calibri"/>
        </w:rPr>
        <w:t xml:space="preserve">Cleaning and laundry services are monitored through the internal auditing system.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Woodlands of Feilding has restraint minimisation and safe practice policies and procedures in place.  The definitions of restraints and enablers are congruent with the definitions in the restraint minimisation standard.  Staff receive education and training in restraint minimisation and challenging behaviour management.  On the day of audit, there were six residents with restraint and 26 residents with an enabler.  Enabler use is voluntary.   A register is maintained by the restraint coordinator/registered nurse (RN).  Residents using restraints are reviewed a minimum of six-monthly by the clinical manager, RNs and GP.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is responsible for coordinating and providing education and training for all staff.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In practice, a very active ongoing focus on hand hygiene and outbreak management was maintained.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44"/>
        <w:gridCol w:w="1280"/>
        <w:gridCol w:w="91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Woodlands of Feilding practices in accordance with the Health and Disability Commissioner (HDC) Code of Health and Disability Services Consumers' Rights (the Code).  Posters of the Code are displayed in the facility.  The policy relating to the Code is implemented and staff could describe how the Code is incorporated in their everyday delivery of care.  Staff receive training about the Code during their induction to the service.  Interviews with eight care staff (four caregivers, four registered nurses (RN) and one diversional therapist)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enduring power of attorney (EPOA) signs for written general consents including outings and indemnity.  Separate consent forms were signed by the resident or EPOA for flu and Covid vaccines.  Cardiopulmonary resuscitation status has been appropriately signed in the nine resident files reviewed (five hospital and four rest home).  Copies of enduring power of attorney where known were included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interviewed confirmed verbal consent is obtained when delivering care.  Family members confirmed they were involved in decisions that affect their relative’s lives.  All resident files contained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information about the Nationwide Health and Disability Advocacy Service.  Advocacy pamphlets are displayed in the entrance to the facility.  Caregivers interviewed were aware of the resident’s right to advocacy services and how to access the information.  Resident advocates are identified on admission.  Interviews with residents and relatives confirmed that they are aware of their right to access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maintains key linkages with other community and external groups including churches and schools.  Residents are invited to community functions and events.  Visiting arrangements are suitable to residents and family/whānau.  Families and friends are able to visit at times that meet their needs.  Discussion with staff, residents and relatives, determined that residents are supported and encouraged to remain involved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The clinical nurse manager leads the investigation and management of complaints (verbal and written).  There is a complaints and compliments register.  Complaints are discussed at the monthly staff meeting.  There have been eight complaints made in the period September 2019 to year- to -date. The complaints reviewed were investigated with the follow-up and outcome documented.  One had gone to the Health &amp; Disability Commission then the District Health Board (DHB)which investigated and closed with recommendations.   Another went directly to the DHB and was closed with recommendations.  Both included recommendations for specific education which has subsequently been delivered. Discussion with residents and relatives confirm they are aware of how to make a complaint.  A complaints procedure is provided to residents within the information pack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The clinical nurse manager or clinical coordinator discusses aspects of the Code with residents and their family on admission.  Four residents (two hospital and two rest home) and four relatives ( one rest home and three hospital) interviewed reported that the residents’ rights are being upheld by the service and that they received sufficient information to be able to make informed choices on matters that affect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Staff received training on compassion and communication in May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Māori consultation is available through local Māori services.  Staff receive education on cultural awareness during their induction to the service and in ongoing training(November 2020).  Caregivers interviewed were aware of the importance of whānau in the delivery of care for Māori residents.  At the time of the audit there were no residents in the service who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7 days a week, 24 hours a day.  The General Practitioner interviewed was satisfied with the level of care that is being provided.  Physiotherapy services are provided by referral or through the DHB.  A dietitian is available on a referral basis.  A podiatrist is on site every three months.  There is a regular in-service education and training programme for staff.  The service has links with the local community and encourages residents to remain independent.  Residents interviewed state they are happy with the level of care provided and with the space and ability to personalise their rooms. The service has implemented policies and procedures that are reviewed. The policies and procedures meet legislative requirements.  Caregivers interviewed state there are caregivers’ guidelines in place to guide the delivery of care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Accident/incident forms have a section to indicate if family have been informed (or not) of an accident/incident.  Eleven incident forms reviewed identified family were notified following a resident incident.  Interviews with staff confirm that family are kept informed.  Four families interviewed confirmed they were notified of any changes in their family member’s health status.  Interpreter services are available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80 residents across two service levels (rest home and hospital) in two 40-bed units (Karaka and Totara) which are further divided into two wings.  All rooms are dual-purpose.  On the day of audit there were 69 residents in the home with 40 rest home residents and 29 hospital residents (including one hospital  level resident on an Enable contract) and one rest home level respite resident who was in the DHB hospital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reports to the owner/director who lives locally and has a regular presence at the facility.  Karaka Court Limited has a 2020 – 2021 business contingency plan that includes goals and objectives (including clinical) and a quality programme that includes monthly discussion about clinical indicators (e.g., incident trends, infection rates), at the two monthly 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FTE clinical nurse manager (CNM) who has been at the facility for 3 years and has been in the aged care industry for 20 years.  The CNM is supported by a clinical coordinator (RN) who has been at the home since 2019.  There is a team of nine RNs who have experience within the aged residential care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CNM and clinical coordinator have maintained at least eight hours annually of professional development activities related to managing a hospital through attending regular DHB provider meetings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clinical coordinator will cover the clinical nurse manager’s role (the managers role).  Both the clinical nurse manager (clinical) and owner/director are on-call afterhours dependant on the issue (i.e., clinical vs non-clinical).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Feilding has a quality and risk management system.  There are policies and procedures (a nurse consultant was involved in the implementation of these)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Policies and procedures align with current practice.  The clinical coordinator collates incident and infection data.  Data is recorded accurately and is reported at staff meetings (sighted).  </w:t>
            </w:r>
          </w:p>
          <w:p w:rsidR="00EB7645" w:rsidRPr="00BE00C7" w:rsidP="00BE00C7">
            <w:pPr>
              <w:pStyle w:val="OutcomeDescription"/>
              <w:spacing w:before="120" w:after="120"/>
              <w:rPr>
                <w:rFonts w:cs="Arial"/>
                <w:b w:val="0"/>
                <w:lang w:eastAsia="en-NZ"/>
              </w:rPr>
            </w:pPr>
            <w:r w:rsidRPr="00BE00C7">
              <w:rPr>
                <w:rFonts w:cs="Arial"/>
                <w:b w:val="0"/>
                <w:lang w:eastAsia="en-NZ"/>
              </w:rPr>
              <w:t>Quality matters are taken and discussed at the monthly quality/risk staff meetings.  There are two monthly resident meetings.  Meeting minutes demonstrate key components of the quality management system discussed including internal audit, infection control, incidents (and trends) and in-service education.  Monthly accident/incident reports, infections and results of internal audits are completed.  The service has linked the complaints/compliments process with its quality management system and communicates relevant information to staff.  Meeting minutes reviewed indicate issues raised are followed through and closed out, including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Woodlands of Feilding has an internal audit programme that includes aspects of clinical care.  Issues arising from internal audits are seen to be resolved at the time. Corrective action plans are developed, implemented and signed off as completed when service shortfalls are identified.  Internal audit results are communicated to staff at the full staff and RN meetings.  A resident and relative satisfaction survey is completed annually.  The 2020 satisfaction survey showed an overall satisfaction from residents and relatives with the service.  The number of questions in the next survey is being reduced to try and illicit a greater number of responses.  Only 16 relatives responded.  Twenty- two residents responded.</w:t>
            </w:r>
          </w:p>
          <w:p w:rsidR="00EB7645" w:rsidRPr="00BE00C7" w:rsidP="00BE00C7">
            <w:pPr>
              <w:pStyle w:val="OutcomeDescription"/>
              <w:spacing w:before="120" w:after="120"/>
              <w:rPr>
                <w:rFonts w:cs="Arial"/>
                <w:b w:val="0"/>
                <w:lang w:eastAsia="en-NZ"/>
              </w:rPr>
            </w:pPr>
            <w:r w:rsidRPr="00BE00C7">
              <w:rPr>
                <w:rFonts w:cs="Arial"/>
                <w:b w:val="0"/>
                <w:lang w:eastAsia="en-NZ"/>
              </w:rPr>
              <w:t>There is a H&amp;S and risk management programme in place including policies to guide practice.  A hazard register is in place.  Health &amp; Safety policy has been reviewed and reflects current H&amp;S legislation. The CNM is the H&amp;S Coordinator. Falls prevention strategies are in place that includes analysis of falls incidents and the identification of interventions on a case-by-case basis to minimise future falls.  H&amp;S is included at the meetings for all staff. On audit there was a shortfall identified in relation to health and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A sample of eleven resident related incident reports for May 2021 were reviewed.  All incident reports and corresponding resident files reviewed, evidenced that appropriate clinical care has been provided following an incident and all have been signed off.  The incident reporting policy includes definitions, and outlines responsibilities including immediate action, reporting, monitoring and corrective action to minimise, and debriefing.  Monthly and annual review of incidents is completed.  Discussions with the owner/director and CNM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Nine staff files were reviewed (one clinical nurse manager, one clinical coordinator, one cook, two RNs, two caregivers, one diversional therapist and one cleaner) and all had relevant documentation relating to employment.  Performance appraisals are current in all files reviewed.   A list of practising certificates is maintained.  Practising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induction checklists (sighted in files reviewed).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and training calendar schedule for 2020 -2021 documented; however, there was no evidence that manual handling training had occurred in the last eighteen months including no training on how to use two recently purchased hoists.  A competency programme is in place with different requirements according to work type (e.g., caregiver, RN and kitchen).  Core competencies are completed, and a record of completion is maintained, with signed competency questionnaires sighted in files reviewed.  There is a staff member with a current first aid certificate on every shift.  There are currently eleven RNs (including the CNM and clinical coordinator) working at Woodlands of Feilding.  Six of the 11 RNs are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In April 2021, nine registered nurses attended training by the hospice on end-of-life care.  This hospice involvement continues with monthly hospice/RN meetings identifying residents that would benefit from hospice input directly or through staff training.  Further End of Life education for all staff was given by the hospice at the end of May (20 staff attended).  There has also been an education session delivered by a DHB staff member on compassion and communication (13 staff attended).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All 80 rooms are dual-purpose.  The roster allows for flexibility depending on the needs of the residents (i.e., hospital or rest home level).  The roster (40 rest home residents and 29 hospital residents) includes the clinical nurse manager working five a week and the clinical coordinator three days a week or more. The clinical nurse manager is on call.  There is at least one RN holding a first aid certificate on each shift.  Staffing is as follows: two RNs on morning and afternoon duty and one at night, eight caregivers in the morning (various times), eight during the afternoon (various times) and four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There is a Careerforce assessor onsite.  Fourteen caregivers have level I qualifications, two have level II, eight have level III and six have level VI.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files are protected from unauthorised access by being locked away in the nurses’ station.  Informed consent to display photographs is obtained from residents/family/whānau on admission.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The admission pack included information about the service, the code of rights, consent processes, complaint process and the code of rights are included in the admission agreement included in the pack.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had the opportunity to discuss the admission agreement with the clinical nurse manager.  The admission agreement form in use aligns with the requirements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and utilise the pink envelope system.  Relatives are notified if transfers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medicines are stored securely.  Registered nurses and senior HCAs complete annual medication competencies and medication education.  Medication reconciliation occurs against the blister packs.  There were no standing orders.  Records of medication reconciliation are entered into the electronic medication system.  Any discrepancies are fed back to the supplying pharmacy who are available after hours if required.  There were no self-medicating residents on the day of the audit.  The medication fridge temperature and medication room temperature are being monitored daily and both were within acceptable limits.  All eyedrops and creams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on the electronic medication system were reviewed.  All charts had photo identification and allergy status documented.  The effectiveness of ‘as required’ medications were recorded in the electronic medication system.  All long-term medications charts had been reviewed by the GP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Woodlands of Fielding.  The food service level is supported by cooks and kitchenhands.  There is a four-weekly seasonal menu which has been reviewed by a nutritionist.  Dietary needs are known with individual likes and dislikes accommodated.  The menu offers a second meal option.  Pureed meals, mince and moist and vegetarian meals are provided.  Resident dislikes and food allergies are known and accommodated.  Meals for residents are plated in the kitchen and transported to the dining rooms by bain-maries.  Staff were observed assisting residents with their meals and drinks.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has been verified and expires in May 2022.  There are daily chiller, fridge and freezer temperatures taken and recorded.  End-cooked food temperatures are taken.  Cleaning schedules are maintained.  Dishwasher rinse and wash temperatures are monitored.  All food services staff have completed food safety and hygiene and chemical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feedback on the food services through resident meetings and surveys.  Residents and relatives commented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referral agency and potential resident and/or family member would be informed of the reason for declining entry.  Reasons for declining entry would be if there are no beds available or the service cannot provide the assessed level of care.  The referring agency, family and resident would be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indicated that all appropriate personal needs information was gathered during admission in consultation with the resident and their relative where appropriate.  An initial assessment and risk assessments were completed on admission.  Risk assessment tools were completed including falls, pressure injury risk, pain assessment, dietary assessment and continence assessment.  The outcomes of risk assessments were included in the initial assessment and long-term care plans.  The first interRAI assessment had been completed for long-term residents within 21 days of admission and six-monthly as part of the six-monthly care plan evaluations, risk assessments are completed as part of the interRAI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are generated electronically, printed and placed in the resident files readily available for care staff.  The long-term care plans reviewed overall described the support required to meet the resident’s goal, however, did not always include the detail of all support required.  The interRAI assessment process informs the development of the resident’s care plan.  Residents and their family/whānau interviewed reported that they are involved in the care planning and review process.  Short-term care plans are in use for changes in health status and either resolved or transferred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goal orientated and met the resident needs.  Residents and relatives interviewed stated their needs are being met.  If a resident’s condition changes the RN initiates a GP consultation or specialist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11 residents with wounds (six rest home and five hospital) including skin tears, lesions, and chronic ulcers. There was one hospital resident with a stage 2 pressure injury.   Wound assessments had been completed for all wounds including measurements of the wound.  Evaluations and change of dressings had occurred at the documented frequency.  Chronic wounds had been linked to the long-term care plan.  The RNs can access advice and support from the district nurses and wound nurse specialist at the DHB.  There was sufficient pressure relieving devises in use and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specialist continence advice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sighted included weights, vital signs, neurological observations, bowel records, food and fluids, blood sugar levels, pain, two hourly repositioning charts, fluid balance and challenging behaviour monitoring charts.  Resident weights were noted to be monitored monthly or more frequently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diversional therapists (DTs) run the activity programme.  one has been in the role since November 2020, and the other since April 2021.  The DTs work Monday to Friday from 9am to 4.30pm.  Each resident has a monthly activity calendar.  Activities are held in the lounges of both wings the craft room and in the foyer. </w:t>
            </w:r>
          </w:p>
          <w:p w:rsidR="00EB7645" w:rsidRPr="00BE00C7" w:rsidP="00BE00C7">
            <w:pPr>
              <w:pStyle w:val="OutcomeDescription"/>
              <w:spacing w:before="120" w:after="120"/>
              <w:rPr>
                <w:rFonts w:cs="Arial"/>
                <w:b w:val="0"/>
                <w:lang w:eastAsia="en-NZ"/>
              </w:rPr>
            </w:pPr>
            <w:r w:rsidRPr="00BE00C7">
              <w:rPr>
                <w:rFonts w:cs="Arial"/>
                <w:b w:val="0"/>
                <w:lang w:eastAsia="en-NZ"/>
              </w:rPr>
              <w:t>Each DT implements the resident programme in their wing and includes (but not limited to); exercises, discussions, newspaper reading, quizzes, craft, ball games, walks, colouring and the blokes group.  Activities meet the cognitive, physical and emotional abilities of the residents.  Individual activities are provided in resident’s rooms for residents who choose not to participate in the group activities.  Celebrations and festive occasions are celebrated.  There are regular community visitors including church groups, and entertainers.  There are regular outings and scenic drives to cafés, picnics and places of interest.  The service hires a wheelchair mobility van for hospital level residents for outings.   The DTs have been trialling new activities, and gauge satisfaction on surveys around the topic and attendance.  Residents also provide verbal feedback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completes a resident profile on or soon after admission and takes a social history.  This information is then used to develop a diversional therapy plan which is evaluated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feedback on the programme through resident meetings and annual surveys.  Residents and relatives interviewed were complimentary of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evaluated in consultation with the resident/relative and long-term care plans developed.  Long-term care plans reviewed had been evaluated six monthly or earlier for any changes to health.  The resident/relative are invited to attend the multidisciplinary review (MDT) with the RN.  There is a written evaluation against the resident goals that identifies if the goals have been met or unmet.  In most cases long-term care plans are updated with any changes to meet the resident goals (link 1.3.5.2).  Short-term care plans were evident for the care and treatment of short-term problems for resident’s, and these had been evaluated, closed or transferred to the long-term care plan if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There was evidence of referrals to the need’s assessment team for reassessment of a resident level of care from respite to rest home and for rest home to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Chemicals are stored safely in locked areas.  Chemicals sighted were labelled correctly and safety data sheets and product information are readily available to staff.  Gloves, aprons, visors and goggles are available, and staff were observed wearing personal protective clothing while carrying out their duties.  Staff have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in January 2022.  There is a maintenance man has overall responsibility for building compliance.  There is a maintenance and repairs request book that is checked daily and signed as repairs are completed.  The planned maintenance programme has been completed to date.  Hot water temperatures in resident areas are maintained below 45 degrees.  Essential contractors are available 24-hours.   The facility has been fitted with RCD in all electrical outlets which cut out of there is a fault.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allows easy access/movement for the residents and promotes independence for residents with mobility aids.  There is easy access to the outdoor areas for residents using mobility aids.  There is outdoor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caregivers interviewed stated they have all the equipment required to deliver safe resident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ensuite facilities.  There are communal toilets located close to communal lounges and dining areas with privacy locks.  All residents interviewed confirmed their privacy was maintained while attending to personal hygiene cares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mobility bathrooms for residents require shower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Feilding has a very large foyer area which has small seating areas within it, there is a chapel room, the hairdressing salon, a library and craft room off the foyer area.  Each wing has a large open plan lounge and dining area, with access to central courtyards.  All areas are easily accessible for residents using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Housekeeping staff are also responsible for attending to the laundry.  Services are provided across seven days of the week.  All personal clothes, towels and facecloths are laundered onsite.  Bedding is outsourced and collected twice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large commercial laundry has a dirty to clean flow, with two washing machines and commercial dryers.  All chemicals are closed system.  Data sheets are readily available.  Regular laundry and cleaning audits are performed.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trolleys are locked in a chemical cupboard in the service area when not in use.  There is one cleaning trolley in a locked sluice room for staff to access when domestic staff are not available.  All domestic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training, information and equipment for responding to emergencies is provided.  There is an evacuation plan approved by the NZ Fire Service, which is dated 13 March 2017.  A fire evacuation drill and education were last undertaken April 2021.  There is staff across 24/7 with a current first aid certificate.  There is an emergency management plan in place that covers health, civil defence and other emergencies.  The civil defence kits are readily accessible.  The facility is well prepared for emergencies and has emergency lighting (will last 2 hours), gas BBQ for alternative cooking and access to a generator.  </w:t>
            </w:r>
          </w:p>
          <w:p w:rsidR="00EB7645" w:rsidRPr="00BE00C7" w:rsidP="00BE00C7">
            <w:pPr>
              <w:pStyle w:val="OutcomeDescription"/>
              <w:spacing w:before="120" w:after="120"/>
              <w:rPr>
                <w:rFonts w:cs="Arial"/>
                <w:b w:val="0"/>
                <w:lang w:eastAsia="en-NZ"/>
              </w:rPr>
            </w:pPr>
            <w:r w:rsidRPr="00BE00C7">
              <w:rPr>
                <w:rFonts w:cs="Arial"/>
                <w:b w:val="0"/>
                <w:lang w:eastAsia="en-NZ"/>
              </w:rPr>
              <w:t>Two 1,000 litre water tanks are installed next to the building.  Emergency food supplies sufficient for three days are kept in the kitchen.  Hoists have battery backup.  At least three days stock of other products such as incontinence products and PPE are kept.  There are supplies necessary to manage a pandemic.  The call bell system is evident in resident’s rooms, lounge areas and toilets/bathrooms.  There are documented security procedures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heated by gas underfloor heating.  General living areas and all resident rooms are appropriately heated and ventilated.  All rooms and communal areas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coordinator who is the clinical nurse manager.  She is supported by the clinical coordinator and jointly they run the infection control programme which is linked into the quality management system and reviewed annually by the clinical nurse manager and the clinical coordinator.  Infection control is an agenda item on quality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and covid vaccines are offered to residents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and her support have been in the role for some years and have attended external education ‘bug control’ seminars, DHB IC training in 2018 and were booked to undertake a further course March 2021 which is currently postponed.  Education was undertaken onsite in January 2021 by the DHB infection control trainer.  The infection control coordinator reports to management and staff meetings. The facility has access to an infection control nurse specialist through the DHB, public health, GPs, MOH and local laboratory.  There is a folder of covid information available to staff. There is an outbreak management cupboard and ample stock of personal protective equipment that is checked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that are current and reflected the Infection Control Standard SNZ HB 8134:2008, legislation and good practice.  The infection control policies (last reviewed May 2021)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orientation package includes specific training around hand washing competencies and standard precautions.  Ongoing training occurs annually as part of the annual training programme (last January 2021).  Staff are required to complete infection control questionnaires and random monthly hand hygiene audits are undertaken.  Any new communication regarding Covid-19 is relayed to staff via meetings, noticeboards and at handovers.  Resident education occurs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reports are completed for all infections.  Infection control data and relevant information is displayed for staff.  Definitions of infections are in place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discussed at the quality and staff meetings.  Monthly and annual comparisons are made for the type and incidence of infection rates.  Internal audits for infection control are included in the annual audit schedule. The systems in place are appropriate to the size and complexity of the facility.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six residents with restraints and 26 residents with an enabler in place.  Staff interviews, and staff records evidenced guidance has been given on restraint minimisation and safe practice.  Policies and procedures include definition of restraint and enabler that are congruent with the definition in NZS 8134.0.  Enabler use is voluntary.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restraint coordinator.  The restraint approval process and the conditions of restraint use are recorded on the restraint assessment form.  Assessments are undertaken by suitably qualified and skilled staff such as the RN and GP in partnership with the resident and their family/whānau.  The multi-disciplinary team is involved in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appropriate restraint or enabler intervention.  Assessments are undertaken by registered nurses in partnership with the family/whānau.  The restraint assessment form is completed with input from the RN, and GP and the resident’s family, and this was documented in the six resident’s files for residents who use restraint.  Three resident files were reviewed for restraint process and use, all had documented assessments, and consents.  Risks were identified in the assessments, however, not all interventions and risks around restraint were documented in the care plan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requires that restraint is only put in place where it is clinically indicated and justified.  The policy requires that restraint, if used, is monitored closely and this is done daily using a monitoring form.  The assessment for restraint includes exploring alternatives, risks, other needs and behaviours.  Three files were reviewed for residents with restraint.  The review identified clear instructions for use of the bedrails, approval process, risks and monitoring requirements.  Restraint monitoring records are completed by staff two hourly as instructed in the care plans.  The restraint register is in place and is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files were reviewed of residents requiring restraint.  The use of restraint is evaluated six-monthly as part of the GP review.  All episodes of restraint are also monitored monthly through the RN meetings.  There is no official restraint approvals group, however the clinical nurse manager, the RNs and the GP review and sign all restraints at least six-monthly with the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Internal audits around restraint are carried out regularly.  Reviews were completed by the restraint coordinator, the RN and the GP.  There have been no adverse events as a result of restraint use, however, the registered nurses, clinical nurse manager and the clinical coordinator could describe actions if this occurred.  Restraint use is reviewed as part of the quality and RN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737"/>
        <w:gridCol w:w="1280"/>
        <w:gridCol w:w="4161"/>
        <w:gridCol w:w="2290"/>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however, the storage of oxygen cylinders was not safe.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four oxygen cylinders observed in the facility were not secure so at risk of falling and exploding.  There were no signs indicating where oxygen was stored so that staff/emergency personnel could be aware of the danger of inflammable goods.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oxygen cylinders (full or empty) are secured and there is clear signage of where they are stored.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and training calendar schedule for 2020 -2021 documented; however, there was no evidence that manual handling training had occurred in the last eighteen months including no training on how to use two recently purchased hoists.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that manual handling training had occurred in the last eighteen months including no training on how to use two recently purchased hoists.  There was no evidence of competencies being undertaken for manual handling and transfer and/or hoist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manual handing training/hoist competencies are undertaken and a record of the same is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were documented at the end of each shift by the caregivers.  The caregivers progress notes were in line with care plan interventions and provided detail of the care provided, and any concerns or changes to resident’s condition.  The registered nurses documented in the progress notes only if there had been follow up of a caregiver’s concern, GP appointment or incident.  Not all progress notes documented by the registered nurse were identifiable or documented within expected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registered nurse progress notes were not clearly identifiable, and there were periods of two or more weeks with no RN progress notes documented in two rest home and four hospital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registered nurse progress notes are clearly identifiable and documented within expected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were in place for all residents and were completed and reviewed in a timely manner, however interventions to assist caregivers to care for residents were not always documented in sufficient detail.  The caregivers interviewed were experienced and knowledgeable, and ensured the appropriate equipment and care was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instruction documented in the care plans for caregivers around oral cares for eight of nine files (five hospital and three rest home).</w:t>
            </w:r>
          </w:p>
          <w:p w:rsidR="00EB7645" w:rsidRPr="00BE00C7" w:rsidP="00BE00C7">
            <w:pPr>
              <w:pStyle w:val="OutcomeDescription"/>
              <w:spacing w:before="120" w:after="120"/>
              <w:rPr>
                <w:rFonts w:cs="Arial"/>
                <w:b w:val="0"/>
                <w:lang w:eastAsia="en-NZ"/>
              </w:rPr>
            </w:pPr>
            <w:r w:rsidRPr="00BE00C7">
              <w:rPr>
                <w:rFonts w:cs="Arial"/>
                <w:b w:val="0"/>
                <w:lang w:eastAsia="en-NZ"/>
              </w:rPr>
              <w:t>ii). There were insufficient individualised details around management and de-escalation of challenging behaviour or anxiety for three rest home and two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iii). There were no non pharmaceutical interventions documented in the care plan for one hospital and one rest home resident.</w:t>
            </w:r>
          </w:p>
          <w:p w:rsidR="00EB7645" w:rsidRPr="00BE00C7" w:rsidP="00BE00C7">
            <w:pPr>
              <w:pStyle w:val="OutcomeDescription"/>
              <w:spacing w:before="120" w:after="120"/>
              <w:rPr>
                <w:rFonts w:cs="Arial"/>
                <w:b w:val="0"/>
                <w:lang w:eastAsia="en-NZ"/>
              </w:rPr>
            </w:pPr>
            <w:r w:rsidRPr="00BE00C7">
              <w:rPr>
                <w:rFonts w:cs="Arial"/>
                <w:b w:val="0"/>
                <w:lang w:eastAsia="en-NZ"/>
              </w:rPr>
              <w:t>iv). Advice and strategies from the GP for one hospital resident with challenging behaviour were not included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v). Interventions were lacking around management of vertigo for one rest home resident.</w:t>
            </w:r>
          </w:p>
          <w:p w:rsidR="00EB7645" w:rsidRPr="00BE00C7" w:rsidP="00BE00C7">
            <w:pPr>
              <w:pStyle w:val="OutcomeDescription"/>
              <w:spacing w:before="120" w:after="120"/>
              <w:rPr>
                <w:rFonts w:cs="Arial"/>
                <w:b w:val="0"/>
                <w:lang w:eastAsia="en-NZ"/>
              </w:rPr>
            </w:pPr>
            <w:r w:rsidRPr="00BE00C7">
              <w:rPr>
                <w:rFonts w:cs="Arial"/>
                <w:b w:val="0"/>
                <w:lang w:eastAsia="en-NZ"/>
              </w:rPr>
              <w:t>vi). There was no instruction around administration of a dietary supplement prescribed in the care plan for one rest home level resident.</w:t>
            </w:r>
          </w:p>
          <w:p w:rsidR="00EB7645" w:rsidRPr="00BE00C7" w:rsidP="00BE00C7">
            <w:pPr>
              <w:pStyle w:val="OutcomeDescription"/>
              <w:spacing w:before="120" w:after="120"/>
              <w:rPr>
                <w:rFonts w:cs="Arial"/>
                <w:b w:val="0"/>
                <w:lang w:eastAsia="en-NZ"/>
              </w:rPr>
            </w:pPr>
            <w:r w:rsidRPr="00BE00C7">
              <w:rPr>
                <w:rFonts w:cs="Arial"/>
                <w:b w:val="0"/>
                <w:lang w:eastAsia="en-NZ"/>
              </w:rPr>
              <w:t>vii). There were no instructions on how to place a CPAP machine on to a resident, required monitoring and signs and symptoms caregivers should be aware of documented in the care plan or included in the resident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viii). There were no risks identified in the restraint care plan for six hospital residents using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i-viii).  Ensure care plans are individualised and ensure interventions adequately guide caregivers.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Karaka Court Limited - Woodlands of Feilding</w:t>
    </w:r>
    <w:bookmarkEnd w:id="58"/>
    <w:r>
      <w:rPr>
        <w:rFonts w:cs="Arial"/>
        <w:sz w:val="16"/>
        <w:szCs w:val="20"/>
      </w:rPr>
      <w:tab/>
      <w:t xml:space="preserve">Date of Audit: </w:t>
    </w:r>
    <w:bookmarkStart w:id="59" w:name="AuditStartDate1"/>
    <w:r>
      <w:rPr>
        <w:rFonts w:cs="Arial"/>
        <w:sz w:val="16"/>
        <w:szCs w:val="20"/>
      </w:rPr>
      <w:t>1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