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Albany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Albany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2021</w:t>
      </w:r>
      <w:bookmarkEnd w:id="7"/>
      <w:r w:rsidRPr="009418D4">
        <w:rPr>
          <w:rFonts w:cs="Arial"/>
        </w:rPr>
        <w:tab/>
        <w:t xml:space="preserve">End date: </w:t>
      </w:r>
      <w:bookmarkStart w:id="8" w:name="AuditEndDate"/>
      <w:r w:rsidR="00A4268A">
        <w:rPr>
          <w:rFonts w:cs="Arial"/>
        </w:rPr>
        <w:t>14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Albany Home and Hospital provides rest home and hospital level care for up to 25 residents. There were 24 residents residing at the facility on audit days.</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service’s contract with the district health board. The audit process included the review of policies and procedures, review of resident and staff files, and observations and interviews with residents, family members, management, staff, and a general practitioner. </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There were eight areas identified as requiring improvement relating to: quality and management systems, human resource management, medication management, resident menu plans facility specifications and essential and emergency systems.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residents’ cultural, spiritual and individual values and beliefs are assessed on admission. Informed consent is practised, and written consent is gained when required. Services are provided that respect the independence, personal privacy, individual needs, and dignity of residents.</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is a documented and implemented complaints management system. The facility manager is responsible for managing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Experion Care New Zealand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by the facility manager to the Experion Care New Zealand Limited owner and support office.</w:t>
      </w:r>
    </w:p>
    <w:p w:rsidRPr="00A4268A">
      <w:pPr>
        <w:spacing w:before="240" w:line="276" w:lineRule="auto"/>
        <w:rPr>
          <w:rFonts w:eastAsia="Calibri"/>
        </w:rPr>
      </w:pPr>
      <w:r w:rsidRPr="00A4268A">
        <w:rPr>
          <w:rFonts w:eastAsia="Calibri"/>
        </w:rPr>
        <w:t>The facility is managed by an experienced facility manager with aged care experience, and they have been in this position since September 2020. The clinical lead is responsible for the oversight of the clinical services in the facility.</w:t>
      </w:r>
    </w:p>
    <w:p w:rsidRPr="00A4268A">
      <w:pPr>
        <w:spacing w:before="240" w:line="276" w:lineRule="auto"/>
        <w:rPr>
          <w:rFonts w:eastAsia="Calibri"/>
        </w:rPr>
      </w:pPr>
      <w:r w:rsidRPr="00A4268A">
        <w:rPr>
          <w:rFonts w:eastAsia="Calibri"/>
        </w:rPr>
        <w:t xml:space="preserve">There is an internal audit programme, risks are identified, and a hazard register is in place. Adverse events are documented on accident/incident forms. </w:t>
      </w:r>
    </w:p>
    <w:p w:rsidRPr="00A4268A">
      <w:pPr>
        <w:spacing w:before="240" w:line="276" w:lineRule="auto"/>
        <w:rPr>
          <w:rFonts w:eastAsia="Calibri"/>
        </w:rPr>
      </w:pPr>
      <w:r w:rsidRPr="00A4268A">
        <w:rPr>
          <w:rFonts w:eastAsia="Calibri"/>
        </w:rPr>
        <w:t>The appointment and management of staff is based on good practice and current practising certificates are kept on file.</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r w:rsidRPr="00A4268A">
        <w:rPr>
          <w:rFonts w:eastAsia="Calibri"/>
        </w:rPr>
        <w:t>Resident information is accurately recorded, securely stored and not accessible to unauthorised people. The name and designation of staff making entries in clinical files are recorded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development of care plans with input from residents, staff, and family member representatives. Care plans are individualised, based on a comprehensive range of information and accommodate any new problems as they arise. Files reviewed demonstrated that the care provided and needs of the residents are reviewed and evaluated. The planned activities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 xml:space="preserve">There is a medicine management system in place, the service uses an automated medication chart system. The medicine charts had been reviewed by the GP at least three monthly or when required. </w:t>
      </w:r>
    </w:p>
    <w:p w:rsidRPr="00A4268A" w:rsidP="00621629">
      <w:pPr>
        <w:spacing w:before="240" w:line="276" w:lineRule="auto"/>
        <w:rPr>
          <w:rFonts w:eastAsia="Calibri"/>
        </w:rPr>
      </w:pPr>
      <w:r w:rsidRPr="00A4268A">
        <w:rPr>
          <w:rFonts w:eastAsia="Calibri"/>
        </w:rPr>
        <w:t>The food service is provided onsite and caters for residents, nutritious meals, snacks, and fluids are provided in line with recognised nutritional guidelines. Residents who require special or modified meals are reliably catered for. Snacks and drinks are available 24 hours for residents if needed.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displayed. There is a maintenance programme, and this includes a system for equipment and electrical checks. Fixtures, fittings, floor and wall surfaces are made of acceptable materials for this environment.</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and dining areas,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 xml:space="preserve">A call bell system is available to allow residents to access help when required. </w:t>
      </w:r>
    </w:p>
    <w:p w:rsidRPr="00A4268A">
      <w:pPr>
        <w:spacing w:before="240" w:line="276" w:lineRule="auto"/>
        <w:rPr>
          <w:rFonts w:eastAsia="Calibri"/>
        </w:rPr>
      </w:pPr>
      <w:r w:rsidRPr="00A4268A">
        <w:rPr>
          <w:rFonts w:eastAsia="Calibri"/>
        </w:rPr>
        <w:t>Protective equipment and clothing are provided and used by staff. Chemicals are safely stored. The laundry is conducted on site. Cleaning of the facility is conducted by household staff and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The Clinical Nurse Leader is the restraint coordinator. A risk register is maintained. There was one resident using restraint and one enabler at the time of the audit. The restraint policy outlines that the use of enablers shall be voluntary with the intention of promoting residents’ independence and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 is appropriate for the size, complexity and degree of risk associated with the service. The infection control nurse is responsible for coordinating, educating, and training staff. There are infection control policies and guidelines to guide the practice. Infection data is collated monthly and analysed. The infection control nurse uses the information obtained through surveillance to determine infection control activities and education needs.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1"/>
        <w:gridCol w:w="1280"/>
        <w:gridCol w:w="100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processes are in place to meet the obligations in relation to the code of Health and Disability Services Consumers’ Rights (the Code). (refer to 1.2.3.4). staff interviewed understood the requirements of the code. Staff were respectful of residents’ rights as observed in their communications with residents and family members; encouraging residents’ independence; and maintaining residents’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Training in the code is included in the staff orientation process and part of the ongoing training (refer 1.2.3.4 and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consents using the organisation’s standard consent form that includes consent for photographs, outings, and collection and sharing of health information. Consent is also obtained on an as-required basis, such as for influenza and covid 19 vaccinations.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residents. Residents confirmed they were supported to make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included in the staff orientation programme and in the ongoing education programme for staff (refer to 1.2.7.5). Staff demonstrated understanding of the advocacy service, with contact details for the service readily available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advocacy service as part of the admission process. Residents and family members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activities programme includes regular outings in the facility’s hired mobility van and participation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welcome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(refer to 1.2.3.4). Systems are in place that ensure residents and their family are advised on entry to the facility of the complaints process and the Code. The complaints forms are displayed and accessible within the facility. Staff interviews confirmed their awareness of the complaints process.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complaints management. There have been no complaints received from external sources since the previous audit. A complaints register is maintained with all verbal complaints captured on a separate register. Both indicated no documented complaints since September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new residents and their family are given a copy of the code and information on the Nationwide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Posters on the code in English are displayed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communicated their knowledge about the need to maintain residents’ privacy and were observed doing so throughout the audit. The nurses’ station is located, in the residents dining room. Residents’ information and medication is located, in the same area (refer to 1.2.12.1). Staff interviewed understood the need to ensure residents files and information, including verbal was undertaken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outings, confirmed at resident and family interviews.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 and in the mandatory staff study days (refer to 1.2.3.4, 1.2.7.3 and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(refer to 1.2.3.4). Any additional cultural support, if required, would be accessed locally, confirmed at clinical leader (CL) interview. At the time of the audit there was one resident who identified as Māori. The review of their clinical file and interview confirmed their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Family/whānau are able to visit their family members at the facility and are part of the care planning and evaluation of care process. Interviewed with family confirmed they were informed of their whānau member’s changes in condition when this occurred and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documented in the care plans reviewed. Residents and family members stated they had been consulted about residents’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policies and procedures and communicated understanding of what would constitute inappropriate behaviour and the process they would follow should they suspect this was occurring (refer to 1.2.3.4).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information related to all forms of discrimination and exploitation, professional boundaries and expected behaviours (refer to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the comprehensive education schedule (refer to 1.2.3.4 and 1.2.7.5).</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input from external specialist services and allied health professionals, for example palliative care specialists and wound care specialists.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accident/incident forms showed timely communication with residents and or family members. Communication with family members is also recorded in the clinical files reviewed at audit. The residents and family members stated they were kept informed about any changes to their own or their relatives’ status and were advised about accidents or incidents and the outcomes of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 members interviewed reported meetings have not been held since September 2020 (refer 1.2.3.6).</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interpreter services can be accessed via the district health board (DHB) or Interpreting New Zealand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Home and Hospital (AHH) is part of the Experion Care New Zealand Limited (EC) group. A facility manager (FM) oversees the management of the facility. The FM provides regular emails and has regular phone calls to the EC director who currently resides overseas.</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of the organisation with values and goals and theses are communicated to residents, staff, and family through a poster on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the overall management of the service and has been in this role since September 2020. The FM is supported by a clinical nurse lead (CNL) who is responsible for the oversight of clinical services. The CNL is an RN with experience in aged residential care. The CNL has been in the role since February 2021and was previously employed as a RN. However, the CNL has resigned from the position and is currently completing her three months’ notice. There have been no plans actioned to date, for a replacement.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25 residents, with 24 beds occupied at the audit. 20 rooms are designated as dual purpose and five rooms at rest home level care only. This included 13 residents requiring rest home level care, 7 requiring hospital level care. One resident was under a palliative contract, and one resident on respite care. There were two residents on a long-term chronic condition contract at hospital level, one of whom was under 65 years of 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FM, the CNL or a casual RN who was the previous owner will carry out required duties under delegated authority supported by other rostered registered nurses. Other experienced managers from a sister EC facility can be called in to provide cover and oversight if required.</w:t>
            </w:r>
          </w:p>
          <w:p w:rsidR="00EB7645" w:rsidRPr="00BE00C7" w:rsidP="00BE00C7">
            <w:pPr>
              <w:pStyle w:val="OutcomeDescription"/>
              <w:spacing w:before="120" w:after="120"/>
              <w:rPr>
                <w:rFonts w:cs="Arial"/>
                <w:b w:val="0"/>
                <w:lang w:eastAsia="en-NZ"/>
              </w:rPr>
            </w:pPr>
            <w:r w:rsidRPr="00BE00C7">
              <w:rPr>
                <w:rFonts w:cs="Arial"/>
                <w:b w:val="0"/>
                <w:lang w:eastAsia="en-NZ"/>
              </w:rPr>
              <w:t>Management interviewed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Home and Hospital uses the Albany Home 2004 quality and risk management framework that is documented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not currently reviewed the Albany home 2004 organisational policies and procedures to support delivery of service, therefore policies and procedures are not current. Hard copies of the previous owners’ policies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and implementation of an internal audit programme. The June 2020 patient satisfaction survey was collated, and corrective actions where required implemented.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such as resident, staff, health and safety infection prevention and control, restraint have not been conducted since September 2021.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Hazards are addressed, and risks are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on an accident/incident form. Accident/incident forms are completed by staff who either witness an adverse event or were the first to respond. Accident and incident forms are reviewed by management and signed off when completed. The registered nurses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for example, health and safety, human resources, and infection control refer to 1.2.3.4). The FM is aware of situations in which the service would need to report and notify statutory authorities including police attending the facility: unexpected deaths; sentinel events; notification of a pressure injury; infectious disease outbreaks: and changes in key clinical mangers. Authorities have been notified of the appointment of the CNL and when RN coverage was unavailable for a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(refer to 1.2.3.4). The selection and approval of all new staff is the responsibility of the FM. A sample of staff files reviewed (six) indicated the organisations policies and procedures were not consistently implemented and records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 and practitioners’ certificates are current. Current certificates were evidenced for all staff and contractors that require them. No staff has been employed for over a 12-month period therefore performance reviews had not been completed, this is planned to begin in September 2021.</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health care assistants (HCA) confirmed new HCAs are paired with a senior HCA for shifts or until they demonstrate competency on a number of tasks including personal cares for residents. Health care assistants confirmed their roles in supporting and buddying new staff. Completed orientations were not signed in 3 of 6 staff files reviewed. (Sample extended to six to confirm nonconformity).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RNS, including the CNL, that were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which is linked to the orientation package, however not all staff have attended the mandatory education and training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contractual requirements. The FM, the CNL and a casual senior RN are available during the weekdays and on call after hours and weekends. Adequate on-site RN cover is a regional and a facility issue. The required authorities had been informed when there was insufficient RN coverage. Coverage was provided by usage of senior HCAs and the senior casual RN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currently work 12 hour shifts to ensure adequate on-site RN cover, 7 days a week. Registered nurses are supported by sufficient numbers of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completed by the FM and overseen by the CNL.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HCA reported there were adequate staff available and that they are able to get through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are in hard copy and stored in the secured in the locked cupboard in the patients dining area. Entries are legible, dated and signed by the relevant staff member including designation. Individual residents’ files demonstrate service integration. 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Electronic data is password protected and can only be accessed by designated staff. Archived records are held securely on site and are readily retrievable.</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information packs for Albany Home and Hospital are provided for families and residents prior to admission or on entry to the service. Level of care assessments are completed and confirmed by the (NASC) team. Assessments and entry screening processes are documented and clearly communicated to resident/family where appropriate, referral agencies and local communities. Family/whanau interviewed confirmed that they received information regarding the services to be provided. Residents’ entry into the service is facilitated in a competent, equitable, timely and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/family member as appropriate. There is a documented process in place and open communication between all services, the resident, and the family. At the time of transition, appropriate information is provided to the person/facility responsible for the ongoing management of the resident. The service uses the DHB’s yellow envelope system to facilitate the transfer of residents to and from acute care services.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chart. GP conducts three monthly reviews of medication sighted in all sampled medication charts; allergies are indicated. All medication packs are checked by the RN on delivery against medication charts every month. Medicines held in stock are checked every month and any expired medicines are returned to the pharmacy promptly. A registered nurse was observed administering medicines and complying with required medication protocol guidelines and legislative requirements. The CNL reported there no residents who self-administer medication. Self-administration process are in place if required. Weekly controlled drug stocktakes are conducted, monitoring of medication fridge temperatures and medication storage room is conducted, and records were sighted. Medications are stored securely in the medication trolley.  The service does not store any vaccines onsite. The CNL reported annual medication competency is completed for all staff administering medications. There are no medication errors reported, process is in place if there is a medication error.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to ensure medication management meets legislative and best practice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provided on site, the main cook planning the menu, ordering supplies, and ensuring required food service standards are maintained. In the absence of the cook other kitchen staff members run the kitchen and prepare meals. All staff who work in the kitchen have had food safety training. The cook was familiar with the food service policies and procedures and was aware of the special dietary requirements of the residents. The registered nurse completes a dietary assessment on admission, which is reviewed at least six monthly, a copy of this is given to the kitchen. The residents’ weights are monitored monthly, and supplements are provided to residents with identified weight loss issues. Snacks and drinks are available for residents when required. The kitchen was sighted and was observed to be clean and tidy. All food stored in the fridge and freezer was covered and dated. Records sampled confirmed daily fridge and freezer temperatures were recorded, cleaning records were also sighted. Cleaning materials and products were kept separate to food stuffs. Food is ordered weekly, or as required. All food on site looked fresh, with no food seen expired. A valid food service plan certification sighted. Residents/families spoken to provided positive feedback about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Timely review of menu by the registered dietitian could be improved.</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and a food training schedule in place (refer to 1.2.3.4 and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declines residents if there are no beds available or if the level of care required is outside of the scope of the organisation. Any person/s declined are advised as to the reason and referred to the assessment and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admitted to the service have an initial assessment completed within 24 hours. The initial assessment is comprehensive and utilises a range of assessment tools including but not limited to risk falls assessment, pressure area, dietary, oral, pain, and nutritional assessments. Files sampled evidenced ongoing assessment at six monthly periods and more frequently if required. A wound assessment tool was available for use, however there were no residents with wounds at the time of the audit. All resident files had interRAI assessments that had been completed within the past six months. Family members interviewed advised that they had been notified when an updated assessment had been completed. All files sampled had monthly recording of the resident’s vital signs and weight. Residents with diabetes had regular blood sugar levels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long-term and short-term care plans are developed for acute and long-term needs. Care plans are resident-focused, goals are specific and measurable, and interventions are detailed to address the desired goals/outcomes identified during the assessment process. Assessments were completed in a timely manner, the interRAI assessment process informs the development of the care plan. The residents and family/whanau interviewed confirmed care delivery and support is consistent with their expectations and plan of care. Staff interviewed reported they found the care plan helpful and guide the residents’ care, the verbal and written handover that occurs at the beginning of each shift promotes continuity in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long-term care plans and short care plans are adequate to address the resident assessed needs and desired outcomes /goals. The care and interventions are regularly evaluated to ensure set goals are achieved. Significant changes are reported in a timely manner and prescribed orders carried out satisfactorily as confirmed by the GP in the interview conducted and records sighted. Monthly observations are completed and are up to date including weight, blood pressure monitoring, and blood glucose monitoring. Behaviour management plans are developed with multi-disciplinary input and describe types of behaviour, possible triggers, and interventions. The CNL and the GP initiate any specialist referrals to required health services. A range of equipment and resources were available, suited to the level of care provided and following the residents’ needs. Staff confirmed they have access to the supplies and products they needed. There is adequate PPE in place. EPOA /families interviewed were satisfied with the information provided about the support available to residents in the community, confirmed care delivery and support by staff is consistent with their expectations. They were kept informed of any changes to the residents’ health status. Resident files sampled recorded communication with EPOA/ family. Staff interviewed confirmed the interventions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appropriate to the residents’ needs and abilities. The activities are based on assessment and reflect the residents’ social, cultural, spiritual, physical, cognitive needs/abilities, past hobbies, interests, and preferences. Residents’ activities assessment is completed within two weeks of admission in consultation with the family. Copy of the activities schedule provided to residents and displayed on the board in the resident’s lounge for reminder. The activities are conducted by the activities coordinator with oversight from the CNL, activities coordinator formulates activities daily depending on the weather conditions, suggestions from family/whanau and events of the day. Residents’ Sampled files have a documented activity plan that reflects their preferred activities of choice and are evaluated every six months or as necessary. There are planned activities and community connections that are suitable for the residents. The activities coordinator reported the activities provided are individualised to meet the individual special needs of young person with disabilities. Maori residents participate in the planned activities as per their choice and preferences, including family/whanau social activities.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long-term care plans, InterRAI assessments, and activity plans are evaluated at least every six months and updated in a timely manner when there are any changes. Family/whanau, residents, and staff are consulted in the review process. The evaluations record how the resident is progressing towards meeting their goals and responses to interventions. Short-term care plans are developed when needed, signed, and closed out when the short-term problem has been resolved. Activities care plan reviewed and current. The multidisciplinary review includes the family /EPOA and are conducted 3 monthly and if required. Pharmacist and allied health input are taken as relevant to the resident condition. In interviews conducted, the family members reported that they are kept informed of any changes identified in the care plan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CNL confirmed that processes are in place to ensure that all referrals are followed up accordingly. GP and the nursing team sends a referral to seek specialist services assistance from the district health board (DHB).  Referrals are followed up on a regular basis by the nursing team or the GP. The resident and the family are kept informed of the referral process, as verified by documentation and interviews. Acute or urgent referrals are attended,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(refer to 1.2.7.5). Safety data sheets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(employed end of May 2021) is developing a maintenance programme based on the requirements of the building and the standards. Staff are aware of the processes of reactive maintenance requests to ensure timely repairs are conducted, confirmed by staff and maintenance interviews. The maintenance staff member confirmed the building is older and requires refurbishment and repainting in several places, such as internal doors and bathrooms. Observed at audit the refurbishment of these areas was being undertaken.</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equipment and calibration of biomedical equipment was not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are maintained by the maintenance staff member.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van is owned by the previous owners and was being serviced and checked for legislative requirements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Appropriately secured and approved handrails are provided in the toilet/shower areas, and other equipment/accessories are available to promote resident independence. The bathrooms have been placed on the maintenance schedule to ensure all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Toilets and showers have a system that indicates if they are vacant or occupied.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bedrooms. The 20 dual-purpose rooms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 residents dining room is shared as the nurses’ station (refer to 1.3.12.1).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(refer to 1.2.3.4). Laundry is completed on site. Interview with the household staff member confirmed residents’ personal clothes, such as woollen clothes are washed separately and the management of laundry including the transportation, sorting, storage, laundering and the return of clean laundry to the residents. There is a dirty clean flow provided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household member also does the cleaning and described the cleaning processes and the use of chemicals for cleaning purposes. There are safe and secure storage areas for cleaning equipment and chemicals and staff have access to these areas as required. </w:t>
            </w:r>
          </w:p>
          <w:p w:rsidR="00EB7645" w:rsidRPr="00BE00C7" w:rsidP="00BE00C7">
            <w:pPr>
              <w:pStyle w:val="OutcomeDescription"/>
              <w:spacing w:before="120" w:after="120"/>
              <w:rPr>
                <w:rFonts w:cs="Arial"/>
                <w:b w:val="0"/>
                <w:lang w:eastAsia="en-NZ"/>
              </w:rPr>
            </w:pPr>
            <w:r w:rsidRPr="00BE00C7">
              <w:rPr>
                <w:rFonts w:cs="Arial"/>
                <w:b w:val="0"/>
                <w:lang w:eastAsia="en-NZ"/>
              </w:rPr>
              <w:t>A sluice room is available for the disposal of soiled water and waste. A recent infection prevention and control audit related to covid-19 planning and implementation by the DHB highlighted the sluice room does not meet current standards. The FM described planning has started for alterations to meet current standards.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meetings have not been held to ascertain satisfaction with the laundry and cleaning of services (refer to 1.2.3.6).</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Disaster and civil defence planning guides direct the facility in their preparation for disasters and describe the procedures to be followed in the event of a fire or other emergency. Training and fire evacuation required under health and safety is yet to occur. The orientation programme includes fire and security training. (refer to 1.2.7.5).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lighting, gas for cooking, emergency water supply, blankets in case of emergency. Emergency equipment accessibility, storage and stock availability is to a level appropriate to the level of the number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and is appropriate to the resident groups and settings. Call bells are accessible/within reach and available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security systems are in place and staff are aware of security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rooms are heated with adjustable heating panels. Common areas night stores. On the days of the audit the indoor temperature was comfortable.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facilities are maintained at a comfortable temperature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an RN assigned to the program is responsible for the infection control programme. There are policies and procedures for the size and scope of the service. Infection prevention and control is a standard agenda item in all monthly staff meetings (refer 1.2.3.4 and 1.2.3.6). Recent infections, potential causes, treatments, and outcomes are discussed. There is a sign at the facility entrance requesting visitors who are unwell to avoid visiting, and relatives are informed of this when a resident is admitted. There are family meetings that cover aspects of infection control and if they are unwell, it is recommended that they do not visit the service. During covid 19, higher risk times of community infections and winter season notices are placed at the door to remind people not to visit if they are unwell, there is sanitising hand gel at the entrance and throughout the service. Vaccination offered for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Albany Hospital and Home infection prevention and control manual is available to guide staff and to ensure the IPC standards are effectively met (refer to 1.2.3.4). The ICC is responsible for implementing the infection control programme and indicated there are adequate human, physical, and information resources to implement the programme. Collation, analysis, and reporting of infection are completed and discussed at three monthly staff and management meetings (refer to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reported resources in place to manage the program through covid -19 restrictions period, adequate PPEs sighted on the audit day; disinfectant gel distributed around the facility. The ICC has access to all relevant resident data to undertake surveillance, internal audits, and investigations, respectively. Staff interviewed reported sufficient resources and disposable items for daily use, and adequate during last covid-19 restrictions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and procedures reflect the requirements of the infection prevention and control standards and current accepted good practice (refer to 1.2.3.4). Care delivery, cleaning, laundry, and kitchen staff were observed following organisational policies, such appropriate use of hand-sanitisers, good hand washing technique and use of disposable aprons and gloves. Hand washing and sanitiser dispensers are readily available around the facility. Staff demonstrated knowledge on the requirements of standard precautions and able to locate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reported staff education on infection prevention and control is conducted during handover session and online education resources, the CNL attends the regional infection control and prevention college meetings and provided information and updates to the ICC and staff. The training education information pack is detailed and meets current best practices and guidelines (refer to 1.2.3.4 and 1.2.7.5). External contact resources included the GP, laboratories, and local district health board specialist nurse. The ICC and staff interviewed confirmed an understanding of how to implement infection prevention and control activities into their everyday practice, there is an understanding of outbreak management where visitors are warned of any outbreak and advised to stay away until contained.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 has been implemented and documented. Infection surveillance practice, activities, and outcomes are well documented and supported with evidence of compliance sighted. Recommendations to assist in achieving infection reduction and prevention outcomes are acted upon, evaluated, and reported in a timely manner. The CNL and ICC oversee the program and staff are informed of surveillance outcomes. Graphs and charts used to present results and benchmarking done through comparison with the previous period. An infection report is completed, and infections are signed off when resolved. Antibiotic usage is monitored and documented through infection reports. The infection register was sighted and is completed monthly. Hand washing audits are completed annually. An infection control annual report was completed. There were no infection outbreaks reported since the last audit. This is not reported through to management and at staff meetings (Refer to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is the restraint coordinator, provides support and oversight for enabler and restraint management in the facility (refer to 1.2.7.3). On the day of the audit, one resident on enabler bed accessory. Use of enablers is voluntary for the safety of residents in response to individual requests. One resident was on restraint as a lap belt. A comprehensive assessment, approval, and monitoring process with regular reviews occurs. The restraint coordinator reported restraint is part of orientation and training is provided annually or as necessary (refer to 1.2.7.5). Approved restraint includes bed rails and lap belts. The staff interviewed were clear regarding the difference between restraint and enabler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/restraint coordinator provides support and oversight for enabler and restraint management in the facility. A restraint register is maintained, updated every month, and reviewed at each restraint approval group meeting. The register was reviewed and contained residents currently using a restraint and enough information to provide an auditable record. Staff are aware enablers must be the least restrictive and used voluntarily at a resident’s request. The restraint can be used as a last resort when all alternatives have been explored and this would trigger a referral for assessment. The restraint in use lap belt have been approved by the Restraint team. The bed rails used for safety of residents due to frequent falls as described by the Restraint Coordinator. The assessment forms have been completed, approvals taken from the Quality and resident safety team include facility manager. Restraint coordinator and GP signed on the restraint in use as evidenced by records sighted. EPOA have signed consent for restraint use. Staff interviewed shown good understanding of restraint and enabler use, and care of resident with restraint. The restraint coordinator reported restraint is part of orientation and training is provided annually or as necessary. No training records were sighted (refer to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 showed required assessments were completed prior to restraint use and on regular intervals. Risks related to the use of restraint have been identified, falls risk assessment identified high risk for falls. Pain, continence, dietary, skin, and behavioural assessment conducted. The assessment forms have been completed, signed by the restraint coordinator /RN. Approvals taken from the quality and resident safety team include facility manager, CNL/restraint coordinator, RN and GP reviewed and signed on the restraint in use as evidenced by the medical notes and records sighted. EPOA have signed fully completed consent for restraint use. The restraint use, desired outcomes evaluated in the care plan, and interRAI review. evaluation covers all requirements as per policy include options to eliminate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described that restraint can be used as a last resort when all alternatives have been explored and that this would trigger a referral for assessment. Assessment is conducted prior to restraint use to include any potential risks, falls risk assessment, any behavioural challenges, nutritional and alternative interventions such as activities are clearly documented. The assessment forms have been completed in all sample files by the CNL/restraint coordinator and GP review sighted, Restraint register maintained and sighted. The Restraint Coordinator reported restraint is part of orientation and training is provided annually or as necessary, Staff orientation and training on de-escalation intervention and behavioural challenges management is provided annually and through handover sessions as required (refer to 1.2.7.5). Staff interviewed indicated a good understanding of restraint and enabler use, and care of resident with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process covers all requirements of this standard, including future options to eliminate the use, and reduce the impact the restraint had on resident, the support provided, safety precautions, and outcomes achieved. Restraint audits were completed, and corrective action plans were implemented where required. Monitoring of residents with restraint and enabler completed by the care staff on regular basis. A review of residents’ files and restraint records showed that the individual use of restraints was reviewed and evaluated during care plan, interRAI reviews, three and six-monthly restraint evaluations, and at the restraint approval group meetings. Families interviewed confirmed their involvement in the evaluation process and their satisfaction with the restraint process, that includes behavioural assessment, culturally safe practice. Long term care plans include restraint expected goals and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committee conducts a three-monthly review of all restraint use which includes all the requirements of this standard. Individual restraint uses and monitoring results are reported in the quality and staff meetings every two months (refer 1.2.3.6). Restraint records reviewed confirmed this included analysis and evaluation of the amount and type of restraint used in the facility, whether all alternatives to restraint have been considered, and the effectiveness of the restraint in use, as evidence sighted. Restraint use competency assessments for staff were completed annually as reported by the restraint coordinator. Any changes to policies, guidelines, education, training needs, and processes are implemented if indicated, as reported by the restraint coordinator during interview. The service copy with restraint policies and procedures as sighted (refer 1.2.3.4).</w:t>
            </w:r>
          </w:p>
          <w:p w:rsidR="00EB7645" w:rsidRPr="00BE00C7" w:rsidP="00BE00C7">
            <w:pPr>
              <w:pStyle w:val="OutcomeDescription"/>
              <w:spacing w:before="120" w:after="120"/>
              <w:rPr>
                <w:rFonts w:cs="Arial"/>
                <w:b w:val="0"/>
                <w:lang w:eastAsia="en-NZ"/>
              </w:rPr>
            </w:pPr>
            <w:r w:rsidRPr="00BE00C7">
              <w:rPr>
                <w:rFonts w:cs="Arial"/>
                <w:b w:val="0"/>
                <w:lang w:eastAsia="en-NZ"/>
              </w:rPr>
              <w:t>Staff training to be recorded and maintained (Refer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2"/>
        <w:gridCol w:w="1280"/>
        <w:gridCol w:w="5089"/>
        <w:gridCol w:w="2400"/>
        <w:gridCol w:w="20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Home and Hospital uses the Albany Home 2004 quality and risk management framework that is documented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not currently reviewed the Albany home 2004 organisational policies and procedures to support delivery of service, therefore policies and procedures are not current. Hard copies of the previous owners’ policies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and implementation of an internal audit programme. The June 2020 patient satisfaction survey was collated, and corrective actions implemented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such as resident, staff, health and safety infection prevention and control, restraint have not been conducted since September 2020</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Hazards are addressed, and risks are minimised or isolated.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is no documented evidence the policies and procedures have been reviewed or updated since the change of ownership.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(ii)Policies were noted not to have a date to reference as to date of review or authorisation </w:t>
            </w:r>
          </w:p>
          <w:p w:rsidR="00EB7645" w:rsidRPr="00BE00C7" w:rsidP="00BE00C7">
            <w:pPr>
              <w:pStyle w:val="OutcomeDescription"/>
              <w:spacing w:before="120" w:after="120"/>
              <w:rPr>
                <w:rFonts w:cs="Arial"/>
                <w:b w:val="0"/>
                <w:lang w:eastAsia="en-NZ"/>
              </w:rPr>
            </w:pPr>
            <w:r w:rsidRPr="00BE00C7">
              <w:rPr>
                <w:rFonts w:cs="Arial"/>
                <w:b w:val="0"/>
                <w:lang w:eastAsia="en-NZ"/>
              </w:rPr>
              <w:t>(ii)Polices referred to an email address which is the previous owners contact details</w:t>
            </w:r>
          </w:p>
          <w:p w:rsidR="00EB7645" w:rsidRPr="00BE00C7" w:rsidP="00BE00C7">
            <w:pPr>
              <w:pStyle w:val="OutcomeDescription"/>
              <w:spacing w:before="120" w:after="120"/>
              <w:rPr>
                <w:rFonts w:cs="Arial"/>
                <w:b w:val="0"/>
                <w:lang w:eastAsia="en-NZ"/>
              </w:rPr>
            </w:pPr>
            <w:r w:rsidRPr="00BE00C7">
              <w:rPr>
                <w:rFonts w:cs="Arial"/>
                <w:b w:val="0"/>
                <w:lang w:eastAsia="en-NZ"/>
              </w:rPr>
              <w:t>(iv)There were a number of versions of the same policy with no indication which was the current policy</w:t>
            </w:r>
          </w:p>
          <w:p w:rsidR="00EB7645" w:rsidRPr="00BE00C7" w:rsidP="00BE00C7">
            <w:pPr>
              <w:pStyle w:val="OutcomeDescription"/>
              <w:spacing w:before="120" w:after="120"/>
              <w:rPr>
                <w:rFonts w:cs="Arial"/>
                <w:b w:val="0"/>
                <w:lang w:eastAsia="en-NZ"/>
              </w:rPr>
            </w:pPr>
            <w:r w:rsidRPr="00BE00C7">
              <w:rPr>
                <w:rFonts w:cs="Arial"/>
                <w:b w:val="0"/>
                <w:lang w:eastAsia="en-NZ"/>
              </w:rPr>
              <w:t>(v)The restraint polices were dated last reviewed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policies and procedures are managed to ensure all documents are approved, up to date and a system is introduced to manage the use of obsolete documents.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staff, residents, family members and the FM reported there have been no formal meetings since the change of owner ship in September 2020. Quality data such as audits, accident/incidents, infection prevention and control data is collected. However, this is not communicated to the residents, staff or EC management.</w:t>
            </w:r>
          </w:p>
          <w:p w:rsidR="00EB7645" w:rsidRPr="00BE00C7" w:rsidP="00BE00C7">
            <w:pPr>
              <w:pStyle w:val="OutcomeDescription"/>
              <w:spacing w:before="120" w:after="120"/>
              <w:rPr>
                <w:rFonts w:cs="Arial"/>
                <w:b w:val="0"/>
                <w:lang w:eastAsia="en-NZ"/>
              </w:rPr>
            </w:pPr>
            <w:r w:rsidRPr="00BE00C7">
              <w:rPr>
                <w:rFonts w:cs="Arial"/>
                <w:b w:val="0"/>
                <w:lang w:eastAsia="en-NZ"/>
              </w:rPr>
              <w:t>All staff reported informal meetings are held and family and residents reported they were aware of the happenings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official meetings held at the facility since the change of ownership. This includes, resident, staff, health and safety, infection prevention and control, restraint and quality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formal meetings are held regularly and document evidence that information has been provided to key stakeholders.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inconsistencies in the required documentation of human resources, to ensure all documentation and practices align with legislation and good employment practices.</w:t>
            </w:r>
          </w:p>
          <w:p w:rsidR="00EB7645" w:rsidRPr="00BE00C7" w:rsidP="00BE00C7">
            <w:pPr>
              <w:pStyle w:val="OutcomeDescription"/>
              <w:spacing w:before="120" w:after="120"/>
              <w:rPr>
                <w:rFonts w:cs="Arial"/>
                <w:b w:val="0"/>
                <w:lang w:eastAsia="en-NZ"/>
              </w:rPr>
            </w:pPr>
            <w:r w:rsidRPr="00BE00C7">
              <w:rPr>
                <w:rFonts w:cs="Arial"/>
                <w:b w:val="0"/>
                <w:lang w:eastAsia="en-NZ"/>
              </w:rPr>
              <w:t>The FM explained recruitment and retention of staff especially registered nurses has been an issue since September 2020. This is a regional issue highlighted since covid 19 border controls. This has impacted on the service with the number of new staff and the recent high turnover of staff.</w:t>
            </w:r>
          </w:p>
          <w:p w:rsidR="00EB7645" w:rsidRPr="00BE00C7" w:rsidP="00BE00C7">
            <w:pPr>
              <w:pStyle w:val="OutcomeDescription"/>
              <w:spacing w:before="120" w:after="120"/>
              <w:rPr>
                <w:rFonts w:cs="Arial"/>
                <w:b w:val="0"/>
                <w:lang w:eastAsia="en-NZ"/>
              </w:rPr>
            </w:pPr>
            <w:r w:rsidRPr="00BE00C7">
              <w:rPr>
                <w:rFonts w:cs="Arial"/>
                <w:b w:val="0"/>
                <w:lang w:eastAsia="en-NZ"/>
              </w:rPr>
              <w:t>On interview the infection prevention and control co-ordinator was unaware of the existence of a position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was no evidence of police checking for any new employee</w:t>
            </w:r>
          </w:p>
          <w:p w:rsidR="00EB7645" w:rsidRPr="00BE00C7" w:rsidP="00BE00C7">
            <w:pPr>
              <w:pStyle w:val="OutcomeDescription"/>
              <w:spacing w:before="120" w:after="120"/>
              <w:rPr>
                <w:rFonts w:cs="Arial"/>
                <w:b w:val="0"/>
                <w:lang w:eastAsia="en-NZ"/>
              </w:rPr>
            </w:pPr>
            <w:r w:rsidRPr="00BE00C7">
              <w:rPr>
                <w:rFonts w:cs="Arial"/>
                <w:b w:val="0"/>
                <w:lang w:eastAsia="en-NZ"/>
              </w:rPr>
              <w:t>(ii)Registered nurses have been allocated the positions of infection prevention and control and restraint coordinators: however, positions descriptions were not evident in the staff members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human resource management processes meet current good employment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orientation process in place for all staff. Three of six staff files reviewed did not have recorded evidence of orientation. This included the new maintenance person, the clinical nurse lead, and an HCA. The orientation programme includes mandatory training such as fire drill, handwashing infection control and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There is a mandatory education schedule that covers the requirements of the standard and includes training for medication and first aid competencies. Staff had attended training for first aid and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(i)Not all staff have completed the required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(ii)not all staff have competed the mandatory annual training and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staff have completed the required orientation programme and mandatory training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chart. There is facility designed medication administration form, details handwritten by nurses from discharge summary /discharge prescription and used temporarily to administer and sign medications until medication charted by GP in the Medication administration electronic system. Transcribing records sighted at Audit. it is evident that Registered Nurses currently transcribe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medicines and complying with required medication protocol guidelines and legislative requirements. In review of sample medication chart, it is evident outcome of PRN medications not documented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GP conducts three monthly reviews of medication sighted in all sampled medication charts; allergies are indicated, however in seven of medication chart sighted no entry made in for residents with No known Drug Allergies (NKDA), Un known Allergies not documented for residents with no allergies.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the medication trolley. On checking the food storage fridge at Audit, two packs of medication seen stored in the food fridge. During audit check it was sighted that controlled drug stored in locked wooden cupboard located in the resident dining room, not in a compartment that was constructed of metal or concrete.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(i)Registered Nurses currently transcribe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outcome of PRN medications not documented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(iii)six monthly stocktaking of controlled drugs has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(IV) Un known Allergies, No known Drug Allergies (NKDA) not documented for residents with no allergies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(V) Medication was stored in the food fridge.</w:t>
            </w:r>
          </w:p>
          <w:p w:rsidR="00EB7645" w:rsidRPr="00BE00C7" w:rsidP="00BE00C7">
            <w:pPr>
              <w:pStyle w:val="OutcomeDescription"/>
              <w:spacing w:before="120" w:after="120"/>
              <w:rPr>
                <w:rFonts w:cs="Arial"/>
                <w:b w:val="0"/>
                <w:lang w:eastAsia="en-NZ"/>
              </w:rPr>
            </w:pPr>
            <w:r w:rsidRPr="00BE00C7">
              <w:rPr>
                <w:rFonts w:cs="Arial"/>
                <w:b w:val="0"/>
                <w:lang w:eastAsia="en-NZ"/>
              </w:rPr>
              <w:t>(VI) Controlled drug was stored in locked cupboard in the residents dining room, not in a compartment that was constructed of metal or concrete.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management process meets legislative and best practice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was familiar with the food service policies and procedures and was aware of the special dietary requirements of the residents. The registered nurse completes a dietary assessment on admission, which is reviewed at least six monthly, a copy of this is given to the kitchen Dietitian review of the seasonal menu have been sighted, however no review by registered dietitian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the registered dietitian since 2018</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menu is reviewed every two years by a registered dietitian, to comply with recognised nutritional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and processes has been developed to ensure the testing and tagging of equipment and calibration of biomedical equipment is current. A confirmation from the contractors apologised for the delay in completing the request work, this was related to covid -19 and the need to adjust the timetable for completion. This has been booked for completion on 26th July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equipment and calibration of biomedical equipment was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testing and tagging of equipment and calibration of biomedical equipment is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and documented systems and processes are no longer current (refer to 1.2.3.4)..</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the local fire risk and management office is working with the service to update the fire evacuation plan and ensure an onsite trial is held in October 2021. Sighted at audit the email from the local fire risk management officer confirming the action plan and a review of the fire evacuation scheme and processes.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completed an inhouse fire evacuation training on 15/4/2021.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fire evacuation scheme that meets current legislation</w:t>
            </w:r>
          </w:p>
          <w:p w:rsidR="00EB7645" w:rsidRPr="00BE00C7" w:rsidP="00BE00C7">
            <w:pPr>
              <w:pStyle w:val="OutcomeDescription"/>
              <w:spacing w:before="120" w:after="120"/>
              <w:rPr>
                <w:rFonts w:cs="Arial"/>
                <w:b w:val="0"/>
                <w:lang w:eastAsia="en-NZ"/>
              </w:rPr>
            </w:pPr>
            <w:r w:rsidRPr="00BE00C7">
              <w:rPr>
                <w:rFonts w:cs="Arial"/>
                <w:b w:val="0"/>
                <w:lang w:eastAsia="en-NZ"/>
              </w:rPr>
              <w:t>ii)There was no documented evidence of formal fire evacuation training had occurred since July 2019 as per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fire evacuation scheme and six-monthly fire evacuations are completed as per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Albany Home and Hospital</w:t>
    </w:r>
    <w:bookmarkEnd w:id="58"/>
    <w:r>
      <w:rPr>
        <w:rFonts w:cs="Arial"/>
        <w:sz w:val="16"/>
        <w:szCs w:val="20"/>
      </w:rPr>
      <w:tab/>
      <w:t xml:space="preserve">Date of Audit: </w:t>
    </w:r>
    <w:bookmarkStart w:id="59" w:name="AuditStartDate1"/>
    <w:r>
      <w:rPr>
        <w:rFonts w:cs="Arial"/>
        <w:sz w:val="16"/>
        <w:szCs w:val="20"/>
      </w:rPr>
      <w:t>13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