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Masonic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Masonic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2021</w:t>
      </w:r>
      <w:bookmarkEnd w:id="7"/>
      <w:r w:rsidRPr="009418D4">
        <w:rPr>
          <w:rFonts w:cs="Arial"/>
        </w:rPr>
        <w:tab/>
        <w:t xml:space="preserve">End date: </w:t>
      </w:r>
      <w:bookmarkStart w:id="8" w:name="AuditEndDate"/>
      <w:r w:rsidR="00A4268A">
        <w:rPr>
          <w:rFonts w:cs="Arial"/>
        </w:rPr>
        <w:t>2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Change three rest home level beds to dual-purpose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Masonic Court Rest Home and Hospital provides rest home and hospital level care for up to 49 residents. The facility is owned by Masonic Care Limited and is managed by a facility manager who is a registered nurse. Residents and families spoke positively about the care provided.</w:t>
      </w:r>
    </w:p>
    <w:p w:rsidRPr="00A4268A">
      <w:pPr>
        <w:spacing w:before="240" w:line="276" w:lineRule="auto"/>
        <w:rPr>
          <w:rFonts w:eastAsia="Calibri"/>
        </w:rPr>
      </w:pPr>
      <w:r w:rsidRPr="00A4268A">
        <w:rPr>
          <w:rFonts w:eastAsia="Calibri"/>
        </w:rPr>
        <w:t>This surveillance audit was undertaken to establish compliance with aspects of the Health and Disability Service Standards and the service’s contract with the District Health Board. The audit process included review of policies and procedures, review of residents’ and staff files, observations and interviews with residents, a family member, management, staff and a nurse practitioner.</w:t>
      </w:r>
    </w:p>
    <w:p w:rsidRPr="00A4268A">
      <w:pPr>
        <w:spacing w:before="240" w:line="276" w:lineRule="auto"/>
        <w:rPr>
          <w:rFonts w:eastAsia="Calibri"/>
        </w:rPr>
      </w:pPr>
      <w:r w:rsidRPr="00A4268A">
        <w:rPr>
          <w:rFonts w:eastAsia="Calibri"/>
        </w:rPr>
        <w:t>A director of nursing quality and risk role and a clinical governance committee have been established since the previous audit.</w:t>
      </w:r>
    </w:p>
    <w:p w:rsidRPr="00A4268A">
      <w:pPr>
        <w:spacing w:before="240" w:line="276" w:lineRule="auto"/>
        <w:rPr>
          <w:rFonts w:eastAsia="Calibri"/>
        </w:rPr>
      </w:pPr>
      <w:r w:rsidRPr="00A4268A">
        <w:rPr>
          <w:rFonts w:eastAsia="Calibri"/>
        </w:rPr>
        <w:t>There were no corrective actions from the previous audit and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 members/friends occurs and interpreter service can be accessed as required.</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includes a purpose, vision, values and goals. There is regular reporting by the facility manager to the governing body.</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a clinical nurse leader and a quality and education coordinator.</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resident, registered nurse, quality and management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and followed. An in-service education programme is provided.</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and clinical nurse leader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delivered in a manner that provides continuity of care for the residents and promotes a team approach.  There are policies and procedures in place, which support assessment, planning, provision of care, evaluation and transfers for residents. These safely meet their needs and the facility’s contractual obligations.   </w:t>
      </w:r>
    </w:p>
    <w:p w:rsidRPr="00A4268A" w:rsidP="00621629">
      <w:pPr>
        <w:spacing w:before="240" w:line="276" w:lineRule="auto"/>
        <w:rPr>
          <w:rFonts w:eastAsia="Calibri"/>
        </w:rPr>
      </w:pPr>
      <w:r w:rsidRPr="00A4268A">
        <w:rPr>
          <w:rFonts w:eastAsia="Calibri"/>
        </w:rPr>
        <w:t>The needs of the resident are assessed on admission to the facility. Care plans are individualised and resident focused with an interRAI assessment completed.  Files reviewed demonstrated the care provided and the needs of the residents are reviewed and evaluated in a timely manner.  Residents are referred or transferred to other health services as required.</w:t>
      </w:r>
    </w:p>
    <w:p w:rsidRPr="00A4268A" w:rsidP="00621629">
      <w:pPr>
        <w:spacing w:before="240" w:line="276" w:lineRule="auto"/>
        <w:rPr>
          <w:rFonts w:eastAsia="Calibri"/>
        </w:rPr>
      </w:pPr>
      <w:r w:rsidRPr="00A4268A">
        <w:rPr>
          <w:rFonts w:eastAsia="Calibri"/>
        </w:rPr>
        <w:t>The service provides a planned activity programme which has a variety for individual and group activities for residents whilst maintaining links with the community.</w:t>
      </w:r>
    </w:p>
    <w:p w:rsidRPr="00A4268A" w:rsidP="00621629">
      <w:pPr>
        <w:spacing w:before="240" w:line="276" w:lineRule="auto"/>
        <w:rPr>
          <w:rFonts w:eastAsia="Calibri"/>
        </w:rPr>
      </w:pPr>
      <w:r w:rsidRPr="00A4268A">
        <w:rPr>
          <w:rFonts w:eastAsia="Calibri"/>
        </w:rPr>
        <w:t>The medication policy aligns with current best practice for medication management. Medications are administered by staff whom are competent to do so.</w:t>
      </w:r>
    </w:p>
    <w:p w:rsidRPr="00A4268A" w:rsidP="00621629">
      <w:pPr>
        <w:spacing w:before="240" w:line="276" w:lineRule="auto"/>
        <w:rPr>
          <w:rFonts w:eastAsia="Calibri"/>
        </w:rPr>
      </w:pPr>
      <w:r w:rsidRPr="00A4268A">
        <w:rPr>
          <w:rFonts w:eastAsia="Calibri"/>
        </w:rPr>
        <w:t>The onsite kitchen meets the nutritional needs of the residents and there is food available 24 hours of the day. Residents with specific dietary requirements and likes and dislikes are well catered for. Residents and family expressed satisfaction with the meals and the choice available. The service has a four-week rotating summer and winter menu which has been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clear policies and procedures that meet the requirements of the restraint minimisation and safe practice standard. There was a resident using a restraint and residents using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led by the quality lead/RN.  The infection control policy identifies current best practice for infection control management and the programme is reviewed annually.  Infection data is collated monthly by the quality lead and presented to the facility manager and chief executive officer (CEO).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6"/>
        <w:gridCol w:w="1280"/>
        <w:gridCol w:w="100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Residents and the family member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FM evidenced one complaint has been received since the last audit. Review of documentation evidenced the complaint was managed well and the timeframes meet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undertaken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 interviewed stated they are kept well informed about any changes to their/their relative’s status and outcomes of regular and any urgent medical reviews. The resident/family survey for 2020 and residents’ files confirmed this.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when required. The facility manager (FM) advised residents’ family members and staff act as interpreters,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trust board that is responsible for setting the strategic direction and the service. The strategic business plan 2016-2021, which is currently under review, includes a purpose, vision and values. There are four goals: to be sustainable; to provide consumer centred care; to achieve on-going quality improvements and to be the best place to work. The service philosophy is in an understandable form and is available to residents and their family / 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a director of nursing quality and risk (DON) position has been established and a clinical governance committee has recently been formed. The first meeting was held on the 3 June 2021. The FM reported there is a new format for monthly reporting that has been in place since June 2021. The reports go to the DON who then informs the CE and the board. The reports included clinical indicators, infection surveillance data complaints, education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they meet with the clinical nurse leader (CNL) and the quality and education coordinator (QEC) throughout each day. Observations during the audit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FM who is an RN and has been in the position for four years. The FM is supported by a CNL who started in the role in May 2020. Prior to this appointment they were an RN working on the floor for four years. The CNL is responsible for oversight of the clinical service with support from the FM. HealthCERT were advised of the change of CNL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Review of the managers' personal files and interview of the FM and CNL evidenced they have undertaken on-going education in relevant areas including attending inservice education and forums.</w:t>
            </w:r>
          </w:p>
          <w:p w:rsidR="00EB7645" w:rsidRPr="00BE00C7" w:rsidP="00BE00C7">
            <w:pPr>
              <w:pStyle w:val="OutcomeDescription"/>
              <w:spacing w:before="120" w:after="120"/>
              <w:rPr>
                <w:rFonts w:cs="Arial"/>
                <w:b w:val="0"/>
                <w:lang w:eastAsia="en-NZ"/>
              </w:rPr>
            </w:pPr>
            <w:r w:rsidRPr="00BE00C7">
              <w:rPr>
                <w:rFonts w:cs="Arial"/>
                <w:b w:val="0"/>
                <w:lang w:eastAsia="en-NZ"/>
              </w:rPr>
              <w:t>Masonic Court is certified to provide 49 hospital level and rest home level beds. On the day of audit there were 47 residents - 16 hospital level and 31 rest home level care under the aged related residential care contract.  Masonic Court also has contracts with the DHB for long term chronic health conditions, complimentary care (respite) services and day care.</w:t>
            </w:r>
          </w:p>
          <w:p w:rsidR="00EB7645" w:rsidRPr="00BE00C7" w:rsidP="00BE00C7">
            <w:pPr>
              <w:pStyle w:val="OutcomeDescription"/>
              <w:spacing w:before="120" w:after="120"/>
              <w:rPr>
                <w:rFonts w:cs="Arial"/>
                <w:b w:val="0"/>
                <w:lang w:eastAsia="en-NZ"/>
              </w:rPr>
            </w:pPr>
            <w:r w:rsidRPr="00BE00C7">
              <w:rPr>
                <w:rFonts w:cs="Arial"/>
                <w:b w:val="0"/>
                <w:lang w:eastAsia="en-NZ"/>
              </w:rPr>
              <w:t>Six bedrooms adjacent to the hospital wing have been approved as dual-purpose rooms. The organisation has requested from HealthCERT that three more rooms be considered for dual-purpose use. The rooms are suitable for either rest home or hospital level care and are fit for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plan 2021 guides the quality programme and included quality targets, objectives and a quality improvement flowchart. Quality data is collected, collated and analysed, including audits, incidents/accidents, surveys and clinical indicators and entered into an electronic programme provided by an external company. Graphs, quarterly reports and benchmarking with other like facilities are generated.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 staff, health and safety, quality, infection control and resident meetings are held regularly.  Meeting minutes reviewed confirmed this and evidenced reporting back to staff of corrective actions and trends as a result of analysing quality data. Staff interviewed confirmed this.  Satisfaction surveys for 2020 evidenced a high degree of satisfaction overall.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referenced legislative requirements.  Policies / procedures have been reviewed and were current. The QEC reported updated and reviewed policies are put in the staff room and staff sign that they have read them. Staff confirmed they are advised of updated policies and that the policies and procedures provided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includes a matrix and risk register that is comprehensive and includes risks associated with clinical, human resources, legislative compliance, contractual and environmental risk. The hazard register includes actual and potential hazards and the actions put in place to minimise or eliminate the hazard. Newly found hazards are communicated to staff and residents as appropriate. The health and safety coordinator is the FM who manages hazards and demonstrated good knowledge.  Both the FM and the maintenance person have completed health and safety training updates. Staff confirmed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These are reviewed by the RNs on duty who forward the form to the FM. The FM will investigate if appropriate or, depending on the incident/accident, these are investigated by the CNL or the QEC. Documentation reviewed and interviews of staff indicated appropriate management of adverse events. The QEC is responsible for entering all incident/accidents into the register.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The family member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FM reported there have been no section 31 notifications to HealthCERT since the previous audit. The FM advised HealthCERT of the change of CNL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included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takes up to a month to complete and staff performance is reviewed at the end of three months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quality and education coordinator who is also an RN. In-service education documentation evidenced this is provided in several ways including monthly sessions, some taken by external educators, online learning and RNs attending sessions at the DHB and hospice. Individual certificates of training including competencies are held electronically and hard copy. Staff are required to complete a questionnaire if they do not attend in-service education. Four of the seven RNs are interRAI trained and have current competencies.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(Careerforce) is available for staff to complete, and they are encouraged to do so. An RN is the Careerforce assessor. Care staff are expected to start level 2 within six months of employment if they are employed without any levels.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The policy includes the staffing requirement in-line with the contract with the DHB. The rosters evidenced staffing levels exceed the minimum requirements. The FM reported the rosters are reviewed continuously and dependency levels of residents and the physical environment are considered. The FM and CNL work full time Monday to Friday. Registered nurse cover is provided seven days a week over the 24-hour period. Two RNs are new graduates with the rest of the RNs having over five years’ experience in aged care. The FM reported there is one casual RN and five casual caregivers who are used when there are gaps in the roster. Agency staff are used if needed. The FM is on call after hours with the CNL first on call for 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the family member reported there were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nightshift RN and carer check in the medications against the prescription and sign and date them.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Controlled drugs are signed in by the RN and carer and a pharmacy check is carried out every six months. This was evidenced in the controlled drugs register.</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temperature is also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included the prescriber’s signature and date recorded on the commencement and discontinuation of medicines and all requirements for pro re nata (PRN) medicines met. The required three-monthly GP review was consistently recorded on the medicine chart.  Standing orders are not used. Verbal orders are rare and must be given to an RN, then repeated to the HCA and the NP will sign them off when they come in. </w:t>
            </w:r>
          </w:p>
          <w:p w:rsidR="00EB7645" w:rsidRPr="00BE00C7" w:rsidP="00BE00C7">
            <w:pPr>
              <w:pStyle w:val="OutcomeDescription"/>
              <w:spacing w:before="120" w:after="120"/>
              <w:rPr>
                <w:rFonts w:cs="Arial"/>
                <w:b w:val="0"/>
                <w:lang w:eastAsia="en-NZ"/>
              </w:rPr>
            </w:pPr>
            <w:r w:rsidRPr="00BE00C7">
              <w:rPr>
                <w:rFonts w:cs="Arial"/>
                <w:b w:val="0"/>
                <w:lang w:eastAsia="en-NZ"/>
              </w:rPr>
              <w:t>Vaccines are not stored on site.  All residents and staff who wish to be vaccinated against COVID-19 have been and the facility is being visited every six weeks to include new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kitchen team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City Council which expires on the 15th January 2022. At the time of audit the kitchen was observed to be clean, and the cleaning schedule was maintained. 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families/whānau interviews, satisfaction surveys and from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practitioner interviewed reported that the service is providing a comprehensive level of care, medical orders are carried out in a timely manner and staff are very proactive at contacting the NP should a resident’s condition change.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and resources are available and suited to the levels of care provided and in accordance with each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qualified diversional therapist and trainee diversional therapist.  They support the residents 8.30 am to 4.00 pm and 9.00 am to 1.00 pm on a Saturday.  The programme is overseen by the facility manager. An individual activities profile is completed on admission to ascertain the residents’ needs, interests, abilities and social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are regularly reviewed to help formulate a plan that is meaningful to the resident. The activities are evaluated daily and documented once a week and as part of a six monthly multidisciplinary care plan review. Activities reflected the resident’s goals, ordinary patterns of life and include normal community activities, regular church services, ‘housie’, knitting, and visiting entertainers. There are individual and group activities offered and a weekly van outing.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multiple lounge areas and an activities room as well as the individual’s bedrooms where residents can watch their own television or listen to the radio. The activities calendar is on display and each resident is given a copy of the monthly activities available for them to participate in. It emphasises and celebrates cultural beliefs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and by completing the six monthly resident satisfaction survey.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documented in the progress notes. If any change is noted this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resident’s interRAI re-assessment, or as a resident’s needs change. Where progress is different from what is expected, the service responds by initiating changes to the plan of care. Examples of short-term care plans being constantly reviewed, and progress evaluated were noted for infections, wounds and weight loss. When necessary and for ongoing problems, long term care plans are added to and updated.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main entrance to the facility that expires on the 5 April 2022. There have been no structural alterations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Bedrooms 19, 35 and 36 are next to the six approved dual-purpose rooms. The rooms are suitable for either rest home or hospital level care and are fit for purpose. This brings the number of dual-purpose beds to nine.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gastroenteritis, and other infections.  The infection prevention and control (IPC) coordinator reviews all reported infections, and these are documented.  New infections and any required management plan are discussed at shift handover, to ensure early intervention occurs with short-term care plans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staff/shift handovers. Trends are identified from the past year, and this is reported by the facility manager and reported to the CEO.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highlighted short term and long-term care planning to reduce and minimise the risk of infection. Healthcare assistants interviewed demonstrated knowledge of residents who have a higher risk of infections and the interventions required.  There was an ‘RSV’ outbreak with seven residents showing symptoms. They worked in partnership with the Public Health Service and followed the recommended guidelines.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measures recommended by the Ministry of Health for the management of COVID-19 pandemic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highlighted short term and long-term care planning to reduce and minimise the risk of infection. Health care assistants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control/quality lead determines the type of surveillance required and the frequency with which it is undertaken.  This was appropriate to the size and complexity of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The service has a restraint free philosophy. There was one resident using a restraint and three residents using an enabler at the time of audit. The FM who is the restraint coordinator advised equipment including low beds, sensor mats and landing mats are used, and hourly checks completed so that restraint is not used if at all possible.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Masonic Court Rest Home and Hospital</w:t>
    </w:r>
    <w:bookmarkEnd w:id="58"/>
    <w:r>
      <w:rPr>
        <w:rFonts w:cs="Arial"/>
        <w:sz w:val="16"/>
        <w:szCs w:val="20"/>
      </w:rPr>
      <w:tab/>
      <w:t xml:space="preserve">Date of Audit: </w:t>
    </w:r>
    <w:bookmarkStart w:id="59" w:name="AuditStartDate1"/>
    <w:r>
      <w:rPr>
        <w:rFonts w:cs="Arial"/>
        <w:sz w:val="16"/>
        <w:szCs w:val="20"/>
      </w:rPr>
      <w:t>2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