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Waipuna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Waipuna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July 2021</w:t>
      </w:r>
      <w:bookmarkEnd w:id="7"/>
      <w:r w:rsidRPr="009418D4">
        <w:rPr>
          <w:rFonts w:cs="Arial"/>
        </w:rPr>
        <w:tab/>
        <w:t xml:space="preserve">End date: </w:t>
      </w:r>
      <w:bookmarkStart w:id="8" w:name="AuditEndDate"/>
      <w:r w:rsidR="00A4268A">
        <w:rPr>
          <w:rFonts w:cs="Arial"/>
        </w:rPr>
        <w:t>2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Waipuna is owned and operated by Radius Residential Care Limited.  The service provides care for up to 86 residents requiring rest home, hospital, or residential disability level care.  On the day of the audit, there were 77 residents.  </w:t>
      </w:r>
    </w:p>
    <w:p w:rsidRPr="00A4268A">
      <w:pPr>
        <w:spacing w:before="240" w:line="276" w:lineRule="auto"/>
        <w:rPr>
          <w:rFonts w:eastAsia="Calibri"/>
        </w:rPr>
      </w:pPr>
      <w:r w:rsidRPr="00A4268A">
        <w:rPr>
          <w:rFonts w:eastAsia="Calibri"/>
        </w:rPr>
        <w:t>The service is managed by the operations manager for Radius who is acting in the position of manager, the clinical manager with support from the compliance and risk manager/regional manager.  Residents and relatives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a general practitioner.  </w:t>
      </w:r>
    </w:p>
    <w:p w:rsidRPr="00A4268A">
      <w:pPr>
        <w:spacing w:before="240" w:line="276" w:lineRule="auto"/>
        <w:rPr>
          <w:rFonts w:eastAsia="Calibri"/>
        </w:rPr>
      </w:pPr>
      <w:r w:rsidRPr="00A4268A">
        <w:rPr>
          <w:rFonts w:eastAsia="Calibri"/>
        </w:rPr>
        <w:t xml:space="preserve">This audit has identified two shortfalls around monitoring forms.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and residents stated that their rights are upheld.  Individual care plans include reference to residents’ values and beliefs.  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Consents are documented by residents or family and there are advance directives documented if the resident is competent to complete these.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service has support from head office that includes the compliance and risk manager.  The operations manager for Radius is acting as the facility manager with clinical oversight provided by the clinical manager. </w:t>
      </w:r>
    </w:p>
    <w:p w:rsidRPr="00A4268A">
      <w:pPr>
        <w:spacing w:before="240" w:line="276" w:lineRule="auto"/>
        <w:rPr>
          <w:rFonts w:eastAsia="Calibri"/>
        </w:rPr>
      </w:pPr>
      <w:r w:rsidRPr="00A4268A">
        <w:rPr>
          <w:rFonts w:eastAsia="Calibri"/>
        </w:rPr>
        <w:t xml:space="preserve">There is a documented quality and risk management programme with key components of the system including management of complaints, implementation of an internal audit schedule, annual satisfaction surveys, incidents and accidents, review of infections, and review of risk and monitoring of health and safety, including hazards.  Quality data is discussed at facility meetings.  </w:t>
      </w:r>
    </w:p>
    <w:p w:rsidRPr="00A4268A">
      <w:pPr>
        <w:spacing w:before="240" w:line="276" w:lineRule="auto"/>
        <w:rPr>
          <w:rFonts w:eastAsia="Calibri"/>
        </w:rPr>
      </w:pPr>
      <w:r w:rsidRPr="00A4268A">
        <w:rPr>
          <w:rFonts w:eastAsia="Calibri"/>
        </w:rPr>
        <w:t>Human resource policies are in place, including a documented rationale for determining staffing levels and skill mixes.  A roster provides sufficient and appropriate staff coverage for the effective delivery of care.  An orientation and training programme is documented and implemented.  Registered nursing cover is provided 24 hours a day, 7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has assessment processes and residents’ needs are assessed prior to entry.  There is an admission pack available for residents and families/whānau at entry.  Assessments, residents care plans and evaluations were completed by the registered nurses within the required timeframes.  Risk assessment tools and monitoring forms were available and implemented.  Resident care plans were individualised and included allied health professional involvement in care.</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Community links are maintained.  There are a variety of activities that are meaningful to the residents. </w:t>
      </w:r>
    </w:p>
    <w:p w:rsidRPr="00A4268A" w:rsidP="00621629">
      <w:pPr>
        <w:spacing w:before="240" w:line="276" w:lineRule="auto"/>
        <w:rPr>
          <w:rFonts w:eastAsia="Calibri"/>
        </w:rPr>
      </w:pPr>
      <w:r w:rsidRPr="00A4268A">
        <w:rPr>
          <w:rFonts w:eastAsia="Calibri"/>
        </w:rPr>
        <w:t>There are medication management policies in place that meet the legislative requirements.  Staff responsible for administration of medications complete annual medication competencies and education.  Medication charts have photo identification and allergy status noted.  Medication charts are reviewed three-monthly by a general practitioner.</w:t>
      </w:r>
    </w:p>
    <w:p w:rsidRPr="00A4268A" w:rsidP="00621629">
      <w:pPr>
        <w:spacing w:before="240" w:line="276" w:lineRule="auto"/>
        <w:rPr>
          <w:rFonts w:eastAsia="Calibri"/>
        </w:rPr>
      </w:pPr>
      <w:r w:rsidRPr="00A4268A">
        <w:rPr>
          <w:rFonts w:eastAsia="Calibri"/>
        </w:rPr>
        <w:t>All food and baking is done on site.  Resident`s individual dietary needs were identified and accommodated.  Staff have attended food safety and hygiene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an emergency management plan to guide staff in managing emergencies and disasters.  Six monthly fire drills occur.  Civil defence supplies are in place.  There were documented processes for the management of waste and hazardous substances in place, and incidents are reported in a timely manner.  Chemicals were stored safely throughout the facility.  The building has a current building warrant of fitness.  Resident rooms are personalised, and showers are spacious.  There is plenty of natural light in all rooms and the environment is comfortable with adequate ventilation and heating.  Communal areas within the facility are easily accessible.  The outdoor areas are safe, accessible and provide seating and shade.  There is one person on duty at all times with a current first aid certificate.  Housekeeping staff maintain a clean and tidy environment.  Documented policies and procedures for the cleaning and laundry services are implemented with monitoring systems in place to evaluate the effectiveness of these services.  The laundry is completed off 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restraint coordinator maintains a register.  During the audit, there were six residents using restraints.  Residents did not use enablers.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Results of surveillance are acted upon, evaluated, and reported to relevant personnel in a timely manner.  The facility has responded promptly and appropriately to the Covid-19 pandemic, policies, procedures, and the pandemic plan have been updated to include Covid-19.  Resource information is easily accessible for registered nurses if lockdown levels change after hours.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1"/>
        <w:gridCol w:w="1280"/>
        <w:gridCol w:w="93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Waipuna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were held during the audit with four managers that included the operations manager (acting facility manager), clinical manager, compliance and risk manager, and the office manager.  Staff were also interviewed including the following: four healthcare assistants (HCA), seven registered nurses, the diversional therapist, kitchen manager, owner/director of sub-contracted food services, maintenance staff, and cleaner.  All interviewed confirmed their understanding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 written consents.  Advance directives are signed for separately.  There is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sampled (six hospital including two YPD, and three rest home) had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Residents on the young persons with disability (YPD) contract are engaged in a range of diverse community activities including regular visits to the local swimming pool.  YPD are encouraged and supported to engage in one-to-one and individual activities in the community with many attending social clubs.  Van outings are planned more regularly for the younger people with disabilities.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 register includes written and verbal complaints, dates and actions taken.  There were 10 complaints documented in 2020 and seven in 2021 year to date.  Three complaints were reviewed, and all showed that an investigation had taken place, timeframes managed, corrective actions put in place when required, and resolutions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of Health requested a follow-up of three complaints lodged by the Health and Disability Commissioner and one complaint lodged by the district health board.  Three of the four complaints were closed.  All complaints were around the provision of care.  (service provision requirements, assessment, planning, service delivery/interventions and human resource management – staffing/competencies/skill mix and training). This audit has identified issues around service delivery (link 1.3.6.1).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confirmed that their issues are addressed, and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There is the opportunity to discuss aspects of the Code during the admission process.  Ten residents (three requiring rest home level of care, and six requiring hospital level of care including one who was a young person with a disability [YPD]) and relatives interviewed (four with family at hospital level of care including two with family identified as young people with disability) confirmed that information had been provided to them around the Code. </w:t>
            </w:r>
          </w:p>
          <w:p w:rsidR="00EB7645" w:rsidRPr="00BE00C7" w:rsidP="00BE00C7">
            <w:pPr>
              <w:pStyle w:val="OutcomeDescription"/>
              <w:spacing w:before="120" w:after="120"/>
              <w:rPr>
                <w:rFonts w:cs="Arial"/>
                <w:b w:val="0"/>
                <w:lang w:eastAsia="en-NZ"/>
              </w:rPr>
            </w:pPr>
            <w:r w:rsidRPr="00BE00C7">
              <w:rPr>
                <w:rFonts w:cs="Arial"/>
                <w:b w:val="0"/>
                <w:lang w:eastAsia="en-NZ"/>
              </w:rPr>
              <w:t>Large print posters of the Code and advocacy information are displayed throughout the facility.  The clinical manager, registered nurse (RN) or operations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There have not been any incidents related to abuse or neglect since the last audit.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health plan in place for the organisation.  Managers identify the Maungakiekie Trust Board Chairperson as the link for local community representation as well as with Waicreate, a local iwi connection for activities external to the facility.  The activities team has worked with them to participate in the creation of a waka for example.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and visiting is encouraged.  Links are established with disability and other community representative groups as requested by the resident/family.  Four residents identify as Maori.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The monthly staff meetings include discussions around professional boundaries and concerns as they arise.  Management provided guidelines and examples of mentoring for specific situations.  Interviews with the managers and care staff confirmed their awareness of professional boundaries.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and this includes family involvement.  Policies and procedures align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and an annual in-service training programme is implemented as per the training plan with training for registered nurses from the district health board and involvement in the Careerforce programme for all HCAs.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registered nurse on each shift and residents and family described HCAs as being caring and competent.  Residents and family interviewed spoke very positively about the care and support provided and stated the management team are very approachable.  The nurse practitioner interviewed also praised the service for care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identified improvements since the last audit including painting of the kitchen and external areas, a garden upgrade, replacement of the minivan, a move to an online human resource data system, eCase upgrades (clinical documentation system), management of the service during Covid, and a consolidated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Eighteen incidents/accidents forms were reviewed.  The forms included a section to record family notification.  All forms indicated whether the family were informed or if family did not wish to be informed.  Relatives interviewed confirmed that they are notified of any changes in their family member’s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Waipuna is a Radius aged care facility located in East Auckland.  The facility is certified to provide rest home, hospital, and residential physical disability care for up to 86 residents.  All beds are dual-purpose.  On the day of the audit there were 77 residents including 17 residents using rest home level of care and 60 residents receiving hospital level care. Of the 60 residents at hospital level of care, one resident was under an interim care contract, 12 YPD including one using respite care (all at hospital level), and three under ACC funding. All others were under the Age-Related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 2020 to 2021 and the 2021 to 2022 business plans describe the vision, values, and objectives of Radius Waipuna.  Annual goals are linked to the business plan and reflect regular reviews via regular meetings and monthly reports to the regional manager.  The business plan for 2020 to 2021 was reviewed prior to the new plan being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(registered nurse) for Radius is currently the acting facility manager.  They have six years’ experience of management support providing this to facilities when required, have a diploma in diabetes and over 19 years’ experience in aged care.  The operations manager was brought into the service in February 2021 to provide support for the new managers.  The clinical manager has been in the role for four months.  They have had prior experience as a clinical coordinator with a total of six years’ experience in aged care.  </w:t>
            </w:r>
          </w:p>
          <w:p w:rsidR="00EB7645" w:rsidRPr="00BE00C7" w:rsidP="00BE00C7">
            <w:pPr>
              <w:pStyle w:val="OutcomeDescription"/>
              <w:spacing w:before="120" w:after="120"/>
              <w:rPr>
                <w:rFonts w:cs="Arial"/>
                <w:b w:val="0"/>
                <w:lang w:eastAsia="en-NZ"/>
              </w:rPr>
            </w:pPr>
            <w:r w:rsidRPr="00BE00C7">
              <w:rPr>
                <w:rFonts w:cs="Arial"/>
                <w:b w:val="0"/>
                <w:lang w:eastAsia="en-NZ"/>
              </w:rPr>
              <w:t>The operations and clinical managers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covers during the temporary absence of the operations manager and the operations manager provides cover for the facility manager when on leave or when they have resigned from the service.  The regional manager or facility managers of other Radius facilities are also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policies are reviewed at a national level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designed to monitor contractual and standards compliance, and the quality-of-service delivery in the facility and across the organisation.  There are clear guidelines and templates for reporting.  The facility has implemented established processes to collect, analyse and evaluate data, which is utilised for service improvements.  Results are communicated to staff across a variety of meetings and reflected actions being implemented in most cases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meetings where data is tabled.  This includes a monthly staff meeting, monthly head of department meetings, three monthly restraint meeting, monthly registered nurse clinical meetings and quarterly infection control meetings.  There are also resident meetings at regular intervals with family invited to attend.  Meeting minutes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surveys are completed with results communicated to residents and staff.  The 2020 survey completed by residents and family showed an overall satisfaction rate of 80%.  The 2021 survey has been distributed but not yet collated.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Health and Safety representatives have completed level 1 health and safety training from Safety in Action or Work Safe.  Health and safety representatives include the office manager, activities coordinator, and maintenance officer with all having completed health and safety training in 2021.  Meetings during 2020 were incorporated into the head of department meetings with these changed back in 2021 to health and safety meetings.  The operations manager monitors staff incidents (via eCase notifications) on a daily, weekly, and monthly basis and follows their progress proactively and reviews and updates end of month analysis with actions taken if required.  The staff incidents, hazards and risk information is collated by the support office, health and safety team and a consolidated report and analysis of all facilities is provided to the board.  Trends are identified and appropriate training or upskilling from staff occurs when a trend has been identified.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nine incident/accident forms identified that forms are fully completed and include follow-up by a registered nurse.  Neurological observations have been carried out two-hourly for any suspected injury to the head (link 1.3.6.1).  The clinical manager is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was able to identify situations that would be reported to statutory authorities including (but not limited to) infectious diseases, serious accidents, and unexpected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(the clinical manager, one registered nurse, three healthcare assistants, the cook, an activities coordinator and a cleaner) included a comprehensive recruitment process which included reference checking, signed employment contracts and job descriptions, police checks,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 clinical manager holds overall responsibility for staff education.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Training has been completed by staff post complaints and incidents. This included training around effective communication highlighting open disclosure, the importance of communication with family, clinical discussion regarding documentation of family contact, communication for residents with speech deficits and young people with disabilities, and communication workshops with individual staff follow up. Training has also included post falls education, identification of clinical risk, a person-centred approach, goal planning and strategies to reflect the care needs of individual residents, management of challenging behaviour focused on identification of early warning signs and triggers, nutritional needs for residents with cognitive impairment, abuse and neglect, cultural safety, health and safety, and dignity. There have also been toolbox talks related to care planning, eCase, use of the Sbar tool, and manual handling.</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Three registered nurses (one is the clinical manager, and one is the facility manager) have completed their InterRAI training.  Difficulty accessing interRAI training has resulted in the service being unable to meet all interRAI contractual obligations.  There are implemented competencies for registered nurses including (but not limited to) medication competencies and insulin competencies.  There are 45 HCAs and they have completed the following Careerforce training: nine with level 1, three with level 2, 12 with level 3 and 21 with level 4. Supported communication and leadership development programmes are in place for HCA ad RN teams (commenced February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There are three RNs on site in the morning as well as the clinical manager during week days, and three RNs in the afternoon.  There are two RNs overnight.  The operations manager (acting facility manager) and the clinical manager take week about for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Garden wings include i) Kauri wing with six residents including five at hospital level [one ACC, and one interim care] and one rest home, and ii) Garden View with 26 residents including 16 at hospital level [including eight YPD] and two rest home. There are six HCAs in the morning, six in the afternoon and two overnight.  All are rostered onto a full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same roster is in place for the following wings. Tamaki wing with 21 hospital residents [one ACC, one YPD] and seven residents at rest home level; Totara with 11 residents including 10 hospital residents [including four YPD) and one rest home resident; and Kowhai with six residents including three hospital [with one YPD] and three at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While the rosters are the same, there is a high acuity in the Garden view wings with nine of the 12 YPD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other YPD residents and one resident under interim care funding are ‘like in abilities as the other residents in the Tamaki wings. </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attending to call bells in a timely manner as confirmed by all residents interviewed.  Staff interviewed stated that overall the staffing levels are satisfactory and that the managers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with password protection for electronic files.  Entries are legible, dated and signed by the relevant HCA or nurse, including designation.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All resident files evidenced approval for the level of care by the Needs Assessment Coordinators.  The clinical manager liaises closely with the assessing teams to ensure the service can meet the assessed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well-presented information booklet for residents/families at entry.  Information includes family support programmes and contact details for advocacy to   support and younger people with physical disabilities.  Four family members interviewed (two YPD and two hospital) stated they received sufficient information on the services provided and were appreciative of the staff support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Admission agreements had been signed within a timely manner.  Nine admission agreements reviewed aligned with all contractual requirements.  Exclusions from the service are included in the admission agreement.  Enduring power of attorney activation letters were placed on file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transfer/discharge/exit procedures include a transfer/discharge form, and the completed form is placed on file.  The service stated that a staff member escorts the resident if no family were available to assist with transfer, and copies of documentation are forwarded with the resident.  Hospital discharge documentation is integrated in the resident file and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The controlled drug register evidenced a process of reconciliation of controlled drug stock.  All medicines are stored securely.  Registered nurses and healthcare assistants complete annual medication competencies and medication education.  The medication room is near one of the nurses’ station.  RNs complete the administration of medication; there are five lockable medication trolleys.  A recent medication management internal audit was completed with no corrective actions or medication errors/incidents.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medication reconciliation against the medication packs for regular and ‘as required’ medications.  Any discrepancies are fed back to the supplying pharmacy who are available after hours if required.  The medication fridge temperature and medication room temperature are being monitored daily and both were within acceptable limits.  There are procedures in place to facilitate safe self-administration of medication for three rest home residents (inhalers).  There are no medication standing orders in use.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Eighteen electronic medication charts were reviewed.  All medication charts had photo identification and an allergy status.  The NP/GP reviewed the medication charts at least three-monthly.  Prescribed ‘as required’ medications included the indication for use and the effectiveness was recorded in the electronic system and progress notes.  Nutritional supplements are documented and administered from the electronic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commercial kitchen, and all food is cooked on site.  The food service is contracted out to Cibus Catering Limited.  There is a comprehensive kitchen manual in place.  There is a kitchen manager (qualified chef), and they are supported by two cooks and they are supported by two kitchenhands.  There is a seasonal menu in place.  The company dietitian has reviewed the menu.  The service has a verified food control plan that expires in November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dietary profile for each resident with dietary requirements, special diets, food allergies, likes and dislikes.  The kitchen manager interviewed is knowledgeable regarding specific residents needs including those with diabetes, unintentional weight loss (or gain) and recent dietitian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Alternatives are offered.  The cook is notified of any dietary changes for the residents.  Food is plated in the kitchen and transported in hotboxes to the dining rooms.  The workflow and space in the kitchen is adequate and promotes efficiency.  There are three dining areas large enough for residents, mobility equipment and individual wheelchairs.  Special diets are plated and labelled.  The fridge and freezer have visual temperatures, which are recorded daily on an electronic catering software system.  The facility fridges temperatures are monitored (records sighted).  Temperature of food on delivery is recorded.  </w:t>
            </w:r>
          </w:p>
          <w:p w:rsidR="00EB7645" w:rsidRPr="00BE00C7" w:rsidP="00BE00C7">
            <w:pPr>
              <w:pStyle w:val="OutcomeDescription"/>
              <w:spacing w:before="120" w:after="120"/>
              <w:rPr>
                <w:rFonts w:cs="Arial"/>
                <w:b w:val="0"/>
                <w:lang w:eastAsia="en-NZ"/>
              </w:rPr>
            </w:pPr>
            <w:r w:rsidRPr="00BE00C7">
              <w:rPr>
                <w:rFonts w:cs="Arial"/>
                <w:b w:val="0"/>
                <w:lang w:eastAsia="en-NZ"/>
              </w:rPr>
              <w:t>The evening meal was observed in the Tamaki and Garden View lounge.  The staff assisting residents with their meals promoted and encouraged dining room ambience.  There were enough staff to assist with meals in a timely manner and specialised cutlery was available.  For residents that may eat slower, food is kept in the hotboxes to maintain the ideal state and temperature of the food, before it was served.</w:t>
            </w:r>
          </w:p>
          <w:p w:rsidR="00EB7645" w:rsidRPr="00BE00C7" w:rsidP="00BE00C7">
            <w:pPr>
              <w:pStyle w:val="OutcomeDescription"/>
              <w:spacing w:before="120" w:after="120"/>
              <w:rPr>
                <w:rFonts w:cs="Arial"/>
                <w:b w:val="0"/>
                <w:lang w:eastAsia="en-NZ"/>
              </w:rPr>
            </w:pPr>
            <w:r w:rsidRPr="00BE00C7">
              <w:rPr>
                <w:rFonts w:cs="Arial"/>
                <w:b w:val="0"/>
                <w:lang w:eastAsia="en-NZ"/>
              </w:rPr>
              <w:t>Feedback on the service and meals is by direct verbal feedback, as an agenda item at residents and family meetings, and within resident’s satisfaction survey.  Residents and relatives are satisfied with the food choices and meals provided.</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receive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an initial assessment on admission including risk assessment tools as appropriate.  An InterRAI assessment is undertaken within 21 days of admission and every six months.  Resident needs, support and goals are identified through the ongoing assessment process and form the basis of the long-term care plan.  There were regular pain assessments evident for a resident with complex co-morbidities.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preferences and choices are accommodated during their care journey.  The information gathered at admission such as allied health notes, needs assessment, discharge summaries and discussion with the EPOA and the resident, is used to develop care needs and support to provide best care for the residents.  There are electronic mandatory assessments including initial assessment that covers all activities of daily living and specific assessment tools are used for behaviour, falls risk, nutritional risk, pain assessment and communication tool.  The physiotherapist completes an initial mobility assessment for all residents on admission and reviews residents post falls and at least six-monthly.  The falls risk assessment tool is repeated for any resident with three falls or more in a month.  YPD residents’ long-term mobility, seating and postural support needs are assessed with the resident (where able) and their family/whānau.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and other activities staff complete a comprehensive social assessment in consultation with the resident/family. </w:t>
            </w:r>
          </w:p>
          <w:p w:rsidR="00EB7645" w:rsidRPr="00BE00C7" w:rsidP="00BE00C7">
            <w:pPr>
              <w:pStyle w:val="OutcomeDescription"/>
              <w:spacing w:before="120" w:after="120"/>
              <w:rPr>
                <w:rFonts w:cs="Arial"/>
                <w:b w:val="0"/>
                <w:lang w:eastAsia="en-NZ"/>
              </w:rPr>
            </w:pPr>
            <w:r w:rsidRPr="00BE00C7">
              <w:rPr>
                <w:rFonts w:cs="Arial"/>
                <w:b w:val="0"/>
                <w:lang w:eastAsia="en-NZ"/>
              </w:rPr>
              <w:t>Three YPD resident files reviewed included an individual assessment that includes identifying diversional, motivation and recreational requirements to maintain community involvement and engagement, according to the resident’s preference and choice.  Behaviour assessments, spiritual and cultural needs had been completed in consultation with the resident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triggers and scores forms the basis of the long-term care plan.  Care interventions are detailed to a level that supports their individual needs and goals.  Assessment outcomes were included in the long-term care plans reviewed.  The long-term care plan identifies interventions that cover a set of goals including managing medical needs/risks.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Alerts on the resident’s profile page identify current and acute needs such as (but not limited to); current infection, wound or falls risk.  Short-term needs are added to the long-term care plan.  Care plans evidenced resident (as appropriate) and family/whānau involvement in the care plan process.  Relatives interviewed confirmed they were involved in the care planning process.  Resident files demonstrated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Two resident files reviewed (YPD and hospital) had a specific plan for unintentional weight gain.  Communication needs are documented for those residents with speech impairments.  Staff interviewed were knowledgeable about all individuals in their care and the care approaches they require.  Care staff confirmed they have received education in effective communication to manage residents with speech deficits.  Staff were also observed in the dining room interacting with the residents in a respectful manner.</w:t>
            </w:r>
          </w:p>
          <w:p w:rsidR="00EB7645" w:rsidRPr="00BE00C7" w:rsidP="00BE00C7">
            <w:pPr>
              <w:pStyle w:val="OutcomeDescription"/>
              <w:spacing w:before="120" w:after="120"/>
              <w:rPr>
                <w:rFonts w:cs="Arial"/>
                <w:b w:val="0"/>
                <w:lang w:eastAsia="en-NZ"/>
              </w:rPr>
            </w:pPr>
            <w:r w:rsidRPr="00BE00C7">
              <w:rPr>
                <w:rFonts w:cs="Arial"/>
                <w:b w:val="0"/>
                <w:lang w:eastAsia="en-NZ"/>
              </w:rPr>
              <w:t>All files include a 24-hour activity plan and recreational plan with documented individual daily routine.  For those residents that present with challenging behaviours; triggers, and activities to distract and de-escalate behaviours are documented with associated risks.  There was evidence of allied health care professionals involved in the care of residents including physiotherapist, podiatrist, dietitian, and an occupational therapist.  The contracted physiotherapist (8 hours per week) reviews residents for mobility support and seating requirements and will refer if required.  The GP/NP, dietitian and allied health professional progress notes were evident in the resident’s files sampled.  Any change in care required is documented and verbally passed on to relevant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 with the RNs verified that care provided to the residents is consistent with their needs, goals, and plan of care.  The interview with the NP confirmed that discussion and referral to allied health professionals took place in a timely manner.  When medical input was required, notification occurred promptly, and any medical orders were appropriately carried out.  Family/whānau expressed during interview that assistance was given according to the wishes of their relatives.  Specialised equipment including sensor mats, hoists (standing and full), transfer belts, lap belts, pressure relieving mattresses and cushions were available for use.  There is a process where equipment (including individualised equipment used by the YPD residents) is checked for safety and maintained by the appropriate services.  The service procured recently new equipment including oxygen concentrators, recliner chairs, standing hoist, bariatric hoist, and new slings.</w:t>
            </w:r>
          </w:p>
          <w:p w:rsidR="00EB7645" w:rsidRPr="00BE00C7" w:rsidP="00BE00C7">
            <w:pPr>
              <w:pStyle w:val="OutcomeDescription"/>
              <w:spacing w:before="120" w:after="120"/>
              <w:rPr>
                <w:rFonts w:cs="Arial"/>
                <w:b w:val="0"/>
                <w:lang w:eastAsia="en-NZ"/>
              </w:rPr>
            </w:pPr>
            <w:r w:rsidRPr="00BE00C7">
              <w:rPr>
                <w:rFonts w:cs="Arial"/>
                <w:b w:val="0"/>
                <w:lang w:eastAsia="en-NZ"/>
              </w:rPr>
              <w:t>Continence, wound care products and PPE were in stock for use.  Staff received annual education in continence management and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register was reviewed and current; an updated wound care policy including PI management, and management of skin, nutrition and hydration needs were reviewed.  Wound assessment and wound management plans were in place for twenty-six residents (across services).  There were two residents with three recorded minor skin tears, four pressure injury (two stage two, one stage three and one unstageable), ten minor skin tears, two lower leg ulcers recorded in the wound register and four skin conditions.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Incidence of skin tears are mostly related to the high usage of mobility chairs within the facility; risks are managed accordingly.  Wound assessments, plans and reviews are current and completed.  Dressings were not always undertaken in the stated timeframes.  Registered nurses interviewed were aware of when and how to get specialist wound advice when needed.  Monitoring records for (but not limited to) weight, catheter changes, peg changes, food and fluids, blood sugars, behaviours and routine observations (including neurological observations after unwitnessed falls) demonstrated that appropriate care delivering is occurring.  Monitoring forms are not always completed in the stated frequency.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works 40 hours a week and is supported by one activities coordinator who is working towards a diversional therapist certificate.  Both are responsible for documentation completion and spends one-on-one time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Care plans acknowledge spiritual and cultural needs.  There is an integrated rest home/hospital and separate YPD programme scheduled across six days.  Activities are provided between 8.30 am - 5 pm Monday to Fridays and 9 am - midday.  Activities coordinators assist with exercise (‘sit and be fit’, Zumba and tai chi).  There are two regular volunteers that assist with various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accompanied to community involvement activities.  The activities staff have one-on-one time with residents who are unable or who choose not to participate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staff at Radius Waipuna provides an activities programme encompassing links to the restorative model of care and enabling strong community links for the residents.  The diverse cultures within the facility are incorporated within the programme.  A monthly activities calendar is distributed to residents and is posted on noticeboards.  Group activities are voluntary and developed by the activities staff in consultation with the residents, healthcare assistants and registered nurses.  Residents are able to participate in a range of activities that are appropriate to their cognitive and physical capabilities and is age appropriate.  A number of clubs and groups have been initiated by residents including the younger people.  Activities are purposeful and focussed to decrease depression, challenging behaviour, and mindfulness (word puzzles, memory group).  There is evidence of pastoral care though the provision of church services.</w:t>
            </w:r>
          </w:p>
          <w:p w:rsidR="00EB7645" w:rsidRPr="00BE00C7" w:rsidP="00BE00C7">
            <w:pPr>
              <w:pStyle w:val="OutcomeDescription"/>
              <w:spacing w:before="120" w:after="120"/>
              <w:rPr>
                <w:rFonts w:cs="Arial"/>
                <w:b w:val="0"/>
                <w:lang w:eastAsia="en-NZ"/>
              </w:rPr>
            </w:pPr>
            <w:r w:rsidRPr="00BE00C7">
              <w:rPr>
                <w:rFonts w:cs="Arial"/>
                <w:b w:val="0"/>
                <w:lang w:eastAsia="en-NZ"/>
              </w:rPr>
              <w:t>Activities for younger people are documented to the extent clinically appropriate to reflect the resident’s former routines and community engagement, including Māori community links.  Residents were involved in making a sculpture of a waka that was unveiled at the Waipuna hotel.  There was evidence of engagement with artistic activities, either as an observer or creator.  Residents joined in art sessions weekly and created pieces that was put together for an art exhibition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interest groups include a creativity group and art group.  Younger people are supported to access community groups/events of their interest including but not limited to RSA and community men’s 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staff completes an initial assessment and resident profile, an activity care plan, and a 24-hour activities plan.  Evaluations are completed six-monthly as part of the multidisciplinary team review and complex team meetings.  Activities are varied to meet the needs of the groups of residents at the service.  The service has a van which is used for resident outings and trips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of the activity programme with feedback and suggestions for activities made in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participating in activities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with the clinical manager, RN, healthcare assistants and DT.  There is a written evaluation against the resident goals that identifies progression towards meeting goals.  Long-term care plans are updated with any changes to meet the resident goals.  Short-term care plans were evident for the care and treatment of short-term problems for residents, and these had been evaluated, closed, or transferred to the long-term care plan if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Waipuna access other medical and non-medical services.  Referral documentation is maintained on resident files.  The RNs initiate referrals to nurse allied health services.  Other specialist referrals are made by the GPs.  Referrals and options for care were discussed with the family, as evidenced in medical notes.  There was evidence of referrals to the dietitian, occupational therapist, wound care specialist, continence advisor, ear health nurse, physiotherapy, and the podiatrist.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Chemicals are stored safely in locked areas.  Chemicals sighted were labelled correctly in the original containers, and safety data sheets and product information are readily available to staff.  Gloves, aprons, and visors are available, and staff were observed wearing personal protective clothing while carrying out their duties.  RNs and healthcare assistants interviewed confirmed enough pandemic supplies are available.  Staff have completed chemical safety training and staff could describe the pandemic/outbreak plan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The chemical supply company visits each month to check that supplies are adequate, and that staff are managing chemicals safely and efficiently.  Audits are performed as part of the internal audit programme as evidenced on the audit schedule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maintenance person who is a health and safety representative.  The maintenance person ensures daily maintenance requests are addressed and a planned maintenance schedule is maintained.  Essential contractors are available 24 hours.  Electrical testing is completed annually.  Annual calibration and functional checks of medical equipment is completed by an external contractor.  The maintenance person carries out regular checks of transferring equipment, beds, and call bells.  The maintenance staff member interviewed has a good knowledge of the responsibilities associated with this role in the organisation.  Waste management systems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and corrective actions had been taken for temperatures over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sufficient space for residents to safely mobilise using mobility aids or for the use of hoists, power chairs and hospital recliners on wheels.  </w:t>
            </w:r>
          </w:p>
          <w:p w:rsidR="00EB7645" w:rsidRPr="00BE00C7" w:rsidP="00BE00C7">
            <w:pPr>
              <w:pStyle w:val="OutcomeDescription"/>
              <w:spacing w:before="120" w:after="120"/>
              <w:rPr>
                <w:rFonts w:cs="Arial"/>
                <w:b w:val="0"/>
                <w:lang w:eastAsia="en-NZ"/>
              </w:rPr>
            </w:pPr>
            <w:r w:rsidRPr="00BE00C7">
              <w:rPr>
                <w:rFonts w:cs="Arial"/>
                <w:b w:val="0"/>
                <w:lang w:eastAsia="en-NZ"/>
              </w:rPr>
              <w:t>There is safe access to the outdoor areas including a children’s’ playground.  All entrances and exits are safe for residents with power chairs, walkers, or wheelchairs.  Seating and shade are provided.  The healthcare assistants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ensuite with a wet area shower shared between each two rooms in Kowhai and Kauri wings.  There are communal toilets and bathrooms throughout Tamaki and Garden View lounge area.  The fixtures, fittings, floors, and wall surfaces are constructed from materials that can be easily cleaned.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have handwashing facilities and are single occupancy.  There are sufficient communal toilet/showers to meet the needs of the residents.  All communal toilets and showers have appropriate signage and locks on the doors.  Fittings, fixtures, and flooring is appropriate.  Communal staff and visitor toilets are identifiable and equipped with locks, flowing soap and paper towels.  All rooms are of an appropriate size to allow care to be provided and for the safe use and manoeuvring of mobility aids.  Residents’ rooms are personalised.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spacious.  There is adequate room to safely manoeuvre mobility aids and cater for equipment such as hoists, wheelchairs and fallout chairs and required staff.  The doors are wide enough for bed transfer.  Residents and families are encouraged to personalise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large lounges with seating arranged to allow residents to mobilise freely.  There is a smaller lounge for private and quiet space.  Dining areas are spacious to accommodate safe mobility for staff and residents, and for those residents in power chairs.  All areas are easily accessible for the residents.  Residents interviewed reported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Manufacturer’s data safety sheets are available.  All linen and personal clothing is laundered off site.  Only mop heads are cleaned on site in the laundry.</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processes are monitored through internal audits, resident meetings, and surveys.  There are dedicated cleaners working across the service.  Cleaning trolleys are stored safely when not in use.  Residents and relatives interviewed were satisfied with the laundry service and cleanliness of the communal areas and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emergency/disaster/pandemic procedures and manual in place.  There is an approved fire evacuation scheme.  Fire safety training has been provided.  Fire evacuation drills have been conducted six-monthly with the last fire drill occurring on 12 May 2021.  There is a staff member with a current first aid certificate on duty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Civil defence, and biohazard, first aid and pandemic/outbreak supplies are available and are checked on a regular basis.  Sufficient water is stored for emergency use and alternative heating and cooking facilities are available.  There is a generator available on request if there is a power failure.  Emergency lighting is available for back-up.  There is an effective call bell system in place.  Visitors and contractors sign in at reception when visiting.  Security checks are conducted each night by staff.  The maintenance manager works full time but is also available on call for building, equipment, and maintenance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list of staff and community numbers for emergency contact and an updated evacuation resident list including mobility status of each resident.  Night staff complete all security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all resident rooms are appropriately heated and ventilated.  All resident rooms and the communal areas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is appropriate for the size, complexity and degree of risk associated with the service.  The infection control nurse has been in the role twelve months (and as a RN for over two years) and has a job description outlining the responsibilities of the role.  She is supported by an infection control committee, clinical manager, and the Radius Infection Control Advisor at head office.  The infection control programme is discussed monthly and discussed at RN, team, quality and health and safety committee meetings.  The IC programme is annually reviewed at an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Covid-19 prepared plan according to risk levels.  Visitors are asked not to visit if unwell.  There is QR screening and declarations in place for all visitors, staff, and contractors.  Hand hygiene notices are in use around the facility and there are hand sanitisers strategically placed throughout the building.  Relatives have been kept updated on visiting policies during Covid lockdown and outbreak lockdown by phone calls, emails, and Facebook notices.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had been vaccinated against Covid-19.  Each resident had a short-term care plan to guide staff in reporting any adverse effects.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infection control committee meeting includes representatives from across the services.  The committee meet monthly, and data is discussed and published in the monthly minutes and graphs that are available to all staff.  The infection control nurse has completed Covid-19 online learning and formal infection prevention and control learning.  The service also has access to an infection control and prevention team at the DHB, Public Health, GPs, and local community laboratory infection control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manual, which includes policies and procedures appropriate for the size and complexity of the service.  Policies are reviewed at head office in consultation with all infection control nurses.  Any changes or updates to the infection control policies are notified at staff meetings and are recorded in the staff meeting minutes.  There is a Radius Covid-19 policy and outbreak management plan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is responsible for coordinating/providing education and training to staff.  All staff receive infection control education as part of the orientation programme.  Staff are required to read policies and complete the infection control hand hygiene competency annually.  There has been additional Covid training including weekly meetings, the correct use of personal protective equipment and donning and doffing competencies.  There is an infection control focus every month which includes in-service.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Waipuna infection control manual.  Monthly infection data is collected for all infections based on signs and symptoms of infection.  Care plans for the management of infections are added to the long-term care plan.  Surveillance of all infections is entered onto a monthly infection summary.  This data is monitored and evaluated monthly and annually.  Outcomes and actions are discussed at meetings.  If there is an emergent issue, it is acted upon in a timely manner.  The infection control nurse interviewed reported the service works actively on reducing the high rate of urinary tract infections, at the time of the audit.  Reports are easily accessible to the management team and head office staff.  A confirmed norovirus outbreak in March/April 2020 that affected 12 residents and five staff was of short duration, managed appropriately and reported to the local public health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There were six residents using restraints during the audit.  There were no residents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restraint coordinator in partnership with the RNs, GP or NP,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hospital level residents where restraint was in use (lap belt and bed rail for one resident and a bedrail for the other resident), were selected for review.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GP or NP.  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evidenced in two resident files where restraint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as part of the restraint committee meeting.  A review of two resident files identified that evaluations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three-monthly restraint meetings, attended by the restraint coordinator, RNs, and HCAs.  Meeting minutes include a review of the residents using restraints or enablers, updates (if any) to the restraint programme, and staff education and training.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01"/>
        <w:gridCol w:w="1280"/>
        <w:gridCol w:w="5320"/>
        <w:gridCol w:w="423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confirmed they can easily access policies and procedures and are informed of any changes, however during the interview there were different versions of the frequency of neurological observations.  There are a number of monitoring forms used to monitor a resident’s health status.  Monitoring forms are reviewed by the RN and interventions updated on care plans or short-term care plans developed and reviewed regularly.  Not all required monitoring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shortfalls were identified: (i) Three residents (ACC and YPD) reposition charts were not completed within the frequency stated in the care plan. (ii)  Two residents (hospital and YPD) wound dressings were not completed daily as per the wound care plan; and (iii) One hospital resident’s neurological observation were commenced but not completed as per the policy for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monitoring occurs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Waipuna</w:t>
    </w:r>
    <w:bookmarkEnd w:id="58"/>
    <w:r>
      <w:rPr>
        <w:rFonts w:cs="Arial"/>
        <w:sz w:val="16"/>
        <w:szCs w:val="20"/>
      </w:rPr>
      <w:tab/>
      <w:t xml:space="preserve">Date of Audit: </w:t>
    </w:r>
    <w:bookmarkStart w:id="59" w:name="AuditStartDate1"/>
    <w:r>
      <w:rPr>
        <w:rFonts w:cs="Arial"/>
        <w:sz w:val="16"/>
        <w:szCs w:val="20"/>
      </w:rPr>
      <w:t>1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