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Remuera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April 2021</w:t>
      </w:r>
      <w:bookmarkEnd w:id="7"/>
      <w:r w:rsidRPr="009418D4">
        <w:rPr>
          <w:rFonts w:cs="Arial"/>
        </w:rPr>
        <w:tab/>
        <w:t xml:space="preserve">End date: </w:t>
      </w:r>
      <w:bookmarkStart w:id="8" w:name="AuditEndDate"/>
      <w:r w:rsidR="00A4268A">
        <w:rPr>
          <w:rFonts w:cs="Arial"/>
        </w:rPr>
        <w:t>30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The service has converted one resident room to an office space reducing the total number of beds from 44 to 43.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Remuera Care Home is part of the Bupa group.  The service is certified to provide rest home and hospital (geriatric and medical) level care for up to 43 residents.  On the days of audit there were 40 residents.</w:t>
      </w:r>
    </w:p>
    <w:p w:rsidRPr="00A4268A">
      <w:pPr>
        <w:spacing w:before="240" w:line="276" w:lineRule="auto"/>
        <w:rPr>
          <w:rFonts w:eastAsia="Calibri"/>
        </w:rPr>
      </w:pPr>
      <w:r w:rsidRPr="00A4268A">
        <w:rPr>
          <w:rFonts w:eastAsia="Calibri"/>
        </w:rPr>
        <w:t>This unannounced surveillance audit was conducted against a subset of the Health and Disability Services Standards and the contract with the district health board.  The audit process included the review of policies and procedures, the review of residents and staff files, observations and interviews with residents, family, management, staff and general practitioner.</w:t>
      </w:r>
    </w:p>
    <w:p w:rsidRPr="00A4268A">
      <w:pPr>
        <w:spacing w:before="240" w:line="276" w:lineRule="auto"/>
        <w:rPr>
          <w:rFonts w:eastAsia="Calibri"/>
        </w:rPr>
      </w:pPr>
      <w:r w:rsidRPr="00A4268A">
        <w:rPr>
          <w:rFonts w:eastAsia="Calibri"/>
        </w:rPr>
        <w:t xml:space="preserve">The relieving care manager has been in the role for four weeks and has experience in age care management roles.  The clinical manager has been in the role since 2016.  The managers are supported by the regional operations manager registered nurses and caregivers. </w:t>
      </w:r>
    </w:p>
    <w:p w:rsidRPr="00A4268A">
      <w:pPr>
        <w:spacing w:before="240" w:line="276" w:lineRule="auto"/>
        <w:rPr>
          <w:rFonts w:eastAsia="Calibri"/>
        </w:rPr>
      </w:pPr>
      <w:r w:rsidRPr="00A4268A">
        <w:rPr>
          <w:rFonts w:eastAsia="Calibri"/>
        </w:rPr>
        <w:t>The service has converted one resident room to an office space reducing the total number of beds from 44 to 43.</w:t>
      </w:r>
    </w:p>
    <w:p w:rsidRPr="00A4268A">
      <w:pPr>
        <w:spacing w:before="240" w:line="276" w:lineRule="auto"/>
        <w:rPr>
          <w:rFonts w:eastAsia="Calibri"/>
        </w:rPr>
      </w:pPr>
      <w:r w:rsidRPr="00A4268A">
        <w:rPr>
          <w:rFonts w:eastAsia="Calibri"/>
        </w:rPr>
        <w:t xml:space="preserve">The service continues to meet the assessed standards.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Relatives are regularly updated of residents’ condition including any acute changes or incidents.  Complaints processes are implemented and managed in line with the Health and Disability Commissioner’s (HDC) Code of Health and Disability Services Consumers’ Rights (the Code).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strategic plan and annual quality, and risk management plans are in place.  These define the scope, direction and objectives of the service and the monitoring and reporting processes. The relieving care home manager and the clinical manager provide leadership, both are registered nurses with a current practising certificate.  The human resource management system is documented in policy with recruitment completed as per policy.  A comprehensive orientation programme is in place.  There is an annual training plan that is implemented which includes compulsory study days.  </w:t>
      </w:r>
    </w:p>
    <w:p w:rsidRPr="00A4268A">
      <w:pPr>
        <w:spacing w:before="240" w:line="276" w:lineRule="auto"/>
        <w:rPr>
          <w:rFonts w:eastAsia="Calibri"/>
        </w:rPr>
      </w:pPr>
      <w:r w:rsidRPr="00A4268A">
        <w:rPr>
          <w:rFonts w:eastAsia="Calibri"/>
        </w:rPr>
        <w:t xml:space="preserve">There is a clearly documented rationale for determining staff levels and staff mix to provide safe service delivery in the rest home and hospital.  An appropriate number of skilled and experienced staff are allocated to each shift.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A registered nurse assesses plans and reviews residents' needs, outcomes and goals with the resident and/or family/whānau input.  Care plans reviewed in resident records demonstrated service integration.  Resident files included medical notes by the general practitioner and visiting allied health professionals.   </w:t>
      </w:r>
    </w:p>
    <w:p w:rsidRPr="00A4268A" w:rsidP="00621629">
      <w:pPr>
        <w:spacing w:before="240" w:line="276" w:lineRule="auto"/>
        <w:rPr>
          <w:rFonts w:eastAsia="Calibri"/>
        </w:rPr>
      </w:pPr>
      <w:r w:rsidRPr="00A4268A">
        <w:rPr>
          <w:rFonts w:eastAsia="Calibri"/>
        </w:rPr>
        <w:t xml:space="preserve">There is a varied activity programme in place.  The programme includes community visitors, outings, entertainment and activities that meet the individual recreational, physical, cultural and cognitive abilities and preferences for the residents.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responsible for administration of medicines complete education and medication competencies.  The medicine charts reviewed met legislative prescribing requirements.     </w:t>
      </w:r>
    </w:p>
    <w:p w:rsidRPr="00A4268A" w:rsidP="00621629">
      <w:pPr>
        <w:spacing w:before="240" w:line="276" w:lineRule="auto"/>
        <w:rPr>
          <w:rFonts w:eastAsia="Calibri"/>
        </w:rPr>
      </w:pPr>
      <w:r w:rsidRPr="00A4268A">
        <w:rPr>
          <w:rFonts w:eastAsia="Calibri"/>
        </w:rPr>
        <w:t xml:space="preserve">All meals and baking are done on-site.  Residents' food preferences and dietary requirements are identified at admission and accommodated.  The menu is reviewed by the dietitian.  Residents commented positively on the meals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Bupa Remuera has a current building warrant of fitness.  Reactive and preventative maintenance is carried out.  Chemicals are stored securely, and staff are provided with personal protective equipment.  Hot water temperatures are monitored and recorded.  Residents’ rooms are of sufficient space to allow services to be provided and for the safe use and manoeuvring of mobility aids.  External garden areas are available with suitable pathways, seating and shade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with the focus being on maintaining a restraint free environment.  Staff receive regular education and training on restraint minimisation and around management of challenging behaviour.  During the audit there was one resident using a restraint and no residents using an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Covid19 was well prepared for.  Policies, procedures and the pandemic plan have been updated to include Covid19.  Staff education has been completed.  Resource folders are in place for staff to refer to.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A record of all complaints is maintained, both verbal and written, by using the electronic Riskman system.  There have been nine complaints made since the previous audit (one in 2019, four in 2020 and four  for 2021,year to date).  All complaints were acknowledged, investigated and resolved within timeframes information held on the electronic system demonstrates that complaints are being managed in accordance with guidelines set by the Health and Disability Commissioner.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during admission and felt comfortable discussing issues with the management team.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residents interviewed (two rest home and one hospital) stated they were welcomed on entry and were given time and explanation about the services and procedures.  A record of family communication is held in the front of each resident’s file.  Ten incidents/accidents forms selected for review indicated that family were informed.  The two relatives were interviewed (one hospital, one rest home) confirmed they are notified of any changes in their family member’s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Clinical staff interviewed (three caregivers, two registered nurses (RNs), the activities coordinator, one health and safety representative (caregiver) felt there was good communication through the monthly staff meetings and handovers at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Staff and family are utilised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Remuera provides hospital and rest home care for up to 43 residents.  One bed has been decommissioned from use and used as office space.  Bupa Remuera is a two-storey building with hospital and rest home services being provided on the ground floor and rest home care on the first floor.  On the day of audit there were 40 residents including 19 rest home level residents and 21 hospital level residents including one resident on ACC.  All resident rooms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Care Home is part of the Northern one Bupa region.  The managers from this region have three forums a year where progress and problems are discussed.  Weekly teleconferences and an annual all of Bupa forum, ensures continuity of service alignment and progression of business objectives.  The reliving care home manager provides a weekly report to the Bupa regional operations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currently managed by a relieving care home manager while a permanent care home manager is employed.  The relieving manager has been in the role for five months with Bupa and four weeks at Remuera.  The relieving manager has a background in age care as a registered nurse and various management roles.  The clinical manager is a registered nurse and has been in her role for five years.  The management team is supported by the wider Bupa management team including a regional operations manager, quality partner, property partner and a regional business analyst.  The management team report staffing overall has been stable, the registered nurses have been stable for around a year and the caregiving and non-clinical staff remain relatively stable.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relieving care home manager and clinical manager have maintained over eight hours annually of professional development activities related to their respective roles.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Discussions with the staff reflected their involvement in quality and risk management processes.  The monthly monitoring, collation and evaluation of quality and risk data is comprehensive.  Quality and risk performance was reported across facility meetings and to the organisation's management team.  Discussions with the managers and staff reflected staff involvement in quality and risk management processes.  The monthly monitoring, collation and evaluation of quality and risk data.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A health and safety representative (caregiver) was interviewed about the health and safety programme.  Risk management, hazard control and emergency policies and procedures are being implemented.  Hazard identification forms and a hazard register are in place.  All new staff and contractors undergo a health and safety orientation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an annual resident/relative satisfaction survey completed in 2020 evidenced a slight increase in satisfaction from 67/100 in 2019 to 83/100 in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extra monitoring of the residents and participation in the exercise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Ten accident/incident forms were reviewed for April 2021 (four rest home and six hospital).  Each event involving a resident reflected a clinical assessment and follow-up by a RN.  Neurological observations are conducted for unwitnessed falls.  Data collected on incident and accident forms are linked to the quality management system.  The relieving care home manager and clinical manager are aware of their requirement to notify relevant authorities in relation to essential notifications.  Notifiable information is sent to the CSI team, who review and send any section 31 notifications.  There have been notifications sent for the change in management, a water shortage in 2020 and an unstageable pressure injury.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policies include recruitment, selection, orientation and staff training and development.  There is a total of 41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(one clinical manager, one RN, two caregivers, and one activities coordinator) reviewed, evidenced implementation of the recruitment process, employment contracts, completed orientation, and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Performance appraisals are completed annually for all staff.  A register of registered nursing staff and other health practitioner practising certificates is maintained.  The orientation programme is implemented and provides new staff with role specific training and relevant information to meet safe work practice.  The orientation booklet in the files of two recently engaged staff were reviewed and evidenced  that a comprehensive orientation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annual education and training plan that exceeds eight hours annually.  There is an attendance register for each training session and an individual staff member record of training.  A compulsory education day is held four times a year for staff to attend to ensure all staff complete compulsory education sessions.  The clinical manager maintains a spreadsheet of education attendance.  Opportunistic education is provided via toolbox talks.  Education and training for clinical staff is linked to external education provided by the DHB.  On the day of the audit there were 11 caregivers who had achieved New Zealand Qualification Authority (NZQA) level 4, two had completed level 3 and five had completed level 2 NZQA.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Four of five registered nurses and the clinical manager have completed their interRAI training.  All registered nurses (including the clinical manager) have completed syringe driver competencies through the Hospice and have completed relevant competencies to their role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aligns/includes skill mixes.  Bupa Remuera has a roster in place which ensures there are adequate staffing levels to meet the acuity and safety needs of the residents.  The  relieving care home manager and clinical manager are available during weekdays.  The relieving care home manager (RN) and clinical manager share on call after hours.  Adequate RN cover is provided 24 hours a day,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on duty on the morning, afternoon and night shifts for the facility.  The service is divided into the two floors.  Staffing is allocated per unit, depending on occupancy and acuity.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Upstairs there are 22 beds with 16 rest home and four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On the morning shift there are three caregivers rostered; 2x 7am to 3pm, and a ‘float’ from 7am to 1.30pm.</w:t>
            </w:r>
          </w:p>
          <w:p w:rsidR="00EB7645" w:rsidRPr="00BE00C7" w:rsidP="00BE00C7">
            <w:pPr>
              <w:pStyle w:val="OutcomeDescription"/>
              <w:spacing w:before="120" w:after="120"/>
              <w:rPr>
                <w:rFonts w:cs="Arial"/>
                <w:b w:val="0"/>
                <w:lang w:eastAsia="en-NZ"/>
              </w:rPr>
            </w:pPr>
            <w:r w:rsidRPr="00BE00C7">
              <w:rPr>
                <w:rFonts w:cs="Arial"/>
                <w:b w:val="0"/>
                <w:lang w:eastAsia="en-NZ"/>
              </w:rPr>
              <w:t>The afternoon shift has two caregivers: one from 3pm to 11pm and 1x 4pm to 10pm.  There is one caregiver on duty overnight.</w:t>
            </w:r>
          </w:p>
          <w:p w:rsidR="00EB7645" w:rsidRPr="00BE00C7" w:rsidP="00BE00C7">
            <w:pPr>
              <w:pStyle w:val="OutcomeDescription"/>
              <w:spacing w:before="120" w:after="120"/>
              <w:rPr>
                <w:rFonts w:cs="Arial"/>
                <w:b w:val="0"/>
                <w:lang w:eastAsia="en-NZ"/>
              </w:rPr>
            </w:pPr>
            <w:r w:rsidRPr="00BE00C7">
              <w:rPr>
                <w:rFonts w:cs="Arial"/>
                <w:b w:val="0"/>
                <w:lang w:eastAsia="en-NZ"/>
              </w:rPr>
              <w:t>Downstairs has 21 beds with three rest home and 17 hospital residents including the resident on ACC.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morning shift there are four caregivers; 2x 7am to 3pm, and 2x 7am to 1.30pm.  </w:t>
            </w:r>
          </w:p>
          <w:p w:rsidR="00EB7645" w:rsidRPr="00BE00C7" w:rsidP="00BE00C7">
            <w:pPr>
              <w:pStyle w:val="OutcomeDescription"/>
              <w:spacing w:before="120" w:after="120"/>
              <w:rPr>
                <w:rFonts w:cs="Arial"/>
                <w:b w:val="0"/>
                <w:lang w:eastAsia="en-NZ"/>
              </w:rPr>
            </w:pPr>
            <w:r w:rsidRPr="00BE00C7">
              <w:rPr>
                <w:rFonts w:cs="Arial"/>
                <w:b w:val="0"/>
                <w:lang w:eastAsia="en-NZ"/>
              </w:rPr>
              <w:t>Four caregivers are rostered on the afternoon shift: 2x 3pm to 11pm and 2x 3pm to 9pm.  There is one caregiver on duty overnight.</w:t>
            </w:r>
          </w:p>
          <w:p w:rsidR="00EB7645" w:rsidRPr="00BE00C7" w:rsidP="00BE00C7">
            <w:pPr>
              <w:pStyle w:val="OutcomeDescription"/>
              <w:spacing w:before="120" w:after="120"/>
              <w:rPr>
                <w:rFonts w:cs="Arial"/>
                <w:b w:val="0"/>
                <w:lang w:eastAsia="en-NZ"/>
              </w:rPr>
            </w:pPr>
            <w:r w:rsidRPr="00BE00C7">
              <w:rPr>
                <w:rFonts w:cs="Arial"/>
                <w:b w:val="0"/>
                <w:lang w:eastAsia="en-NZ"/>
              </w:rPr>
              <w:t>An experienced activities coordinator (diversional therapist) works Sunday to Thursday and is supported by a part time activities assistant who works from Tuesday to Saturday.  Interviews with residents and family members identified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including self-administration.  An RN checks all medications on delivery against the electronic medication chart and any errors recorded and fed back to the supplying pharmacy.  All medications were securely and appropriately stored.  The medication fridge and medication room temperature have been recorded daily and these were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responsible for the administering of medications have completed annual medication competencies and annual medication education.  Registered nurses have competencies in syringe driver use and enteral feeding.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were reviewed (four rest home and six hospital including the ACC resident).  Photo identification and allergy status were on all charts.  All ‘as required’ medications were prescribed appropriately and documented indications for use.  All medication charts had been reviewed by the GP at least three-monthly.  Standing orders are not used.  There was no expired medication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one resident self-administering medications at the time of audit.  A competency was in place and has been reviewed three monthly, medications were stored securely in the resident’s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head cook oversees the food services and is supported by kitchen staff on duty each day.  The four weekly national menus have been audited and approved by an external dietitian.  There is an approved food control plan.  The main meal is at lunch time.  All baking and meals are cooked on-site in the main kitchen.  The main dining room is downstairs adjacent to the kitchen, meals are served directly to the residents in the dining room and are transported to resident rooms in hot boxes.  End cooked food temperatures are recorded on each meal daily.  Temperatures are recorded on all chilled and frozen food deliveries.  Fridges and freezer temperatures are monitored and recorded daily.  All foods are dated in the chiller, fridges and freezers.  Dry goods are stored in dated sealed containers.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current food control plan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on the day of the audit were all complimentary of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resident's condition alters, the registered nurse initiates a review and if required a GP visit.  There are a range of specialists available to Remuera such as the wound care specialist, Hospice, respiratory nurse, continence and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stated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There were 17 wounds on the day of the audit (four rest home residents including one resident with four wounds and seven hospital residents including one resident with three wounds) wounds included eight chronic ulcers, two abrasions, three cancerous lesions, one skin tear, and three due to skin conditions.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charts contain assessments, plans and evaluations which document progression and deterioration of the wound healing process.  Short-term care plans were in place for all wounds.  Evidence of GP, dietitian, physiotherapist, and wound care nurse specialist input into wound care was documented in resident files.  Recommendations made were evidenced to be implemented.  Residents and relatives interviewed reported their needs were being met.  There was documented evidence of relative contact.  Monitoring charts were in use; examples sighted included (but were not limited to), weight and vital signs, blood glucose, pain, food and fluid, turning charts and behaviour monitoring as required.  Weight monitoring is recorded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team is led by an experienced activities coordinator (diversional therapist) who works Sunday to Thursday 8am to 5pm Monday, Wednesday and Thursday, and 8am to 4.30pm Tuesday and 8am to 3.30pm on Sunday.  She is supported by an activities assistant who works Tuesday to Saturday from 9.30am to 2.30pm.  The activities team all have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take place predominantly in the downstairs lounge.  The monthly planner includes a range of activities and includes entertainers, special events and celebrations.  There are regular quizzes, group games weekly trips and arts and crafts, Tai-Chi, music therapy and mindfulness.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Recently, Anzac Day was observed and celebrated with a church service, the facility was decorated in a war time theme and an Anzac ‘hall’ dinner was held including input from the kitchen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six-monthly as part of the care plan review/evaluation and a record is kept on individual resident’s activities.  The family/resident completes a Map of Life on admission, which includes previous hobbies, community links, family, and interests.  The individual activity plan is incorporated into the long-term care plan and was reviewed at the same time as the care plan in all resident files reviewed.  Residents have the opportunity to provide feedback at the bi-monthly residents meetings and provide regular verbal feedback to the activity coordinators.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van which is used for outings and can take two wheelchairs.  The maintenance person drives the van, and a member of the activities team accompanies residents on outings.  Residents were observed to be participating in a quiz and group games.  The residents had mixed comments around activities during interviews, the management team and activities assistant report the activities programme is currently under review.  Relatives reported there were a variety of activities on offer.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at least six-monthly.  The multidisciplinary review involves the RN, GP, diversional therapist and resident/family.  Relatives are notified of the outcome of the review if unable to attend.  There is at least a three-monthly review by the medical practitioner.  The relatives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six-monthly reviews.  Short-term care plans for short-term needs were evaluated and either resolved or added to the long-term care plan as an ongoing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which expires 25 June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and has been maintained.  The hot water temperatures are monitored on alternate weeks and maintained between 43-45 degrees Celsius.  There are contractors for essential service available 24/7.  All equipment has been tagged, tested and calibrated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The external areas are well maintained with seating and shaded areas.  There is wheelchair access to all areas.  The service has converted a previous resident’s room into an office space reducing the total number of beds from 44 to 43.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referred to in care plans necessary to provide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coordinator (clinical manager).  This includes audits of the facility, hand hygiene and surveillance of infection control events and infections.  Surveillance data is available to all staff.  Infection statistics are included for benchmarking.  Corrective actions are established where infections are above the benchmark.  All infections are documented monthly in an infection control register.  There was a spike in urinary tract infections in March, corrective actions were implemented, and urinary tract infections are tracking downwards in April (to date of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 and procedures implemented to manage the risk posted by Covid -19.  Bupa implemented teleconferences during Covid- 19 lock down to ensure staff have the most up to date information these are now approximately monthly.  Additional education has been provided around personal protective equipment (PPE) and 100% of staff have attended.  Resource folders are easily accessible for staff to access.  Wellness forms and track and trace procedures remain in place in line with current guidelines.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staff confirmed their understanding of restraints and enablers.  At the time of the audit, the service had one resident using bedrails as restraint and no residents with an enabler.  Consents were signed by the activated enduring power of attorney (EPOA) assessments were completed and included risks associated.  The residents care plan included interventions around restraint use.  Monitoring forms were maintained as instructed in the care plan.  Staff training around restraint minimisation and management of challenging behaviours is completed annually.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Remuera Care Home</w:t>
    </w:r>
    <w:bookmarkEnd w:id="58"/>
    <w:r>
      <w:rPr>
        <w:rFonts w:cs="Arial"/>
        <w:sz w:val="16"/>
        <w:szCs w:val="20"/>
      </w:rPr>
      <w:tab/>
      <w:t xml:space="preserve">Date of Audit: </w:t>
    </w:r>
    <w:bookmarkStart w:id="59" w:name="AuditStartDate1"/>
    <w:r>
      <w:rPr>
        <w:rFonts w:cs="Arial"/>
        <w:sz w:val="16"/>
        <w:szCs w:val="20"/>
      </w:rPr>
      <w:t>29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