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Whanau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Whanau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June 2021</w:t>
      </w:r>
      <w:bookmarkEnd w:id="7"/>
      <w:r w:rsidRPr="009418D4">
        <w:rPr>
          <w:rFonts w:cs="Arial"/>
        </w:rPr>
        <w:tab/>
        <w:t xml:space="preserve">End date: </w:t>
      </w:r>
      <w:bookmarkStart w:id="8" w:name="AuditEndDate"/>
      <w:r w:rsidR="00A4268A">
        <w:rPr>
          <w:rFonts w:cs="Arial"/>
        </w:rPr>
        <w:t>30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Te Whānau is part of the Bupa Group and is certified to provide rest home and hospital level of care for up to 65 residents.  On the day of audit there were 47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The service is managed by a care home manager who is an experienced registered nurse and has been in the role for eight years.  The manager is supported by a clinical manager who has been in the role for two years.  The management team and staff are supported by a Bupa regional operations manager, and a team of experienced staff. </w:t>
      </w:r>
    </w:p>
    <w:p w:rsidRPr="00A4268A">
      <w:pPr>
        <w:spacing w:before="240" w:line="276" w:lineRule="auto"/>
        <w:rPr>
          <w:rFonts w:eastAsia="Calibri"/>
        </w:rPr>
      </w:pPr>
      <w:r w:rsidRPr="00A4268A">
        <w:rPr>
          <w:rFonts w:eastAsia="Calibri"/>
        </w:rPr>
        <w:t xml:space="preserve">A robust organisational quality system is in place, the residents, relatives and the general practitioner spoke positively about the care provided at Bupa Te Whānau facility.  </w:t>
      </w:r>
    </w:p>
    <w:p w:rsidRPr="00A4268A">
      <w:pPr>
        <w:spacing w:before="240" w:line="276" w:lineRule="auto"/>
        <w:rPr>
          <w:rFonts w:eastAsia="Calibri"/>
        </w:rPr>
      </w:pPr>
      <w:r w:rsidRPr="00A4268A">
        <w:rPr>
          <w:rFonts w:eastAsia="Calibri"/>
        </w:rPr>
        <w:t xml:space="preserve">This certification audit identified that the service meets the health and disability standards.  </w:t>
      </w:r>
    </w:p>
    <w:p w:rsidRPr="00A4268A">
      <w:pPr>
        <w:spacing w:before="240" w:line="276" w:lineRule="auto"/>
        <w:rPr>
          <w:rFonts w:eastAsia="Calibri"/>
        </w:rPr>
      </w:pPr>
      <w:r w:rsidRPr="00A4268A">
        <w:rPr>
          <w:rFonts w:eastAsia="Calibri"/>
        </w:rPr>
        <w:t xml:space="preserve">There is a continuous improvement awarded around maintaining a restraint free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Te Whānau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religious and spiritual needs are respected.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implemented and includes in-service education and competency assessments.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Residents’ files include at a minimum, three-monthly reviews by the general practitioner (GP).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three-monthly by the general practitioner.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w:t>
      </w:r>
    </w:p>
    <w:p w:rsidRPr="00A4268A">
      <w:pPr>
        <w:spacing w:before="240" w:line="276" w:lineRule="auto"/>
        <w:rPr>
          <w:rFonts w:eastAsia="Calibri"/>
        </w:rPr>
      </w:pPr>
      <w:r w:rsidRPr="00A4268A">
        <w:rPr>
          <w:rFonts w:eastAsia="Calibri"/>
        </w:rPr>
        <w:t xml:space="preserve">There are two shared bedrooms and on audit, one was vacant, and one had one person in.  The remainder are single.  Four rooms have their own ensuite, the balance have a shared ensuite.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that states the organisation’s philosophy to restraint minimisation.  Bupa Te Whānau is restraint free and has no residents using enablers.  The care home manager is the restraint coordinator for the facility.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There is a suite of organisational infection control policies and guidelines to support practice.  Information obtained through surveillance is used to determine infection control activities and education needs within the facility.  The infection control coordinator is responsible for the collation of infections and orientation and education for staff.  There were two outbreaks in 2019 which were well managed and appropriate authorities were notified.</w:t>
      </w: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2"/>
        <w:gridCol w:w="1280"/>
        <w:gridCol w:w="96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relating to the Code is implemented and staff could describe how the Code is incorporated in their everyday delivery of care.  The Health and Disability Commissioner (HDC) Code of Health and Disability Services Consumers' Rights (the Code) poster is displayed in a visible location at the entrance of the facility.  Staff receive training about the Code during their induction to the service, which continues through in-service education and training (last held in May 2021).  Interviews with staff (eight caregivers, four registered nurses (RN), one clinical coordinator, one diversional therapist, one cook, one laundry person, one cleaner, one maintenance person, the clinical manager and care home manager),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treatment plan forms were evident in all seven resident files reviewed (four hospital including one ACC resident and three rest home).  General consent forms were evident in the seven files reviewed.  Discussions with staff confirmed that they are familiar with the requirements to obtain informed consent for personal care, entering rooms and so on.  Enduring power of attorney evidence is sought prior to admission, and activation documentation is obtained, and both are filed with the admission agreements.  Where legal processes are ongoing to gain EPOA, this is recorded, as are letters of request to families for the supporting documentation.  Residents interviewed confirmed that consent was obtained before undertaking any care or treatment.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and there was evidence that they had done so.  Training around abuse and neglect was last completed in May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relative meetings are held two-monthly.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local kindy, school and college students visit the facility regularly and local churches provide church services.  One resident goes home for the day each day, another resident attends their church on a Sunday with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an electronic complaints’ register on the RiskMan system.  Documentation including follow-up letters/emails and resolution demonstrates that complaints are being managed in accordance with guidelines set forth by the Health and Disability Commissioner (HDC).  Discussions with residents and relatives confirmed they were provided with information on complaints and complaints forms.  Complaints forms and a suggestion box are placed at reception.  There were six complaints made in 2018, eight in 2019, ten in 2020, and two year to date in 2021.  A random sample of ten complaints were reviewed across the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reviewed reflected evidence of responding to the complainants in a timely manner with appropriate follow-up actions taken.  The complaints reviewed were signed off by the care home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the front entrance.  A manager discusses aspects of the Code with residents and their family on admission.  Five residents (two rest home and three hospital level) and three relatives (hospital) interviewed, reported that the residents’ rights are being upheld by the service.  Interviews with residents and family also confirmed their understanding of the Code and its application to aged residential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implemented around respecting residents’ privacy, and treating residents with respect, while promoting independence.  Residents interviewed reported they are treated with dignity and respect, their privacy is ensured, and independence is encouraged and supported.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The care home manager is the privacy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could fluently describe how they respect residents’ privacy and encourage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were three residents who identified as Māori.  All resident files identified cultural and spiritual preferences and affiliations (where identified).  There are links with Muaupoko Tribal Authority, who are happy to assist with spiritual and cultural advice for Māori residents.  The residents who reside at Te Whānau who identify as Māori have been invited to attend events.  There is also access to the Mid Central DHB cultural advisor.  Staff receive education on cultural awareness during their induction to the service and as a regular in-service topic at the study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spiritual and cultural needs and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defined in job descriptions.  A staff code of conduct is discussed during the new employee’s induction to the service and is signed by the new employee.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7 days a week, 24 hours a day.  The service is in the process of changing providers for GP services.  The GP interviewed was satisfied with the level of care that is being provided.  Physiotherapy services are provided on site as required.  A dietitian is also available on a referral basis.  A podiatrist is on site every three months.  There is a regular in-service education and training programme for staff.  The service has links with the local community and encourages residents to remain independent.  Bupa has established benchmarking groups for all services provided.  Bupa Te Whānau are benchmarked against the rest home and hospital services data.  If the results are above the benchmark, a corrective action plan is developed by the service.  Current correction plans include (but are not limited to); frail skin, skin tears, falls and bruising.  In 2020, the service worked towards reducing medication errors by 10%, education was provided, medication competencies and administration practices were reviewed.  The service has reduced medication errors by 30%.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Accident/incident forms (electronic) have a section to indicate if next of kin have been informed (or not) of an accident/incident.  Twelve accident/incident forms reviewed identified family are kept informed.  Relatives interviewed stated that they are kept informed when their family member’s health status changes.  An interpreter policy and contact details of interpreters is available.  Interpreter services are used where indicated.  At present family interpret for a resident who speaks limited English.  They also utilise Chinese resident-flash cards.  One staff member talks the same language, and family also assist with interpreting.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are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Te Whānau Rest Home &amp; Hospital provides hospital (geriatric and medical) and rest home level care for up to 65 residents.  There are 47 hospital beds including 10 dual-purpose beds and 18 rest home beds.  On the days of audit there were 15 rest home level residents and 32 hospital level residents including two residents funded by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Progress towards the achievement of annual goals for the facility have been reviewed by the care home manager.  The annual goals for 2021 have been developed and communicated to staff.  Quality goals for the year include reduction of falls and injuries.  The falls focus group meet monthly to analyse resident falls and put corrective action plans in place (where possible) to prevent falls.  Goals for 2020 were reviewed and have been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is a registered nurse (RN) and has been in the role since 2013.  She is supported by a clinical manager (RN) who has been in her role for two years.  They are supported by a clinical coordinator, a team of registered nurses and caregivers.  The care home manager is currently supporting a sister facility (two half days a week and more if needed); therefore, the clinical coordinator has been appointed to support the management team.  The care home manager reports they continue to enjoy a fairly stable team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assistant manager are supported by a Bupa regional manager.  Both the care home manager and the clinical manager have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Bupa relieving facility manager or clinical manager supported by the regional operations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Bupa regional operations manager.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minimisation and strategies,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for 2020 evidenced an overall increase in satisfaction of +50/100 from 2019, however, on reviewing the overall satisfaction, there has been a slight reduction in satisfaction across the board from 2019.  On discussion with the care home manager, the increase in satisfaction evidenced in the final score may have been to a higher return of surveys.  Overall, 46% of respondents would recommend the facility, 64% feel at home, 71% felt safe and secure and 71% felt comfortable raising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The health and safety officer (care home manager) was interviewed about the health and safety programme.  The health and safety officer has completed external training around health and safety at work.  Risk management, hazard control and emergency policies and procedures are in place and adhered to.  Hazard identification forms and a hazard register are in place in each area and has been reviewed annually, and when new hazards are added.  There are procedures to guide staff in managing clinical and non-clinical emergencies.  All new staff and contractors undergo a health and safety orientation programme.  Ongoing training around health and safety is included in the annual education planner.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falls focus group meet monthly.  Each fall and resident are analysed to identify trending and contributing factors of falls in a bid to prevent future falls.  Fall strategies implemented are the use of hip protectors, referrals to the physiotherapist, assessing residents’ shoes to ensure they fit properly, reducing clutter and trip hazards, utilising sensor mats, increasing checks on residents and raising staff, relatives and resident awareness around falls.  An assessment is carried out to ensure residents are safe when using motor scooters.  Data evidences a slight reduction of falls for rest home level residents, however, there is a slight rise in falls around hospital level residents largely due to independent residents who have been identified as frequent fallers.  Relatives and the residents have been fully involved in care planning and fall prevention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(electronic) are completed for each incident/accident with immediate action noted and any follow-up action(s) required.  Twelve accident/incident (six rest home and six hospital) forms were reviewed.  Each event involving a resident reflected a clinical assessment and follow-up by a registered nurse, and relatives’ notification had been completed.  Neurological observations have been conducted for unwitnessed falls.  Data collected on incident and accident forms are linked to the quality management system.  Opportunities (where possible) were identified and implemented.  The clinical manager reviews and signs off each electronic incident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are aware of their requirement to notify relevant authorities in relation to essential notifications.  There have been five section 31 notifications made since the previous audit for pressure injuries, one call bell failure, and a controlled drug medication incident.  Notifications were made in a timely manner for two outbreaks (one norovirus in October 2019 and one influenza in August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(one clinical manager, one RN, three caregivers, one diversional therapist, one housekeeper and one cook included a recruitment process (interview process, reference checking and police check for more recently employed),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Two days of education topics is held, which includes all compulsory education sessions one clinical education day which includes (but is not limited to); challenging behaviour, falls prevention aging process, and medications.  The essentials day, topics include (but not limited to): resident rights, incident reporting feedback and complaints.  This study day is available to ensure all staff are able to attend.  ‘Toolbox’ sessions are also held frequently as new issues arise, this included education around Covid-19 precautions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eleven RNs, six including the clinical manager have completed interRAI training.  There are a number of implemented competencies for registered nurses including (but not limited to) medication competencies first aid, infection control and wound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to complete New Zealand Qualifications Authority (NZQA) through Careerforce, currently there are seven caregivers who have completed level 2, ten who have completed level 3 and three who have completed level 4.  There is a Careerforce assessor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62 staff employed at Bupa Te Whānau.  There is an organisational staffing policy that aligns with contractual requirements and includes skill mixes.  Bupa Te Whānau has a roster in place, which ensures there are adequate staffing levels to meet the acuity and safety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care home manager and clinical manager and the clinical manager from a sister facility who shares on call.  The care home manager and clinical manager works Monday - Friday.  There are two registered nurses on duty on each morning and afternoon and one registered nurse on duty overnight.  Registered nurses are supported by sufficient numbers of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15 rest home and 32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morning shift has seven caregivers rostered: 6x 7 am to 3 pm and 1x 7 am to 3.15 pm.  </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seven caregivers rostered: 3x 3 pm to 11 pm, 3x 3 pm to 9 pm, and 1x 4 pm to 9 pm.</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with the registered nurse on duty overnight.  All RNs have current first aid certificates.  The residents, relatives and staff interviewed stated they felt there were adequate staff on duty.  Residents stated they felt their calls bells were answered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 staff and registered nurses.  Electronic systems used (interRAI and RiskMan)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overarching Bupa policies and procedures to safely guide service provision and entry to services, including an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Seven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 ‘pink envelope system is used).  All appropriate documentation and communication was completed.  Transfer to the hospital and back to the facility post-discharge, was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An RN checks all medications on delivery against the medication and any pharmacy errors recorded and fed back to the supplying pharmacy.  All medications were securely and appropriately stored.  The medication fridge and treatment room temperature has been recorded daily and these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caregivers responsible for the administering of medications have completed annual medication competencies and annual medication education.  Caregivers who act as second checker have also completed medication competencies.  The service uses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(six rest home, eight hospital).  Photo identification and allergy status were on all fourteen charts.  All medication charts had been reviewed by the NP/GP at least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rest home residents self-administering medications at the time of audit.  Two were self-administering their ointment and one administering an inhaler and nitrolingual spray.  All three had three monthly competency checks and medications were stored safely.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services and is supported by kitchen staff on duty each day.  The national four weekly summer/winter menus have been audited and approved by an external dietitian (March 2021).  All baking and meals are cooked on site in the main kitchen.  Meals are delivered in a bain-marie to the two rest home kitchenettes where they are served, and the main hospital dining room is served directly from the kitchen.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a bain 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Food services staff have completed on site food safety education and chemical safety.  All food service staff hold national food safety qualifications.  The food control plan expires September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considerable focus on resident satisfaction with the meals.  Feedback boxes, along with pen and paper, had been placed in the dining rooms.  The boxes were emptied weekly with feedback to kitchen staff.  A number of changes were made as a result of the feedback including: savoury morning teas, sweet afternoon teas, white or cheese sauce being served with broccoli and cauliflower, gravy jugs with sauces for residents to add as they wished and new salt and pepper shakers.  Currently changes were being made to the presentation of moulied food – it is now presented in shapes created by moulds.  Residents were appreciative of the response to their suggestions and residents and relatives spoke very highly of the standard of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assessment booklets on admission, and care plan templates were completed for all the resident files reviewed.  InterRAI initial assessments and assessment summaries were evident in printed format in all files.  Files reviewed across the service identified that risk assessments have been completed on admission and reviewed six-monthly as part of the evaluation.  Additional assessments for management of behaviour and wound care were completed according to need.  For the resident files reviewed, formal assessments and risk assessments were in place and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care plans sampled documented support needs and interventions.  Residents and family members interviewed confirmed they are involved in the development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wounds and infections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There was documented evidence of relative contact.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were in place for all wounds.  All wound care plans included a short-term care plan and written progress notes to assist review and evaluation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stage 3 facility acquired pressure injury (section 31 notification had been made), one grade 2 and four grade 1 pressure injuries being managed at the time of audit.  Evidence of GP, dietitian, physiotherapist, and wound care nurse specialist input into wound care was documented in resident files.  When a resident had a number of wounds, each wound had separate documentation evidencing assessment, wound plan and evaluation and recommendations made were evidenced to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diversional therapist who works 35 hours per week, Tuesday to Saturday.  The second member of the team, an activities assistant works two days on, four days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programme for rest home and hospital level of care residents takes place in both areas.  There are resources available for care staff to use for one-on-one time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the family/resident completes a Map of Life, which includes previous hobbies, community links, family, and interests.  A social history is taken and information from this is fed into the ‘My way, My day’ plan and this is incorporated into the long-term care plan and is reviewed six-monthly as part of the care plan review/evaluation.  A record is kept on individual resident’s activities.  There are recreational progress notes in the resident’s file that the diversional therapist completes for each resident every month.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which is used for outings.  The diversional therapist and a caregiver accompany residents on outings.  The diversional therapist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residents interviewed reported that there is a wide variety of activities provided including exercises, entertainment, outings, quizzes, craft, walks and church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or sooner if the residents condition indicated.  Caregivers have input into this evaluation via a three-day data collection form given to them by the RN.  The multidisciplinary review involves the RN, GP/NP, physiotherapist, diversional therapist and resident/family.  The family are notified of the outcome of the review if unable to attend.  There is at least a three-monthly review by the medical practitioner/nurse practitioner.  The family members interviewed confirmed they are invited to have input into reviews.</w:t>
            </w:r>
          </w:p>
          <w:p w:rsidR="00EB7645" w:rsidRPr="00BE00C7" w:rsidP="00BE00C7">
            <w:pPr>
              <w:pStyle w:val="OutcomeDescription"/>
              <w:spacing w:before="120" w:after="120"/>
              <w:rPr>
                <w:rFonts w:cs="Arial"/>
                <w:b w:val="0"/>
                <w:lang w:eastAsia="en-NZ"/>
              </w:rPr>
            </w:pPr>
            <w:r w:rsidRPr="00BE00C7">
              <w:rPr>
                <w:rFonts w:cs="Arial"/>
                <w:b w:val="0"/>
                <w:lang w:eastAsia="en-NZ"/>
              </w:rPr>
              <w:t>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problem.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posted at the entrance to the facility which expires 25 August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that has been maintained.  There is a maintenance person employed, who works three days per week and provides after hours on-call cover for any maintenance issues.  The hot water temperatures are monitored weekly and maintained between 43-45 degrees Celsius (the site is moving to electronically recording these records).  There are contractors for essential service available 24/7.  Equipment is checked monthly by the maintenance person and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refurbishment of some bedrooms had been undertaken and is continuing as they become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communal toilets located near to bedrooms and the communal areas.  Bathrooms are spacious and can accommodate the use of a shower trolley and any mobility equipment.  All rooms except two have either an ensuite or shared ensuite.  The two without ensuites are immediately adjacent to a toilet.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locks are installed on all toilet and shower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majority of rooms are single.  There are two double rooms (on audit one had one person in it the other was vacant).  Rooms are spacious enough to manoeuvre transferring and mobility equipment to safely deliver care.  There are 18 dedicated rest home beds and 47 hospital beds.  Ten of the hospital beds are dual-purpose which can be used to provide rest home or hospital level care.  Residents are encouraged to personalise their bedrooms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lounges in the hospital and rest home area.  Each area also has a kitchenette and open plan dining area.  All lounge/dining rooms are accessible and accommodate the equipment required for the residents.  Residents are able to move freely, and furniture is well arranged to facilitate this.  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on site.  There are designated clean and dirty areas in the laundry with separate entrance and exit doors.  Laundry and cleaning audits are completed as part of the internal audit programme.  The laundry and cleaning rooms are designated areas and clearly labelled.  Chemicals are stored in locked rooms.  All chemicals are labelled with manufacturer’s labels.  There are two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staff.  Cleaning trolleys are well equipped and stored safely when not in use.  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continuity plan, and a pandemic plan in place to guide staff in managing emergencies and disasters.  Fire safety and emergency response scenarios are included in the mandatory in-service programme.  Staff are orientated to where the shut off valves are for the gas and water.  There is a first aid trained staff member on every shift.  The facility has an approved fire evacuation plan and fire drills occur six-monthly.  The last fire drill occurred in January 2021.  Smoke alarms, sprinkler system and exit signs are in place.  Supplies of stored water and food are held on site and are adequate for three days.  The service has alternative gas facilities for cooking and in the event of a power failure, a backup system for emergency lighting and power banks are available.  There are civil defence kits in the facility.  Call bells are evident in residents’ rooms, lounge areas and toilets/bathrooms.  The facility is secured at night and security patrols are conducted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in individual resident rooms is able to be adjusted to meet resident’s preference or seasonal changes.  All communal rooms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infection prevention and control programme which is appropriate for the size and complexity of the service.  An infection control coordinator (clinical manager) is responsible for infection control across the facility.  A job description outlines the role and responsibilities.  The infection control coordinator provides monthly reports to head office, the care home manager and to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set out annually from head office and directed via the quality programme.  The programme is reviewed annually by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are required to sign in and on the day of the audit, the facility was in level 2 restrictions, therefore all visitors and contractors in the facility had to wear masks.  Residents and staff are offered the annual influenza vaccine.  There are adequate hand sanitisers and signage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online DHB and Bupa infection control education and attends the Bupa infection control meetings.  During Covid-19 there has been regular information from head office.  The facility has access to an infection control nurse specialist through the DHB, public health, GPs, local laboratory and expertise from within the Bupa company.  There is an outbreak management cupboard and ample stock of personal protective equipment that is checked and signed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 standards, legislation and good practice.  These policies are developed by head office and reviewed annually.  There is resource information and plans around Covid-19 from head office and from the facility.  The resource folders are easily accessible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is provided at orientation and as part of the annual training schedule.  All staff complete hand hygiene audits.  In-services have been provided around personal protective equipment (PPE) and outbreak management and there has been particular emphasis on this since Covid-19.  Any new communication regarding Covid-19 is relayed to staff regarding meetings, noticeboards and at handovers.  There is a kit made up where staff practice infection control/Covid-19 scenarios and discuss how to best manage these, including donning and doffing PPE.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sent to head office and discussed with the care home manager and at quality and staff meetings.  Meeting minutes are available to staff.  Trends are identified, analysed and preventative measures put in place.  Systems in place are appropriate to the size and complexity of the facility.  Benchmarking against other Bupa facilities occurs.  Bupa Te Whānau are consistently under benchmark for all infections.  There was one Norovirus and an influenza outbreak in 2019.  The outbreaks were reported to the appropriate authorities correctly.  There have been no other outbreaks since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policy in place that states the organisation’s philosophy to restraint minimisation.  There is a documented definition of restraint and enablers, which is congruent with the definition in NZS 8134.0.  The care home manager is the restraint coordinator.  The facility gained the restraint free status in April 2020.  There are no residents using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2"/>
        <w:gridCol w:w="1280"/>
        <w:gridCol w:w="1114"/>
        <w:gridCol w:w="98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achieved the restraint free status in April 2020 following a period of six months with having no residents using restraints.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achieved the restraint free status in April 2020 following a period of six months with having no residents using restraints.  The facility has been monitoring the numbers of restraints used since 2017, where they had five restraints (the highest number they have had).  During a previous audit, it was identified there were two unauthorised restraints in place.  Education was provided to staff and families around the use of restraints in particular the use of bedrails.  Any beds with bedrails fitted had the rails secured so they could not be used.  They have implemented perimeter guards for residents who are restless overnight.  Restraint competencies are completed by all staff to raise awareness.  All new residents and relatives requesting bedrails are provided with the ‘making decisions about restraint’ booklet, which provides information around making decisions around restraint, myths and evidence and restraint management.  Discussions are held with the restraint coordinator (care home manager) around using all other interventions prior to using restraints.  The registered nurses and caregivers were proud to provide information around being restraint free during interviews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Whanau Rest Home &amp; Hospital</w:t>
    </w:r>
    <w:bookmarkEnd w:id="58"/>
    <w:r>
      <w:rPr>
        <w:rFonts w:cs="Arial"/>
        <w:sz w:val="16"/>
        <w:szCs w:val="20"/>
      </w:rPr>
      <w:tab/>
      <w:t xml:space="preserve">Date of Audit: </w:t>
    </w:r>
    <w:bookmarkStart w:id="59" w:name="AuditStartDate1"/>
    <w:r>
      <w:rPr>
        <w:rFonts w:cs="Arial"/>
        <w:sz w:val="16"/>
        <w:szCs w:val="20"/>
      </w:rPr>
      <w:t>29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