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Woodfall Lodge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Woodfall Lodge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July 2021</w:t>
      </w:r>
      <w:bookmarkEnd w:id="7"/>
      <w:r w:rsidRPr="009418D4">
        <w:rPr>
          <w:rFonts w:cs="Arial"/>
        </w:rPr>
        <w:tab/>
        <w:t xml:space="preserve">End date: </w:t>
      </w:r>
      <w:bookmarkStart w:id="8" w:name="AuditEndDate"/>
      <w:r w:rsidR="00A4268A">
        <w:rPr>
          <w:rFonts w:cs="Arial"/>
        </w:rPr>
        <w:t>2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Woodfall Lodge Home and Hospital provides rest home and hospital level care for up to 38. There were 23 residents residing at the facility on audit days.</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 and staff files, and observations and interviews with residents, family members, management, staff, and a nurse practitioner.</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There were seven areas identified as requiring improvement related to: communication, ongoing staff education, service delivery, medication management, menu management, environment, and the call bell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This information is brought to the attention of residents and families on admission to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residents cultural, spiritual and individual values and beliefs are assessed on admission. Informed consent is practised, and written consent is gained when required. Services are provided that respect the independence, personal privacy, individual needs, and dignity of residents.</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are policies and procedures about the management of complaints that align with Right 10 of the Health and Disability Commissioners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Experion Care NZ Limited is the governing body and is responsible for the services provided at this facility. The mission, vision, and values of the organisation are documented and communicated to all concerned. There are systems in place for monitoring the services provided, including regular monthly reporting by the general manager to the Experion Care Services support office.</w:t>
      </w:r>
    </w:p>
    <w:p w:rsidRPr="00A4268A">
      <w:pPr>
        <w:spacing w:before="240" w:line="276" w:lineRule="auto"/>
        <w:rPr>
          <w:rFonts w:eastAsia="Calibri"/>
        </w:rPr>
      </w:pPr>
      <w:r w:rsidRPr="00A4268A">
        <w:rPr>
          <w:rFonts w:eastAsia="Calibri"/>
        </w:rPr>
        <w:t>The facility is managed by an experienced and qualified general manager who has aged care experience and they have been in this position since October 2020. The general manager is supported in the role by a clinical nurse manager, who is a registered nurse and is responsible for the oversight of the clinical services in the facility.</w:t>
      </w:r>
    </w:p>
    <w:p w:rsidRPr="00A4268A">
      <w:pPr>
        <w:spacing w:before="240" w:line="276" w:lineRule="auto"/>
        <w:rPr>
          <w:rFonts w:eastAsia="Calibri"/>
        </w:rPr>
      </w:pPr>
      <w:r w:rsidRPr="00A4268A">
        <w:rPr>
          <w:rFonts w:eastAsia="Calibri"/>
        </w:rPr>
        <w:t>There is an internal audit programme, risks are identified, and a hazard register is in place. Adverse events are documented on accident/incident forms. Facility meetings are held where there is reporting on various clinical indicators, quality and risk issues, and discussion of identified trends.</w:t>
      </w:r>
    </w:p>
    <w:p w:rsidRPr="00A4268A">
      <w:pPr>
        <w:spacing w:before="240" w:line="276" w:lineRule="auto"/>
        <w:rPr>
          <w:rFonts w:eastAsia="Calibri"/>
        </w:rPr>
      </w:pPr>
      <w:r w:rsidRPr="00A4268A">
        <w:rPr>
          <w:rFonts w:eastAsia="Calibri"/>
        </w:rPr>
        <w:t>There are policies and procedures on human resource management. A mandatory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w:t>
      </w:r>
    </w:p>
    <w:p w:rsidRPr="00A4268A">
      <w:pPr>
        <w:spacing w:before="240" w:line="276" w:lineRule="auto"/>
        <w:rPr>
          <w:rFonts w:eastAsia="Calibri"/>
        </w:rPr>
      </w:pPr>
      <w:r w:rsidRPr="00A4268A">
        <w:rPr>
          <w:rFonts w:eastAsia="Calibri"/>
        </w:rPr>
        <w:t>Resident information is entered into a register in an accurate and timely manner. The privacy of resident information is maintained. The name and designation of staff.</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 The registered nurses are responsible for the assessment, development, and evaluation of care plans with input from the residents, staff, and family member representatives. Care plans are individualised and based on the residents’ assessed needs and routines. Interventions are appropriate and evaluated as required. </w:t>
      </w:r>
    </w:p>
    <w:p w:rsidRPr="00A4268A" w:rsidP="00621629">
      <w:pPr>
        <w:spacing w:before="240" w:line="276" w:lineRule="auto"/>
        <w:rPr>
          <w:rFonts w:eastAsia="Calibri"/>
        </w:rPr>
      </w:pPr>
      <w:r w:rsidRPr="00A4268A">
        <w:rPr>
          <w:rFonts w:eastAsia="Calibri"/>
        </w:rPr>
        <w:t>Planned activities are appropriate to the residents’ assessed needs and abilities. The activities programme is developed in consultation with family/whanau and residents, focussing on activities of interest.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 xml:space="preserve">There is a medication management system in place and medicines are administered by staff with current medication competencies. All medicines are reviewed by the nurse practitioner every three months and whenever necessary.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Nutritional snacks are available for residents 24 hours a day when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displayed. There is a reactive and preventative maintenance programme, and this includes equipment and electrical checks. </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w:t>
      </w:r>
    </w:p>
    <w:p w:rsidRPr="00A4268A">
      <w:pPr>
        <w:spacing w:before="240" w:line="276" w:lineRule="auto"/>
        <w:rPr>
          <w:rFonts w:eastAsia="Calibri"/>
        </w:rPr>
      </w:pPr>
      <w:r w:rsidRPr="00A4268A">
        <w:rPr>
          <w:rFonts w:eastAsia="Calibri"/>
        </w:rPr>
        <w:t xml:space="preserve">Security systems and cameras are in place with regular fire drills completed. </w:t>
      </w:r>
    </w:p>
    <w:p w:rsidRPr="00A4268A">
      <w:pPr>
        <w:spacing w:before="240" w:line="276" w:lineRule="auto"/>
        <w:rPr>
          <w:rFonts w:eastAsia="Calibri"/>
        </w:rPr>
      </w:pPr>
      <w:r w:rsidRPr="00A4268A">
        <w:rPr>
          <w:rFonts w:eastAsia="Calibri"/>
        </w:rPr>
        <w:t>Protective equipment and clothing is provided and used by staff. Chemicals are stored. The laundry service is conducted on site. Cleaning of the facility is conducted by housekeeping staff and monitored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restraint was in use at the time of audit. A comprehensive assessment, approval, and monitoring process with regular reviews occur.  The use of enablers is voluntary for the safety of residents in response to individual requests. No enablers were in use during the audit, Staff demonstrated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residents, visitors, and other service providers. The infection control coordinator is responsible for coordinating the education and training of staff. Documentation evidenced that relevant infection control education is provided to staff. </w:t>
      </w:r>
    </w:p>
    <w:p w:rsidRPr="00A4268A">
      <w:pPr>
        <w:spacing w:before="240" w:line="276" w:lineRule="auto"/>
        <w:rPr>
          <w:rFonts w:eastAsia="Calibri"/>
        </w:rPr>
      </w:pPr>
      <w:r w:rsidRPr="00A4268A">
        <w:rPr>
          <w:rFonts w:eastAsia="Calibri"/>
        </w:rPr>
        <w:t>Infection surveillance data is collated monthly, analysed, and reported during staff meetings. The infection control surveillance and associated activities are appropriate for the size and complexity of the service. Surveillance for infections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10"/>
        <w:gridCol w:w="1280"/>
        <w:gridCol w:w="87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processes are in place to meet the obligations in relation to the Code of Health and Disability Services Consumers Rights (the Code). Staff interviewed understood the requirements of the Code. Staff were respectful of residents’ rights as observed in their communication with residents and family members; encouraging residents’ independence: and maintaining residents’ dignity and privacy. Training on the Code is included in the staff orientation process and part of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guides staff in relation to informed consent and staff interviewed understood the principles and practice of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documented consents using the organisations standard consent form that includes consent for photographs, outings, and collection and sharing of health information. Consent is also obtained on as-required basis, such as for influenza vaccinations.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advanced directives signed by the residents. Residents confirmed they were supported to make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advocacy service is included in the staff orientation programme and in the ongoing education programme for staff. Staff demonstrated understanding of the advocacy service, with contact details for the service readily available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information on the advocacy service as part of the admission process. Residents and family members confirmed their awareness of the service and how to access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community interests and networks, and to visit their families. The activities programme includes regular outings in the facility’s mobility van and participation in community events. Community groups and entertainers also visit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feel welcome when they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entry to the facility of the complaint process and the Code. The complaints forms are displayed and accessible within the facility. Staff interviewed confirmed their awareness of the complaints process.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is responsible for complaints management. The review of the 2021 register noted seven complaints. This included verbal and written complaints. The register noted each complaint was investigated and letters of acknowledgement send as per the Code timeframes. Recommendations and action plans open when required and followed up in a timely manner. All complaints are closed.</w:t>
            </w:r>
          </w:p>
          <w:p w:rsidR="00EB7645" w:rsidRPr="00BE00C7" w:rsidP="00BE00C7">
            <w:pPr>
              <w:pStyle w:val="OutcomeDescription"/>
              <w:spacing w:before="120" w:after="120"/>
              <w:rPr>
                <w:rFonts w:cs="Arial"/>
                <w:b w:val="0"/>
                <w:lang w:eastAsia="en-NZ"/>
              </w:rPr>
            </w:pPr>
            <w:r w:rsidRPr="00BE00C7">
              <w:rPr>
                <w:rFonts w:cs="Arial"/>
                <w:b w:val="0"/>
                <w:lang w:eastAsia="en-NZ"/>
              </w:rPr>
              <w:t>One reported complaint via the district health board regarding cleanliness of the facility has been followed up and actioned and is now closed.</w:t>
            </w:r>
          </w:p>
          <w:p w:rsidR="00EB7645" w:rsidRPr="00BE00C7" w:rsidP="00BE00C7">
            <w:pPr>
              <w:pStyle w:val="OutcomeDescription"/>
              <w:spacing w:before="120" w:after="120"/>
              <w:rPr>
                <w:rFonts w:cs="Arial"/>
                <w:b w:val="0"/>
                <w:lang w:eastAsia="en-NZ"/>
              </w:rPr>
            </w:pPr>
            <w:r w:rsidRPr="00BE00C7">
              <w:rPr>
                <w:rFonts w:cs="Arial"/>
                <w:b w:val="0"/>
                <w:lang w:eastAsia="en-NZ"/>
              </w:rPr>
              <w:t>There are no complaints with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family are given a copy of the Code and information on the Nationwide Health and Disability Advocacy Service. Posters on the Code are displayed in English and te reo Māori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 Residents and family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communicated their knowledge about the need to maintain residents’ privacy and were observed doing so throughout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 outings, confirmed at residents and family interviewed. Residents care plans include documentation relating to residents’ abilities and strategies to maximise independence. Residents’ records sampled confirmed that residents’ individual cultural, religious, social needs, values, and beliefs were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Education on abuse and neglect is part of the staff orientation programme and in the mandatory staff study days.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confirmed they received services in a manner that has regard for their dignity, privacy,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guides staff in meeting the needs of the residents who identify as Māori. Any additional cultural support, if required, would be accessed locally, confirmed at registered nurse interview. At the time of the audit there were three staff members and one resident who identified as Māori. The review of their clinical file and interview confirmed their individual cultural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Family/whānau are able to visit their family members at the facility and are part of the care planning and evaluation care process. Interviews with family confirmed they were informed of their family member’s changes in condition when this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documented in the care plans reviewed. Residents and family members stated they had been consulted about residents’ individual ethnic, cultural, spiritual values and beliefs, and confirmed that these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communicated understanding of what would constitute inappropriate behaviour and the processes they would follow should they suspect this was occurring. Staff orientation includes information related to all forms of discrimination and exploitation, professional boundaries and expected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Woodfall Lodge implements Experion Care policies and procedures which are based on current legislation and relevant guidelines and have been provided by an external contractor.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input from external specialists and allied health professionals for example, podiatrist, and physiotherapists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incident/accident forms showed timely communication with residents and or family members. Communication with family members is also recorded in the residents’ files. The residents and family members stated they were kept informed about any changes to their own or their relative’s status and were advised about incidents or accidents and the outcomes of medical reviews.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 and meeting minutes did not evidence relevant information is shared.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or Interpreting New Zealand when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Woodfall Lodge is part of the Experion Care New Zealand Ltd (EC). A general manager (GM) oversees the management of this facility and one other facility in the EC group. The GM provides regular emails and copies of all meeting minutes to the EC director who currently resides oversees.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mission of the organisation with values and goals, and these are communicated to residents, and family through posters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the overall management of the service and has been in this role since October 2020. The GM has experience in management of residential care facilities, however, has resigned from this current position. Has accepted a consultancy contactor position to monitor both sites one day per week.</w:t>
            </w:r>
          </w:p>
          <w:p w:rsidR="00EB7645" w:rsidRPr="00BE00C7" w:rsidP="00BE00C7">
            <w:pPr>
              <w:pStyle w:val="OutcomeDescription"/>
              <w:spacing w:before="120" w:after="120"/>
              <w:rPr>
                <w:rFonts w:cs="Arial"/>
                <w:b w:val="0"/>
                <w:lang w:eastAsia="en-NZ"/>
              </w:rPr>
            </w:pPr>
            <w:r w:rsidRPr="00BE00C7">
              <w:rPr>
                <w:rFonts w:cs="Arial"/>
                <w:b w:val="0"/>
                <w:lang w:eastAsia="en-NZ"/>
              </w:rPr>
              <w:t>The GM is supported by a clinical nurse manager (CNM) who is responsible for the oversight of clinical services. The CNM is an RN with experience in aged residential care. The CNM has been in the role since 17th May 2021. The required authorities have been informed of the appointment of the CNM.</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38 residents, with 23 beds occupied at the audit. This included 10 residents requiring rest home level care and 13 requiring hospital level care. There were no residents under the age of 65 years. 36 rooms have been approved as dual purpose and two rooms for rest home level care only.</w:t>
            </w:r>
          </w:p>
          <w:p w:rsidR="00EB7645" w:rsidRPr="00BE00C7" w:rsidP="00BE00C7">
            <w:pPr>
              <w:pStyle w:val="OutcomeDescription"/>
              <w:spacing w:before="120" w:after="120"/>
              <w:rPr>
                <w:rFonts w:cs="Arial"/>
                <w:b w:val="0"/>
                <w:lang w:eastAsia="en-NZ"/>
              </w:rPr>
            </w:pPr>
            <w:r w:rsidRPr="00BE00C7">
              <w:rPr>
                <w:rFonts w:cs="Arial"/>
                <w:b w:val="0"/>
                <w:lang w:eastAsia="en-NZ"/>
              </w:rPr>
              <w:t>The facility includes hospital and rest home level services and a complimentary specific contract with the local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CNM and administration personal will carry out required duties under delegated authority supported by a registered nurse. Other experienced managers from sister EC facilities can be called in to provide cover and oversight if required.</w:t>
            </w:r>
          </w:p>
          <w:p w:rsidR="00EB7645" w:rsidRPr="00BE00C7" w:rsidP="00BE00C7">
            <w:pPr>
              <w:pStyle w:val="OutcomeDescription"/>
              <w:spacing w:before="120" w:after="120"/>
              <w:rPr>
                <w:rFonts w:cs="Arial"/>
                <w:b w:val="0"/>
                <w:lang w:eastAsia="en-NZ"/>
              </w:rPr>
            </w:pPr>
            <w:r w:rsidRPr="00BE00C7">
              <w:rPr>
                <w:rFonts w:cs="Arial"/>
                <w:b w:val="0"/>
                <w:lang w:eastAsia="en-NZ"/>
              </w:rPr>
              <w:t>Staff and management interviewed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Woodfall Lodge uses the Experion Care NZ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including policies on InterRAI. All policies are subjected to reviews as required with all policies current. Policies are linked to the Health and Disability Sector Standards current and applicable legislation and evidenced-based practice guidelines. Policies are readily available to staff. New and revised policies are presented to staff to read and sign to evidence that they have read and understood the policy at meetings.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key performance indicators, and implementation of an internal audit programme. The GM discussed to date there is no benchmarking against other EC facilities. The review of the quality management data evidenced the 2020 patient satisfaction survey was not available and the 2021 was only completed 28th June 2021. Therefore, this was not collated and analysed to enable corrective actions to be documented or implemented. (refer to 1.1.9.1).</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are conducted, and minutes evidenced communication with staff around aspects of quality improvements and risk management. Staff reported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 GM described the process for the identification, monitoring, review and reporting of risks. There is evidence of hazard identification forms completed when a hazard is identified. Hazards are addressed, and risks are minimised or isolated.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on an accident/incident form. Accident/incident forms are completed by staff who either witness an adverse event or were the first to respond. Accident and incident forms are reviewed by management and signed off when completed. The registered nurses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for example health and safety, human resources, and infection control. The GM is aware of situations in which the service would need to report and notify statutory authorities including, police attending the facility, unexpected deaths, sentinel events, notification of a pressure injury, infectious disease outbreaks, and changes in key clinical managers. Authorities have been notified of the recent appointment of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Current copies of annual practising certificates were reviewed for all staff and contractors that require them to practice. The selection and approval of new staff is the responsibility of the GM and CNM. The GM will continue to monitor staffing selection as part of her contract staffing role. The skills and knowledge required for each position is documented in job descriptions which outline accountability, responsibilities, and authority. These were reviewed on staff files along with employment agreements, reference checks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caregivers (CG) confirmed new CG’s are paired with a senior CG for shifts or until they demonstrate competency on a number of tasks including personal cares for residents. Care givers confirmed their roles in supporting and buddying new staff. Completed orientations were sighted in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Competency assessment questionnaires for relevant competencies required for specific positions, such as handwashing, wound management, medication management, moving and handling, restraint and assisting residents to shower were sighted in staff education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of the seven RNs that were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annual training days provided, however not all staff have attended the mandatory education and training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CNM, who is a RN is available during the weekdays and on call after hours and weekends. Registered nurse cover is provided 24 hours, 7 days a week and are supported by sufficient numbers of care givers.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in order to provide safe service delivery. Rosters are completed by the CNM and overseen by the GM. Rosters sighted reflected that staffing levels meet resident acuity and bed occupancy. The roster did not evidence staff who have a current first aid certificate (refer to 1.2.7.4).</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provide them with adequate care. Care staff reported there are adequate staff available and that they are able to get through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residents’ records. Files, relevant to resident care, and support information could be accessed in a timely manner. Information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maintained securely. Electronic data is password protected and can only be accessed by designated staff. Archived material is also kept securely and easily retrievable.</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reviewed are integrated, including information such as medical notes, assessment information, and reports from other health professionals. Entries are legible, dated and signed by the care giver(CG), RN or other health professional, and include their designation. Resident progress notes are completed every shift, detailing resident response to service provision and progress towards identified goals (refer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of the management of enquiries and entry. Woodfall lodge admission pack contains all the information about entry to the service. Assessments and entry screening processes are documented and communicated to the residents, family/whānau of choice where appropriate, local communities, and referral agencies. Completed Needs Assessment and Service Coordination (NASC) authorisation forms for rest home and hospital level of care residents were sighted.</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signed on entry. The admission agreement clearly outlines services provided as part of the entry agreement. Relatives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All required documents such as resuscitation status, recent progress notes, care plan, behavioural monitoring, and medication charts are included in the discharge or transfer pack. Residents and their families are involved in all exits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 charts sampled complied with legislation, protocols, and safe practice guidelines. Medication reconciliation is conducted by the nursing team when the resident is transferred back from the hospital or any other external appointments. The organisation uses an electronic medication management system.  All medications were reviewed every three months and as required by the attending NP. Allergies were indicated, and photos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registered nurse was observed administering medication following the eight rights of medication administration. Records of fridge and room temperature monitoring were sighted. Medications were stored safely and securely in the locked cupboards.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relating to consistently completing six monthly controlled drug stock take and self-administration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which expires on 24 May 2022. Meal services are prepared on-site and served in the respective dining areas. The kitchen staff have current food handling certificates. Diets are modified as required and the cook confirmed awareness of the dietary needs of the residents. The residents have a nutritional profile developed on admission which identifies dietary requirements, likes, and dislikes. The residents’ weight was monitored regularly, and supplements were provided to residents with identified weight loss issues. Nutritional snacks are available for all residents if needed.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Regular cleaning is undertaken; however, an improvement is required to ensure all damaged surfaces meet infection prevention and control standards (Refer 1.4.2.4).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the menu is reviewed every two years in line with recognised nutritional guidelines appropriate to the consumer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reported that all people who are declined entry are recorded on the pre-inquiry form and when a person is declined relatives are informed of the reason for this and made aware of other options or alternative services available. The person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The initial assessments were completed within the required time frame on admission while care plans and interRAI were completed within three weeks according to policy. Some of the ongoing reviews completed did not meet time frames that safely met the needs of the residents or ARCC contract requirements (refer 1.3.3.3). Assessments and care plans included input from the residents, family/whānau, and other health team members as appropriate. The nursing staff utilises standardised risk assessment tools on admission.  Residents and relatives interviewed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resident focussed, integrated, and provided continuity of service delivery. The assessed information is used to generate long-term care plans and short-term care plans for acute needs. Goals were specific and measurable, and interventions were detailed to address the desired goals/outcomes identified during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relatives interviewed confirmed care delivery and support are consistent with their expectations and plan of care. Residents’ files demonstrated service integration and evidence of allied healthcare professionals involved in the care of the residents, such as district nurses, physiotherapists, NASC team, dietitians, and NP.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in the service delivery plans were relevant to address the assessed needs and desired goals/outcomes. All significant changes were reported in a timely manner. The NP reported that communication was conducted in a transparent manner, medical input was sought in a timely manner, that medical orders were followed, and care was person-centred. Care staff confirmed that care was provided as outlined in the care plan. A range of equipment and resources was available, suited to the level of care provided and following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and their needs and abilities. Activities are conducted by the activities coordinator who has been in the role for three months. The activities are based on the golden carers programme and assessments reflected the residents’ social, cultural, spiritual, physical, cognitive needs/abilities, past hobbies, interests, and enjoyments. Residents’ files sampled reflected their preferred activities and were evaluated regularly or as necessary.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develops a weekly activity planner which covers activities for the rest home, hospital and respite level of care residents. Residents’ activities information was completed in consultation with the family during the admission process. Activities are varied and included pet therapy, baking, word games, bowls, men’s shed, music, movies, one on one time, nail and hair care, calendar themed activities, arts, and craft, and van outings occur every three months. Weekends are reserved for family visits, movies, and colouring activities. Participation records are completed. Residents’ meetings were conducted monthly, and progress notes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participating in a variety of activities on the days of the audit. There are planned activities and community connections that are suitable for the residents. Regular outings were completed for all residents except under Covid-19 lockdowns. Residents and family/whānau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were evaluated and updated when there were any changes. However, some interRAI assessments were not completed in a timely manner and activity care plans were not evaluated in conjunction with interRAI assessments (refer 1.3.3.3). Relatives, residents, and staff input is sought in all aspects of care. The evaluations record how the resident is progressing towards meeting their goals and responses to interventions. Short-term care plans were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NP confirmed that processes are in place to ensure that all referrals are followed up accordingly. The resident and family were kept informed of the referrals made by the service. All referrals are facilitated by the nursing staff or NP. Referrals were made to the mental health team, dietitian, physiotherapists, district nurses, podiatry services, and palliative care team,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 supplier of chemicals has conducted staff training and education in the use of the current systems. Safety data sheets were available and accessible for staff.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maintenance programme in place to replace tired, worn and damaged surfaces. However, visual observations noted several environmental surfaces did not meet infection prevention and control standards. The maintenance staff member, who was present at audit reported the process for reactive maintenance to ensure timeliness of urgent repairs are conducted.</w:t>
            </w:r>
          </w:p>
          <w:p w:rsidR="00EB7645" w:rsidRPr="00BE00C7" w:rsidP="00BE00C7">
            <w:pPr>
              <w:pStyle w:val="OutcomeDescription"/>
              <w:spacing w:before="120" w:after="120"/>
              <w:rPr>
                <w:rFonts w:cs="Arial"/>
                <w:b w:val="0"/>
                <w:lang w:eastAsia="en-NZ"/>
              </w:rPr>
            </w:pPr>
            <w:r w:rsidRPr="00BE00C7">
              <w:rPr>
                <w:rFonts w:cs="Arial"/>
                <w:b w:val="0"/>
                <w:lang w:eastAsia="en-NZ"/>
              </w:rPr>
              <w:t>Equipment is maintained to an adequate standard, documentation reviewed, and staff interviews confirmed this.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appropriate to the resident group and setting. Residents are protected from risks associated with being outside. The gardens are maintained by a resident and the maintenance personal.</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appropriate equipment to meet residents’ needs.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that is used for residents’ outings, and this meets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throughout the facility have a handbasin.  There are adequate numbers of communal toilets and bathrooms of an appropriate design for residents (refer to 1.4.2.4). Separate toilets are available for staff and visitors. Communal toilets and showers have a system that indicates if it they are vacant or occupied. Appropriate secured and approved handrails are provided along with other equipment/accessories that are required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The bedrooms are single occupancy. 36 rooms have been approved as dual purpose and two rooms for rest home level care only.  The bedrooms identified as dual purpose are large enough to allow staff and equipment to move around safely and provide personal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access to lounges, dining areas and sitting areas/alcoves. Residents were observed moving freely within these areas. Residents confirmed there are alternative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Laundry is completed on site. Interview with the housekeeping staff member described the management of laundry including the transportation, sorting, laundering and the return of clean laundry to residents. Residents’ personal clothes, such as woollen clothes are washed separately. </w:t>
            </w:r>
          </w:p>
          <w:p w:rsidR="00EB7645" w:rsidRPr="00BE00C7" w:rsidP="00BE00C7">
            <w:pPr>
              <w:pStyle w:val="OutcomeDescription"/>
              <w:spacing w:before="120" w:after="120"/>
              <w:rPr>
                <w:rFonts w:cs="Arial"/>
                <w:b w:val="0"/>
                <w:lang w:eastAsia="en-NZ"/>
              </w:rPr>
            </w:pPr>
            <w:r w:rsidRPr="00BE00C7">
              <w:rPr>
                <w:rFonts w:cs="Arial"/>
                <w:b w:val="0"/>
                <w:lang w:eastAsia="en-NZ"/>
              </w:rPr>
              <w:t>The housekeeping staff member described the cleaning processes and the use of chemicals for cleaning purposes. There are safe and secure storage areas for cleaning equipment and chemicals and staff have access to these areas as required. A sluice room is available for the disposal of soiled water/waste. 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satisfaction surveys have not been collated for the June 2021 survey and there was no documented evidence of the 2020 survey to ascertain satisfaction with the laundry and cleaning services. (refer to 1.1.9.1 and 1.4.2.4). The effectiveness of the cleaning and laundry services is audited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has been approved by the New Zealand Fire Services. The trial fire evacuations are conducted six monthly. The last fire evacuation drill was conducted in June 2021. The staff training register evidences that not all staff have completed first aid training (refer 1.2.7.4).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lightening, gas for cooking, emergency water supply, blankets in case of emergency, in sufficient quality to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in place is used by the residents, and/or staff and family to summon assistance if required. The call bell availability to a level appropriate to the service setting requires review.</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security systems are in place and staff are aware of security processes. Staff are aware of which entrances are fire exits and those that require closing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Residents and families confirmed the facility is maintained at a safe and comfortable temperature. Audit documents reviewed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Woodfall Lodge provides an environment that minimises the risk of infection to residents, staff, and visitors by implementing an appropriate infection prevention and control programme. The clinical nurse manager is the infection control coordinator (ICC) and has access to external specialist advice from the NP and DHB infection control specialists when required. A documented role description for the ICC including roles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Staff is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There have been no outbreaks documented and infection control guidelines are adhered to. The staff interviewed demonstrated an understanding of the infection prevention and control programme and the use of personal protective equipment (PPE). There was a pandemic outbreak plan in place. The covid-19 outbreak management plan was in place and any latest information about Covid-19 is regularly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monthly staff and quality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practices. Policies and procedures are accessible and available for staff at the nurses’ station. These were last reviewed in December 2019.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ICC and other specialist consultants. The ICC has not completed an infection prevention and control training in the last year to keep their knowledge current (Refer 1.2.7.2). The training education information pack is detailed and meets best practices and guidelines. The following education sessions have been provided; hand hygiene, IPC outbreak management, use of PPE, and food handling. External contact resources include NP,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All residents’ infections are recorded in the residents’ files using the infection data collection form. Infection data is collected, monitored, and reviewed monthly. The data is collated and analysed to identify any significant trends or common possible causative factors. Results of the surveillance data are shared with staff during shift handovers, at monthly staff meetings, quality, and management meetings. Evidence of completed infection control audits and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interviewed confirmed that they are informed of infection rates as they occur. The NP is informed within the required time frames when a resident has an infection and appropriate antibiotics are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guide the safe use of both restraints and enablers. Definitions of restraint and enablers are consistent with the standard. Residents confirmed that they were being supported in maintaining and promoting independence and safety. Records sampled confirmed that staff receive ongoing education on restraint/enablers and challenging behaviour. Restraint minimisation and safe management training is conducted. One resident was using a bed rail as a restraint and none were using an enabler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reported that there is a restraint approval group, made up of the quality team members namely, NP, the clinical nurse manager, registered nurse, caregiver, and these are responsible for the approval for the use of restraints and the restraint processes. It was evident from the review of quality meeting minutes, residents’ records, and interviews with the restraint coordinator that there are clear lines of accountability and that all restraints have been approved, and the overall use of restraints is being monitored and analysed. Evidence of family/whanau/EPOA involvement in the decision-making was on record in each case reviewed. The use of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undertakes the initial assessment with input from the resident’s family/whānau/EPOA and NP. The restraint coordinator described the documented process. Families confirmed their involvement. The NP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the resident who was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and the restraint coordinator described how alternatives to restraints are discussed with staff and family members including the use of sensor mats and low beds.  When restraints are in use, frequent monitoring occurs to ensure the resident remains safe.  Records of monitoring had the necessary details. Access to advocacy is provided if requested and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was maintained, updated every month, and reviewed at each integrated staff meeting. The register was reviewed and contained the resident currently using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The staff has received training in the organisation’s policy and procedures and in related topics, such as positively supporting people with challenging behaviours. Staff spoken to understood that the use of restraint is to be minimised and how to maintain safety when in use. Staff were trained in restraint minimisation and managing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reviews are conducted on the resident with restraint, and this was evident in the records sampled. The NP confirmed involvement in the restraint review process. Reviews included discussions on alternative options, care plans, least amount of time and impact on the resident, adequate support, sufficient monitoring, and any change required. Staff and family/whanau confirmed involvement in restraint use evaluations. The evaluation forms included the effectiveness of the restraint, and the risk management plans were documentation in the long-term care plans. Evaluation time frames are determined by the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demonstrated monitoring and quality review on the use of restraint. Internal audits are conducted regarding restraint use. Policies and procedures are current. The care plan sampled identified the use of restraint and interventions in place. Three monthly restraint use reviews were conducted in a timely manner. Corrective actions regarding care plan documentation, completing of monitoring forms are conducted. The corrective actions are discussed at the quality and monthly staff meetings. Restraint updates are routinely included in the monthly staff and quality meetings. Meeting minutes confirmed discussions on restraint are being conducted and included a review of restraint use. Restraint usage is kept to an absolute minimum. Management and de-escalation technique was conducted on 19 May 2021.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5"/>
        <w:gridCol w:w="1280"/>
        <w:gridCol w:w="4421"/>
        <w:gridCol w:w="3450"/>
        <w:gridCol w:w="17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newly employed activities person. The role description includes the responsibility of the monthly resident/family meetings and the development of the facility newsletter.</w:t>
            </w:r>
          </w:p>
          <w:p w:rsidR="00EB7645" w:rsidRPr="00BE00C7" w:rsidP="00BE00C7">
            <w:pPr>
              <w:pStyle w:val="OutcomeDescription"/>
              <w:spacing w:before="120" w:after="120"/>
              <w:rPr>
                <w:rFonts w:cs="Arial"/>
                <w:b w:val="0"/>
                <w:lang w:eastAsia="en-NZ"/>
              </w:rPr>
            </w:pPr>
            <w:r w:rsidRPr="00BE00C7">
              <w:rPr>
                <w:rFonts w:cs="Arial"/>
                <w:b w:val="0"/>
                <w:lang w:eastAsia="en-NZ"/>
              </w:rPr>
              <w:t>A family member interviewed stated they no longer received the facility newsletter, which they looked forward to as it stated staff changes and happenings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stated emails had been sent from the facility regarding changes to levels around Covid-19 in line with information received from the Ministry of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reported: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resident and family members meetings are inconsistently held. Meeting minutes evidenced only one meeting dated March 2021. </w:t>
            </w:r>
          </w:p>
          <w:p w:rsidR="00EB7645" w:rsidRPr="00BE00C7" w:rsidP="00BE00C7">
            <w:pPr>
              <w:pStyle w:val="OutcomeDescription"/>
              <w:spacing w:before="120" w:after="120"/>
              <w:rPr>
                <w:rFonts w:cs="Arial"/>
                <w:b w:val="0"/>
                <w:lang w:eastAsia="en-NZ"/>
              </w:rPr>
            </w:pPr>
            <w:r w:rsidRPr="00BE00C7">
              <w:rPr>
                <w:rFonts w:cs="Arial"/>
                <w:b w:val="0"/>
                <w:lang w:eastAsia="en-NZ"/>
              </w:rPr>
              <w:t>(ii) The facility newsletter is no longer completed.</w:t>
            </w:r>
          </w:p>
          <w:p w:rsidR="00EB7645" w:rsidRPr="00BE00C7" w:rsidP="00BE00C7">
            <w:pPr>
              <w:pStyle w:val="OutcomeDescription"/>
              <w:spacing w:before="120" w:after="120"/>
              <w:rPr>
                <w:rFonts w:cs="Arial"/>
                <w:b w:val="0"/>
                <w:lang w:eastAsia="en-NZ"/>
              </w:rPr>
            </w:pPr>
            <w:r w:rsidRPr="00BE00C7">
              <w:rPr>
                <w:rFonts w:cs="Arial"/>
                <w:b w:val="0"/>
                <w:lang w:eastAsia="en-NZ"/>
              </w:rPr>
              <w:t>(ii) The resident and relatives survey was completed 28th June 2021 and still requires collation and reporting. However, there is no documented evidence a survey was completed in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that resident and family meetings are held regularly.</w:t>
            </w:r>
          </w:p>
          <w:p w:rsidR="00EB7645" w:rsidRPr="00BE00C7" w:rsidP="00BE00C7">
            <w:pPr>
              <w:pStyle w:val="OutcomeDescription"/>
              <w:spacing w:before="120" w:after="120"/>
              <w:rPr>
                <w:rFonts w:cs="Arial"/>
                <w:b w:val="0"/>
                <w:lang w:eastAsia="en-NZ"/>
              </w:rPr>
            </w:pPr>
            <w:r w:rsidRPr="00BE00C7">
              <w:rPr>
                <w:rFonts w:cs="Arial"/>
                <w:b w:val="0"/>
                <w:lang w:eastAsia="en-NZ"/>
              </w:rPr>
              <w:t>(ii) A facility newsletter is completed.</w:t>
            </w:r>
          </w:p>
          <w:p w:rsidR="00EB7645" w:rsidRPr="00BE00C7" w:rsidP="00BE00C7">
            <w:pPr>
              <w:pStyle w:val="OutcomeDescription"/>
              <w:spacing w:before="120" w:after="120"/>
              <w:rPr>
                <w:rFonts w:cs="Arial"/>
                <w:b w:val="0"/>
                <w:lang w:eastAsia="en-NZ"/>
              </w:rPr>
            </w:pPr>
            <w:r w:rsidRPr="00BE00C7">
              <w:rPr>
                <w:rFonts w:cs="Arial"/>
                <w:b w:val="0"/>
                <w:lang w:eastAsia="en-NZ"/>
              </w:rPr>
              <w:t>(iii) the resident and family survey is collated, analysed, and reported through to appropriate personal.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policy defines each registered nurse and the activities person is to have a current first aid certificate. Review of the staff files evidenced that not all registered nurses had completed the training including the CNM. </w:t>
            </w:r>
          </w:p>
          <w:p w:rsidR="00EB7645" w:rsidRPr="00BE00C7" w:rsidP="00BE00C7">
            <w:pPr>
              <w:pStyle w:val="OutcomeDescription"/>
              <w:spacing w:before="120" w:after="120"/>
              <w:rPr>
                <w:rFonts w:cs="Arial"/>
                <w:b w:val="0"/>
                <w:lang w:eastAsia="en-NZ"/>
              </w:rPr>
            </w:pPr>
            <w:r w:rsidRPr="00BE00C7">
              <w:rPr>
                <w:rFonts w:cs="Arial"/>
                <w:b w:val="0"/>
                <w:lang w:eastAsia="en-NZ"/>
              </w:rPr>
              <w:t>The staff roster did not evidence staff who have a current first aid certificate. The risk rating has been reduced to low as all RNs without a current first aid certificate have been booked for certification on the 12th July 2021, following discussion at audit.</w:t>
            </w:r>
          </w:p>
          <w:p w:rsidR="00EB7645" w:rsidRPr="00BE00C7" w:rsidP="00BE00C7">
            <w:pPr>
              <w:pStyle w:val="OutcomeDescription"/>
              <w:spacing w:before="120" w:after="120"/>
              <w:rPr>
                <w:rFonts w:cs="Arial"/>
                <w:b w:val="0"/>
                <w:lang w:eastAsia="en-NZ"/>
              </w:rPr>
            </w:pPr>
            <w:r w:rsidRPr="00BE00C7">
              <w:rPr>
                <w:rFonts w:cs="Arial"/>
                <w:b w:val="0"/>
                <w:lang w:eastAsia="en-NZ"/>
              </w:rPr>
              <w:t>The CNM is the infection prevention and control coordinator, however there is no documented evidence of education required for this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registered nurses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(ii) There is no documented evidence the CNM has received recent infection prevention and control (IPC)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that all RNs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the CNM has received recent training for the IPC coordinator’s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requires weekly and six monthly stock takes to be completed, during visual checks on the audit days, weekly controlled drugs stock takes were conducted, however six-monthly stock takes were not being consistently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Six-monthly controlled drugs stock take was not consistently completed as per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six monthly controlled drugs stock take are completed to comply with policy requirements and current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medication at the time of the audit, and one resident’s self-administering competency was not completed in a timely manner. Medication was stored securely. There is a policy and procedure for self-administration of medication to guide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Self-administration competency for one resident was not completed three monthly as per medication policy requirements, last reviewed 11 November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self-administration competencies for residents who self-administers medicines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four-weekly seasonal menu in place. The menu was reviewed by a dietitian in November 2018, and it has been overdue for seven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four weekly seasonal menu, has not been approved by a dietitian since November 2018 as per previous dietitian report.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current menu review by a registered dietitian.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interRAI assessments, and initial care plans were completed within three weeks of admission and long-term care plans were reviewed every six months or when there was any change in the condition of a resident. Nine (9) interRAI reassessments reviews were not completed within the required timeframes with an overdue interval ranging from 27 to 52 days.</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on admission was undertaken in a timely manner and reviewed as a resident`s condition changes, or monthly unless the resident`s condition is documented as stable.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were nine (9) overdue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(ii) Four (4) activity care plans sampled were not developed in conjunction with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all interRAI assessments are completed within timeframes that safely meet the needs of the residents and ARCC contract requirements.</w:t>
            </w:r>
          </w:p>
          <w:p w:rsidR="00EB7645" w:rsidRPr="00BE00C7" w:rsidP="00BE00C7">
            <w:pPr>
              <w:pStyle w:val="OutcomeDescription"/>
              <w:spacing w:before="120" w:after="120"/>
              <w:rPr>
                <w:rFonts w:cs="Arial"/>
                <w:b w:val="0"/>
                <w:lang w:eastAsia="en-NZ"/>
              </w:rPr>
            </w:pPr>
            <w:r w:rsidRPr="00BE00C7">
              <w:rPr>
                <w:rFonts w:cs="Arial"/>
                <w:b w:val="0"/>
                <w:lang w:eastAsia="en-NZ"/>
              </w:rPr>
              <w:t>(ii) Ensure activity care plans are developed following outcomes from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maintenance programme and plan to replace old, worn, and damaged surfaces, such as the carpet. However, several physical environmental surfaces do not allow ease of cleaning to meet infection prevention and control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Chipped formica on the bench between the kitchen and dining area in the Makino wing.</w:t>
            </w:r>
          </w:p>
          <w:p w:rsidR="00EB7645" w:rsidRPr="00BE00C7" w:rsidP="00BE00C7">
            <w:pPr>
              <w:pStyle w:val="OutcomeDescription"/>
              <w:spacing w:before="120" w:after="120"/>
              <w:rPr>
                <w:rFonts w:cs="Arial"/>
                <w:b w:val="0"/>
                <w:lang w:eastAsia="en-NZ"/>
              </w:rPr>
            </w:pPr>
            <w:r w:rsidRPr="00BE00C7">
              <w:rPr>
                <w:rFonts w:cs="Arial"/>
                <w:b w:val="0"/>
                <w:lang w:eastAsia="en-NZ"/>
              </w:rPr>
              <w:t>(ii) Refurbishment in the kitchen including installation of tiles in the wet areas has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(iii) Bathroom vinyl that is worn and not adhered to the floor or wall surfaces, in the Rimu wing.</w:t>
            </w:r>
          </w:p>
          <w:p w:rsidR="00EB7645" w:rsidRPr="00BE00C7" w:rsidP="00BE00C7">
            <w:pPr>
              <w:pStyle w:val="OutcomeDescription"/>
              <w:spacing w:before="120" w:after="120"/>
              <w:rPr>
                <w:rFonts w:cs="Arial"/>
                <w:b w:val="0"/>
                <w:lang w:eastAsia="en-NZ"/>
              </w:rPr>
            </w:pPr>
            <w:r w:rsidRPr="00BE00C7">
              <w:rPr>
                <w:rFonts w:cs="Arial"/>
                <w:b w:val="0"/>
                <w:lang w:eastAsia="en-NZ"/>
              </w:rPr>
              <w:t>(iiii) Worn and stained carpet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(iiii) internal doors in the Makino wing were noted to have significant damage on the outside coverings.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physical environmental surfaces are presented in a condition that meets infection prevention and control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call bell systems. One for the Makino and Bowen wing and another for the Rimu wing. Each system requires a different cord for usage. One incident reported noted when the emergency bell was rung by a staff member it was not heard across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current resident has a call bell and cord that is functional. However, there are insufficient cords to ensure each of the facility resident room, dining areas and lounges has a functional call bell.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GM in relation to the call bell system noted two older systems and the cords were not readily available, and this required juggling of residents’ rooms to enable each resident to have a call bell that is accessible and within reach and available. Handheld bells are used if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each resident area has a call bell and cord that is functional.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Woodfall Lodge Home and Hospital</w:t>
    </w:r>
    <w:bookmarkEnd w:id="58"/>
    <w:r>
      <w:rPr>
        <w:rFonts w:cs="Arial"/>
        <w:sz w:val="16"/>
        <w:szCs w:val="20"/>
      </w:rPr>
      <w:tab/>
      <w:t xml:space="preserve">Date of Audit: </w:t>
    </w:r>
    <w:bookmarkStart w:id="59" w:name="AuditStartDate1"/>
    <w:r>
      <w:rPr>
        <w:rFonts w:cs="Arial"/>
        <w:sz w:val="16"/>
        <w:szCs w:val="20"/>
      </w:rPr>
      <w:t>1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