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Whareama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Whareama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June 2021</w:t>
      </w:r>
      <w:bookmarkEnd w:id="7"/>
      <w:r w:rsidRPr="009418D4">
        <w:rPr>
          <w:rFonts w:cs="Arial"/>
        </w:rPr>
        <w:tab/>
        <w:t xml:space="preserve">End date: </w:t>
      </w:r>
      <w:bookmarkStart w:id="8" w:name="AuditEndDate"/>
      <w:r w:rsidR="00A4268A">
        <w:rPr>
          <w:rFonts w:cs="Arial"/>
        </w:rPr>
        <w:t>18 June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There are no proposed changes to current services. However, a letter of reconfiguration of services from the Ministry of Health noted the service provider was decreasing rest home bed numbers from 37 to 33, thus decreasing total bed numbers by four to 77 beds, from 81 beds. The service provider informed that although they are not physically decreasing bed numbers, a pre-audit review of numbers revealed there had been a long-standing inaccuracy in the record, which was now officially corrected with the Ministry of Health.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Whareama Rest Home provides rest home and hospital level care for up to 77 residents. The service is operated by Oceania Healthcare and managed by a business and care manager and a clinical manager, both of whom are new since the last audit. Residents and families are satisfied with the level of care provided and expressed appreciation for the devotion of the staff. </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 visiting allied health provider, a nurse practitioner and a general practitioner. </w:t>
      </w:r>
    </w:p>
    <w:p w:rsidRPr="00A4268A">
      <w:pPr>
        <w:spacing w:before="240" w:line="276" w:lineRule="auto"/>
        <w:rPr>
          <w:rFonts w:eastAsia="Calibri"/>
        </w:rPr>
      </w:pPr>
      <w:r w:rsidRPr="00A4268A">
        <w:rPr>
          <w:rFonts w:eastAsia="Calibri"/>
        </w:rPr>
        <w:t xml:space="preserve">This audit has resulted in a continuous improvement rating in relation to the monitoring and review of clinical indicators.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when they are admitted to Whareama Rest Home. At the time of admission and thereafter, opportunities are available to discuss the Code, consent, and availability of advocacy services. </w:t>
      </w:r>
    </w:p>
    <w:p w:rsidRPr="00A4268A">
      <w:pPr>
        <w:spacing w:before="240" w:line="276" w:lineRule="auto"/>
        <w:rPr>
          <w:rFonts w:eastAsia="Calibri"/>
        </w:rPr>
      </w:pPr>
      <w:r w:rsidRPr="00A4268A">
        <w:rPr>
          <w:rFonts w:eastAsia="Calibri"/>
        </w:rPr>
        <w:t xml:space="preserve">Whareama Rest Home provides services that respect the choices, personal privacy, independence, individual needs, and dignity of residents. Staff were reported and observed to interact with residents in a respectful manner. </w:t>
      </w:r>
    </w:p>
    <w:p w:rsidRPr="00A4268A">
      <w:pPr>
        <w:spacing w:before="240" w:line="276" w:lineRule="auto"/>
        <w:rPr>
          <w:rFonts w:eastAsia="Calibri"/>
        </w:rPr>
      </w:pPr>
      <w:r w:rsidRPr="00A4268A">
        <w:rPr>
          <w:rFonts w:eastAsia="Calibri"/>
        </w:rPr>
        <w:t>Care for residents who identify as Māori is guided by a comprehensive Māori health plan and related policies.</w:t>
      </w:r>
    </w:p>
    <w:p w:rsidRPr="00A4268A">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Staff, residents, and residents’ family members confirmed open communication is promoted and is effective. There is access to formal interpreting services if required.  </w:t>
      </w:r>
    </w:p>
    <w:p w:rsidRPr="00A4268A">
      <w:pPr>
        <w:spacing w:before="240" w:line="276" w:lineRule="auto"/>
        <w:rPr>
          <w:rFonts w:eastAsia="Calibri"/>
        </w:rPr>
      </w:pPr>
      <w:r w:rsidRPr="00A4268A">
        <w:rPr>
          <w:rFonts w:eastAsia="Calibri"/>
        </w:rPr>
        <w:t>Whareama Rest Home has linkages with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Prospective and new residents, and family members are informed about how to raise a concern or a complaint. A complaint register demonstrated that complaints were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 strategic plan for the organisation outlines a purpose, four drivers, four value outcomes and three key goals with measures. Other business and strategic documents are available and include a clinical excellence strategy. Monitoring of the services involves liaison between the facility and regional operations and clinical managers who link back to the support office. A business and care manager is supported by a recently employed but competent clinical manager. Both work cooperatively to manage this facility. </w:t>
      </w:r>
    </w:p>
    <w:p w:rsidRPr="00A4268A">
      <w:pPr>
        <w:spacing w:before="240" w:line="276" w:lineRule="auto"/>
        <w:rPr>
          <w:rFonts w:eastAsia="Calibri"/>
        </w:rPr>
      </w:pPr>
      <w:r w:rsidRPr="00A4268A">
        <w:rPr>
          <w:rFonts w:eastAsia="Calibri"/>
        </w:rPr>
        <w:t xml:space="preserve">Quality and risk are managed according to a documented quality management system. This includes collection and analysis of quality improvement data, identifies trends and leads to improvements. Staff are involved, feedback is sought from residents and there is ongoing communication with families. Incidents and accidents are documented with corrective actions implemented. Actual and potential risks, including those related to health and safety, are identified and mitigated. Policies and procedures that guide service delivery, are current and reviewed regularly. </w:t>
      </w:r>
    </w:p>
    <w:p w:rsidRPr="00A4268A">
      <w:pPr>
        <w:spacing w:before="240" w:line="276" w:lineRule="auto"/>
        <w:rPr>
          <w:rFonts w:eastAsia="Calibri"/>
        </w:rPr>
      </w:pPr>
      <w:r w:rsidRPr="00A4268A">
        <w:rPr>
          <w:rFonts w:eastAsia="Calibri"/>
        </w:rPr>
        <w:t xml:space="preserve">Human resources processes, including the appointment of new staff, staff orientation, and overall management of staff are based on current good practices. A training schedule has been developed and all staff are encouraged to participate in ongoing training opportunities, which support safe service delivery. </w:t>
      </w:r>
    </w:p>
    <w:p w:rsidRPr="00A4268A">
      <w:pPr>
        <w:spacing w:before="240" w:line="276" w:lineRule="auto"/>
        <w:rPr>
          <w:rFonts w:eastAsia="Calibri"/>
        </w:rPr>
      </w:pPr>
      <w:r w:rsidRPr="00A4268A">
        <w:rPr>
          <w:rFonts w:eastAsia="Calibri"/>
        </w:rPr>
        <w:t xml:space="preserve">Rosters demonstrates staffing levels and skill mix meet the rising occupancy and changing needs of residents.  </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using integrated electronic, and some hard copy files.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works closely with the local Needs Assessment and Service Co-ordination Service, to ensure access to the facility is appropriate and efficiently managed. When a vacancy occurs, relevant information is provided to the potential resident/family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communication sheets, and stable staff, who know the residents, guide continuity of care. </w:t>
      </w:r>
    </w:p>
    <w:p w:rsidRPr="00A4268A" w:rsidP="00621629">
      <w:pPr>
        <w:spacing w:before="240" w:line="276" w:lineRule="auto"/>
        <w:rPr>
          <w:rFonts w:eastAsia="Calibri"/>
        </w:rPr>
      </w:pPr>
      <w:r w:rsidRPr="00A4268A">
        <w:rPr>
          <w:rFonts w:eastAsia="Calibri"/>
        </w:rPr>
        <w:t>Care plans are person focussed, based on a comprehensive and integrated range of clinical information. Short term care plans are developed to manage any new problems that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is provided by a diversional therapist and an activities assistant. Residents are provided with a programme that offers residents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and at times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Waste and hazardous substances are managed according to accepted good practice. Protective equipment and clothing are readily available and staff are using these. Chemicals, soiled linen and equipment are safely stored. Laundry is undertaken on-site in a commercial laundry that is also managed by Oceania. The facility is clean and well maintained with kitchen and laundry processes monitored via the internal audit system. </w:t>
      </w:r>
    </w:p>
    <w:p w:rsidRPr="00A4268A">
      <w:pPr>
        <w:spacing w:before="240" w:line="276" w:lineRule="auto"/>
        <w:rPr>
          <w:rFonts w:eastAsia="Calibri"/>
        </w:rPr>
      </w:pPr>
      <w:r w:rsidRPr="00A4268A">
        <w:rPr>
          <w:rFonts w:eastAsia="Calibri"/>
        </w:rPr>
        <w:t xml:space="preserve">A current building warrant of fitness is on display. The comprehensive maintenance schedule being implemented includes the testing of electrical equipment, the calibration of biomedical equipment, sign off of repairs and hot water temperature checks, for example. Communal and individual spaces meet the needs of residents, were clean and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 xml:space="preserve">Emergency and disaster management systems are in place and staff are trained in related procedures. Emergency supplies are checked and staff attend regular fire drills. Fire evacuation procedures are practised every six months. Call bell monitoring systems are in place, as are security monitoring systems.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Organisational policies and procedures support the minimisation of restraint and describe safe use of any restraint. One enabler and three restraints were in use at the time of audit, with enabler use being of a voluntary nature. </w:t>
      </w:r>
    </w:p>
    <w:p w:rsidRPr="00A4268A">
      <w:pPr>
        <w:spacing w:before="240" w:line="276" w:lineRule="auto"/>
        <w:rPr>
          <w:rFonts w:eastAsia="Calibri"/>
        </w:rPr>
      </w:pPr>
      <w:r w:rsidRPr="00A4268A">
        <w:rPr>
          <w:rFonts w:eastAsia="Calibri"/>
        </w:rPr>
        <w:t>Comprehensive and safe assessment, approval and monitoring processes for the restraints in use are in place. Monthly reviews and evaluations of all restraint and enabler use are undertaken by the restraint approval group, which meets for the start of monthly registered nurse meetings. Restraint use is also monitored as a component of both Whareama’s quality and risk system and of Oceania’s national clinical excellence strategy.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An experienced infection control nurse leads the infection prevention and control programme. The programme aims to prevent and manage infections. Specialist infection prevention and control advice is accessed from the organisation’s expert infection control advisor and the Nelson Marlborough District Health Board. 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Practices are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data is analysed, trended, and benchmarked. Results are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65"/>
        <w:gridCol w:w="1280"/>
        <w:gridCol w:w="95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Whareama Rest Home (Whareama) has processes in place to ensure its obligations in relation to the Code of Health and Disability Services Consumers’ Rights (the Code) are met. Interviews with staff, residents and residents’ family members verified staff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principles and practice of informed consent. Informed consent policies provide relevant guidance to staff. Clinical files reviewed showed that informed consent has been gained appropriately using the organisation’s standard consent form including for photographs, outings, invasive procedures, and collection of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establishing and documenting enduring power of attorney requirements and processes for residents unable to consent is defined and documented where relevant in the resident’s file. Staff demonstrated their understanding by being able to explain situations when this may occur.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day-to-day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Brochures related to the Advocacy Service were available at reception. Family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aware of how to access the Advocacy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activities, and entertainment. The facility is located close to a local shopping area, library, cafes, and a park, enabling residents to walk if desired.</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 policy, procedures and associated forms meet the requirements of Right 10 of the Code, define the terms ‘concern’ and ‘complaint’ and note all are taken seriously. On admission, residents and family members are informed about their right to make a complaint, and how to do this, and are provided with a copy of the brochure on how to make a complaint. Those interviewed knew how to do so and who to go to.  All complaints are recorded on an electronic recording platform. A complaint reporting severity matrix is used to assess the risk level of each complaint. Complaints are reviewed both individually and collectively with monitoring occurring through the quality and risk management system and where applicable via the clinical indicators reporting and review process.</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ten complaints have been received since January 2020. These vary from an issue that required pest control, staff attitudes, missing clothing, care levels and late morning tea when staff levels were low (January 2020). Actions taken, through to an agreed resolution, are documented and completed within the expected timeframes, or updates have been provided to the complainant until final resolution was achieved. Action plans show any required follow up and improvements have been made where possible. One of these complaints has just been received and at the time of audit was still under investigation.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are managed and followed up by the business and care manager and/or the clinical manager, in cooperation with the regional operations manager. Additional Oceania management team members become involved when necessary. Staff training on complaints is scheduled to occur at least every two years and staff interviewed were aware of what to do in the event of a person expressing dissatisfaction.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Health and Disability Commissioner complaint since the previous audit. The Nursing Council of New Zealand is also involved. Documentation viewed showed the information had been compiled by the business and care manager and the regional operations manager, then forwarded to the Oceania support office. The support office staff have responded within the required timeframes, although an extension for some records was requested at one point. Responses to the Commissioner are up to 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residents’ family members when interviewed report being made aware of the Code and the Nationwide Health and Disability Advocacy Service (Advocacy Service) as part of the admission information provided and discussion with staff. The Code is displayed in common areas together around the facility,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residents’ family members confirmed that residents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were aware of the need to maintain privacy and were observed doing so throughout the audit, when attending to personal cares, ensuring resident information is held securely and privately, exchanging verbal information and during discussions with families and the General Practitioner (GP) or the Nurse Practitioner (NP).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participating in community activities, regular outings to the local shops or areas of interest and participation in clubs of their choosing. Each care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by staff and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one resident in Whareama at the time of audit who identified as Māori. Interviews verified that the staff support the resident to integrate their cultural values and beliefs. The principles of the Treaty of Waitangi are incorporated into day-to-day practice, as is the importance of whānau to Māori residents. There is a current Māori health plan, that identifies the residents’ tribal affiliations, religion, and the specific practices that staff are required to attend to, or to assist the resident with, when providing care. Interview with the resident verifies the resident’s cultural needs are attended to daily. The resident summarised the care provided at Whareama as; “they spoil me here”.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residents’ family members verified that they were consulted on their individual culture, values and beliefs and that staff respected these. Resident’s personal preferences required interventions and special needs were included in all care plans reviewed, for example, food likes and dislikes, spiritual needs, cultural needs, and attention to preferences around activities of daily living. A resident satisfaction questionnaire includes evaluation of how well residents’ cultural needs are met, and this supported those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residents were free from any type of discrimination, harassment or exploitation and felt safe. A NP also expressed satisfaction with the standard of services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All Registered Nurses (RNs) have records of completion of the required training on professional boundaries. Staff are provided with a Code of Conduct as part of their individual employment contract.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hospice/palliative care team, diabetes nurse specialist, physiotherapist, wound care specialist, district nurses, community dieticians, neurology nurse specialist and mental health services for older persons, in addition to ongoing education of staff. The NP and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happy in their work and there is low staff turnover. Several staff have worked at Whareama for more than 10 years and some more than twenty. All family members interviewed were complimentary of the staff, their friendliness, prompt response to call bells, requests for assistance and attending to little things.  Families reported that when visiting at Whareama, you were made to feel ‘a part of the family’.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education and access their own professional networks, such as on-line forums, to support contemporary good practice. ‘Toolbox’ teaching sessions are held monthly as is daily training days. Staff are encouraged to undertake the fundamentals of palliative care training.</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an ongoing analysis of clinical indicators to enable opportunities to reduce clinical events. This has resulted in a reduction in falls, infections, wounds, and the reduction in the numbers of residents requiring restraint (refer criterion 1.2.3.5).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of residents stated they were kept well informed about any changes to their own or 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the Nelson Marlborough District Health Board (NMDHB) when required. Staff reported interpreter services were rarely required due to all present residents being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motto ‘Believe in Better’ or ‘The pursuit of better’ has emerged as part of a recent rebranding of Oceania Healthcare. The overall strategic direction is described in a simplified organisational plan that covers four value outcomes, includes key strategic direction statements, a purpose, and goals and measures related to ‘People, Planet and Prosperity.’ </w:t>
            </w:r>
          </w:p>
          <w:p w:rsidR="00EB7645" w:rsidRPr="00BE00C7" w:rsidP="00BE00C7">
            <w:pPr>
              <w:pStyle w:val="OutcomeDescription"/>
              <w:spacing w:before="120" w:after="120"/>
              <w:rPr>
                <w:rFonts w:cs="Arial"/>
                <w:b w:val="0"/>
                <w:lang w:eastAsia="en-NZ"/>
              </w:rPr>
            </w:pPr>
            <w:r w:rsidRPr="00BE00C7">
              <w:rPr>
                <w:rFonts w:cs="Arial"/>
                <w:b w:val="0"/>
                <w:lang w:eastAsia="en-NZ"/>
              </w:rPr>
              <w:t>There are close links between the management of the facility and support office with the business and care manager having a one-on-one meeting with the regional operations manager at least monthly to discuss the monthly report and any emergent issues and risk. Similarly, the clinical manager meets with the regional clinical manager every four to six weeks to discuss a monthly report that has a clinical focus and includes updates on the pre-determined clinical indicators and emerging clinical risks. These meetings are supplemented by regular ‘zoom’ meetings and regular contact by telephone or additional visits as required. Meetings minutes and reports from the clinical governance committee confirmed that ongoing monitoring of clinical indicators is occurring, and relevant corrective actions and quality improvement opportunities are being identified at the organisational level and relayed to the facility. A review of clinical governance was undertaken February 2020 and a clinical excellence strategy has since been developed.</w:t>
            </w:r>
          </w:p>
          <w:p w:rsidR="00EB7645" w:rsidRPr="00BE00C7" w:rsidP="00BE00C7">
            <w:pPr>
              <w:pStyle w:val="OutcomeDescription"/>
              <w:spacing w:before="120" w:after="120"/>
              <w:rPr>
                <w:rFonts w:cs="Arial"/>
                <w:b w:val="0"/>
                <w:lang w:eastAsia="en-NZ"/>
              </w:rPr>
            </w:pPr>
            <w:r w:rsidRPr="00BE00C7">
              <w:rPr>
                <w:rFonts w:cs="Arial"/>
                <w:b w:val="0"/>
                <w:lang w:eastAsia="en-NZ"/>
              </w:rPr>
              <w:t>Oceania’s Whareama rest home is managed by a business and care manager who has been in the role for six months. This person is a registered nurse with a current practising certificate and was the clinical manager prior to taking on their current role. Management training was pursued whilst in the clinical management role and this person has since commenced business management training. The business and care manager continues to receive ongoing mentoring from the previous business and care manager at Whareama and support from other Oceania management team members as relevant. Links with the local District Health Board portfolio manager are being maintained.  Responsibilities and accountabilities are defined in a job description and there is a signed individual employment agreement. The business and care manager demonstrated knowledge of the sector and regulatory and reporting requirements.</w:t>
            </w:r>
          </w:p>
          <w:p w:rsidR="00EB7645" w:rsidRPr="00BE00C7" w:rsidP="00BE00C7">
            <w:pPr>
              <w:pStyle w:val="OutcomeDescription"/>
              <w:spacing w:before="120" w:after="120"/>
              <w:rPr>
                <w:rFonts w:cs="Arial"/>
                <w:b w:val="0"/>
                <w:lang w:eastAsia="en-NZ"/>
              </w:rPr>
            </w:pPr>
            <w:r w:rsidRPr="00BE00C7">
              <w:rPr>
                <w:rFonts w:cs="Arial"/>
                <w:b w:val="0"/>
                <w:lang w:eastAsia="en-NZ"/>
              </w:rPr>
              <w:t>There are 77 beds available in this facility, of which 44 are dual purpose and 33 are rest home only. The service holds contracts under the Age Related Residential Care Agreement (ARRC) with the Nelson Marlborough District Health Board to provide rest home and hospital level care, including for respite care. On the day of audit, 56 of the beds were occupied with 26 people receiving hospital level care and 30 rest home.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letter of reconfiguration of services from the Ministry of Health noted the service was decreasing rest home bed numbers from 37 to 33, thus decreasing total bed numbers by four to 77 beds, from 81 beds. The service provider informed that although they are not physically decreasing bed numbers, a pre-audit review of numbers revealed there had been a long-standing inaccuracy in the record, which they had officially corrected with the Ministry of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policy document on delegated authority which provide guidelines that include management of the absences of both the business and care manager and of the clinical manager. The clinical manager is second in charge to the business and care manager and relieves in the absence of the business and care manager. When the clinical manager is absent, or is relieving for the business care manager, there are other senior registered nurses, including the charge nurse, hospital services, who are able to take responsibility for any clinical issues that may arise. Staff openly reported there are always sufficient senior staff around from whom to gain further advice and support as all staff work as a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organisational quality improvement policy defines quality, quality assurance and quality improvement and is supported by a quality plan, document controlled Oceania Healthcare policies and procedures, site-specific processes and Oceania Healthcare’s model of care and a quality framework. There is a strong focus on residents’ needs in quality policy statements. The business and care manager, along with the clinical manager is accountable for the quality of care provided at each facility and implementation of the organisation’s quality and risk system. Policies reviewed cover all necessary aspects of the service and contractual requirements, including reference to the interRAI Long Term Care Facility (LTCF) assessment tool and process. Policies are based on best practice and are current. The document control system ensures a systematic and regular review process, referencing of relevant sources, approval, distribution and removal of obsolete documents.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meetings are held every month with representatives from each area including clinical, kitchen and housekeeping, for example, occurring. Four sets of quality improvement meeting minutes were reviewed, as were those for staff, registered nurses and health and safety meetings. The meeting minutes confirmed regular reviews of key quality indicators and objectives are occurring and cover accidents/incidents, complaints, corrective and preventative actions, internal quality audits, regular resident satisfaction surveys, monitoring of clinical indicators including infections and restraints, the analysis of quality related data and staff education. Corrective actions in response to identified shortfalls are identified, developed and action plans implemented as applicable. Although a formal quality improvement project in relation to falls reduction is being implemented, efforts to address a range of clinical indicators are also being made and monitoring records to date demonstrated ongoing improvements in all areas. This has been identified as an area of continuous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their involvement in quality and risk management activities through reading and following policy documents and responding to corrective actions as requested. All informed they just want the best for the people they care for. A summary of the results of an Oceania resident satisfaction survey distributed in March 2021 identified some concerns related to laundry, meals, carpets and activities. The issues raised have been acted on and the business and care manager described ongoing monitoring of the actions taken. The survey results also noted the excellence of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Outcomes of the two monthly health and safety meetings are presented at the following quality improvement meeting. Health and safety representatives who are familiar with the Health and Safety at Work Act (2015) support the team in implementing requirements. Risks are discussed at all meetings and this was evident in the meeting minutes. In addition to the hazard register, risks identified in a comprehensive risk register that has a strong health and safety focus are being reviewed at relevant meetings. The regional operations manager described the risk review system at the support office level and provided related documentation.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into the organisation’s electronic accident/incident reporting system. A sample of incidents were reviewed and records sighted showed all relevant details had been entered, incidents were all investigated, action plans developed and corrective actions followed-up in a timely manner. Adverse event data is collated, analysed and reported to the support office where further analysis occurs at regional and national levels. Examples of patterns emerging and of outcomes of investigations being used for quality improvement purposes were viewed. Subsequent follow-up was evident in both the incident register and quality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described essential notification reporting requirements, which includes reporting any such event to the regional clinical manager at the Oceania support office. Significant events that prompted Section 31 reports to the Ministry of Health since the last audit included a medicine error, call bell failure and a facility intrusion with environmental damage. Related documentation with relevant action plans and appropriate follow-up were viewed. The call bell system problem has been temporarily resolved with a return to an older system while further planned interventions are scoped and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described accepted employment practices and relevant legislation. A sample of staff records reviewed confirmed the organisation’s policies are being consistently implemented and records are maintained. Interview records were sighted in staff files, as was evidence of referee checks, police vetting and validation of qualifications, position descriptions and signed employment contracts. Copies of current practising certificates and registrations for all internal and external health practitioners who support residents in this facility are on file and were current.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reviewed its orientation processes for new staff, who now complete a workbook, rather than a signed checklist, and demonstrate specified competencies that are relevant to their role. Staff informed they are comfortable about the orientation process and expressed appreciation that they can have additional buddied shifts over and above the minimum two to three required if they need it, or if the person orientating them thinks it would be advantageous. Staff records reviewed show documentation of completed orientation.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education records were viewed and meet requirements. The business and care manager and the clinical manager explained the staff training processes. Monthly special interest training topics are provided alongside the staff meetings, and these are recorded within a staff education planner 2021. Toolbox talks are provided at handovers when issues arise or reminders are required. Examples of these were sighted and reviewed. Continuing education within Oceania facilities is comprised of a study day that all staff are required to attend at least once a year. This is known as the Grow, Educate and Motivate (GEM) study day and covers the philosophy of Oceania facilities and services as well as key mandatory training expectations as required by the service provider’s contract with the District Health Board. An Oceania registered nurse study day is planned once a year (scheduled for 10 August 2021) and registered nurses have access to on-line trainings through the District Health Board. Healthcare assistants are supported to undertake the Certificate in Health and Wellbeing, a New Zealand Qualification Authority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trained and competent registered nurses who are maintaining their annual competency requirements to undertake interRAI assessments and all registered nurses are required to have a current first aid certificate. In addition to one of the managers interviewing new staff at or near the end of their orientation, records sighted showed annual performance appraisals are mostly up to date. For the few staff members that are overdue for their annual performance appraisal, records confirmed they were issued with the form late May 2021 and dates for review have been scheduled.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described the role of an occupancy mix matrix in planning staff rosters. This sits alongside policies and procedures which described how occupancy numbers, resident dependency and resident acuity influence staffing levels 24 hours a day over seven days a week (24/7). An Oceania national roster review group is working on further developing roster guidelines for all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weeks of roster were reviewed and at least one registered nurse had been consistently rostered on duty on each shift that meets contractual requirements for hospital level care residents. Sufficient staff had been allocated to meet the needs of hospital level care residents. Registered nurses may consult with the clinical and/or business and care manager when workloads increase with the regional operations manager responsible for agreeing to the employment of additional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is on call 24/7 to respond to management issues including those related to kitchen, staff concerns and equipment. Clinical issues are taken to the clinical manager if a registered nurse needs additional support or assistance; however, an on-call roster of four registered nurses is under development. If one of these managers is unavailable, then the regional operations manager, or the regional clinical manager are accessible. Healthcare assistants informed there were generally adequate numbers of staff available to complete the work allocated to them, talked of increasing complexities of people being admitted and expressed appreciation for when a short shift has been instituted to manage heavier workloads. Any unplanned staff absence is managed by the person being replaced with another staff person, a casual or by staff extending shift timeframes. Residents and family interviewed were overall satisfied with staffing levels. </w:t>
            </w:r>
          </w:p>
          <w:p w:rsidR="00EB7645" w:rsidRPr="00BE00C7" w:rsidP="00BE00C7">
            <w:pPr>
              <w:pStyle w:val="OutcomeDescription"/>
              <w:spacing w:before="120" w:after="120"/>
              <w:rPr>
                <w:rFonts w:cs="Arial"/>
                <w:b w:val="0"/>
                <w:lang w:eastAsia="en-NZ"/>
              </w:rPr>
            </w:pPr>
            <w:r w:rsidRPr="00BE00C7">
              <w:rPr>
                <w:rFonts w:cs="Arial"/>
                <w:b w:val="0"/>
                <w:lang w:eastAsia="en-NZ"/>
              </w:rPr>
              <w:t>With all registered nurses having a current first aid certificate, there is always at least one staff member on duty who has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as the unique identifier on all residents’ information sighted. All necessary demographic, personal, clinical and health information was fully completed in the residents’ files sampled for review. Clinical notes were current and integrated with GP/NP and allied health service provider notes. Records are electronic, and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hard copy records are held securely on site or offsite in a secure document storage facility. Documents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electronic, are stored in a secure portal and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may be admitted to Whareama when they have been assessed by the local Needs Assessment and Service Coordination (NASC) Service as requiring the levels of care provided by Whareama. Prospective residents and/or their families are encouraged to visit the facility prior to admission and meet with the Clinical Manager (CM). They are offered an opportunity to tour the facility and are provided with written information about the service and the admission process. At times, the CM may visit the resident prior to admission to verify Whareama will be able to meet the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NMDHB ‘yellow envelope’ system to facilitate transfer of residents to and from acute care services. There is open communication between all services, the resident, and the family. At the time of transition between services, appropriate information, including medication records and the care plan is provided for the ongoing management of the resident. All referrals are documented in the progress notes. An example reviewed of a patient recently transferred to the local acute care facility showed transfer was managed in a planned and co-ordinated manner.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member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an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residents self-administering medications at the time of audit. Appropriate processes were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CM and BCM and recorded on an accident/incident form. The resident and/or the designated representative are advised. A medication error in April 2021 was notified to the Ministry of Health (MoH) via a Section 31 notification. There was a process of comprehensive analysis, review of practice and review of competency. This is evidenced to occur for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at Whareama.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meal service is provided on site at Whareama by a cook and is in line with recognised nutritional guidelines for older people. The menu follows summer and winter patterns and has been reviewed by a qualified dietitian in March 2021. Recommendations made at that time have been implemented.  An up-to-date food control plan is in place. The verification of the food control plan was undertaken 16 June 2020. There were no areas requiring corrective action identified and the plan was verified for 18 months and expires 16 December 2021.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high-risk items, are monitored appropriately, and recorded as part of the plan. The cook has undertaken a safe food handling qualification, with kitchen assistants completing relevant food control plan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Any areas of dissatisfaction were promptly responded to. Residents were seen to be given time to eat their meal in an unhurried fashion and those requiring assistance had this provided. There are sufficient staff on duty in the dining rooms at mealtimes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prospective resident does not meet the entry criteria or there is no vacancy, the local NASC is advised, to ensure the prospective resident and family are supported to find an appropriate care alternative. </w:t>
            </w:r>
          </w:p>
          <w:p w:rsidR="00EB7645" w:rsidRPr="00BE00C7" w:rsidP="00BE00C7">
            <w:pPr>
              <w:pStyle w:val="OutcomeDescription"/>
              <w:spacing w:before="120" w:after="120"/>
              <w:rPr>
                <w:rFonts w:cs="Arial"/>
                <w:b w:val="0"/>
                <w:lang w:eastAsia="en-NZ"/>
              </w:rPr>
            </w:pPr>
            <w:r w:rsidRPr="00BE00C7">
              <w:rPr>
                <w:rFonts w:cs="Arial"/>
                <w:b w:val="0"/>
                <w:lang w:eastAsia="en-NZ"/>
              </w:rPr>
              <w:t>If the needs of a resident changes and they are no longer suitable for the services offered, a referral for reassessment to the NASC is made and a new placement found, in consultation with the resident and whānau/family. Examples of this occurring were discussed with the CM.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residents of Whareama are assessed within twenty-four hours of admission using a range of nursing assessment tools, such as a pain scale, falls risk, skin integrity, nutritional screening, and depression scale, to identify any deficits and to inform initial care planning. Except for the respite residents (short stay), residents are assessed within three weeks of admission using the interRAI assessment tool, to inform long term care planning. Reassessment using the interRAI assessment tool, in conjunction with additional assessment data, occurs every six months or more frequently as residents changing conditions require.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files reviewed, initial assessments are completed as per the policy and within 24 hours of admission. InterRAI assessments are completed within three weeks of admission and at least six monthly unless the resident’s condition changes. Interviews, documentation, and observation verified that the RNs are familiar with requirement for reassessment of a resident using the interRAI assessment tool when a resident has increasing or changing need levels. </w:t>
              <w:br/>
              <w:br/>
              <w:t>All residents have current interRAI assessments completed by one of nine trained interRAI assessors on site. InterRAI assessments are used to inform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reflected accurately the support needs of each resident, the outcomes of the integrated assessment process and other relevant clinical information. In particular, the needs identified by the interRAI assessments are reflected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 medical and allied health professionals’ notations clearly written, informative and relevant. Any change in care required was documented and verbally passed on to relevant staff. Residents and families reported participation in the development and ongoing evaluation of care plans. Specific plans are sighted around the required management of residents’ congestive heart failure, diabetes, cultural needs, respiratory needs, wound care, and erratic sleeping patterns, within the context of Whareama’s commitment to an individualised approach.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that the care provided to residents was consistent with their needs, goals, and the plan of care. The attention to meeting a diverse range of resident’s individualised needs was evident in all areas of service provision. The NP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diversional therapist and an activities assistant. The present programme runs five days a week. Church services are held every second Sunday. Interviews identified consideration is being given to a Saturday programme on the alternative weekend to when the church service is offered. This is still under consideration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to Whareama, the diversional therapist undertakes a social and history assessment to ascertain residents’ needs, interests, abilities, and social requirements. Activities assessments are regularly reviewed to help formulate an activities programme that is meaningful to the residents. The resident’s activity needs are evaluated regularly and as part of the formal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matched the skills, likes, dislikes and interests identified in assessment data. Activities reflected residents’ goals, ordinary patterns of life and included normal community activities. Individual, group activities and regular events are offered. Examples included ‘Housie’, bowls, van drives, visiting entertainers, quiz sessions, baking sessions, exercises, walks to the shops/library, picnic in the park and daily news updates. The activities programme is discussed at the monthly residents’ meetings. Minutes of the meetings indicated residents’ input into the activities programme is sought and responded to, as evidenced by a request for a barbecue and a request for bacon and eggs. Bacon and eggs are offered once a month and barbecues occur in the summer. Resident and family satisfaction surveys demonstrated satisfaction and that information is used to improve the range of activities offered. Residents interviewed confirmed they find the activities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Short-term care plans were consistently reviewed for infections, pain, weight loss, and respiratory distress. Progress is evaluated as clinically indicated and according to the degree of risk noted during the assessment process. Wound management plans, behaviour management and acute events were evaluated in a timely manner.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main medical provider, residents may choose to use another medical practitioner. If the need for other non-urgent services is indicated or requested, the GP/NP or RN sends a referral to seek specialist input. Copies of referrals were sighted in residents’ files, including to older persons’ mental health services. Referrals are followed up on a regular basis by the RN or the GP/NP.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procedure for managing healthcare waste is in place. Staff manage waste, such as general waste, infectious waste and hazardous substances in an appropriate manner and according to requirements of the waste contractor.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external company is contracted to supply and manage all chemicals and cleaning products. The chemical supplier provides relevant training for staff. Material safety data sheets were available where chemicals are stored and staff interviewed were aware of how to manage a chemical spill. In addition to housekeeper staff, most healthcare assistants have completed chemical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supplies of personal protective clothing and equipment are readily available and observations during the audit evidenced their knowledge of its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with an expiry date of 22 December 2021 is on public display. The building is older style and there is evidence of deterioration from use over time. However, staged renovations are underway and the regional manager informed there are ongoing discussions about the best ways to ensure these are completed with the least disruption to residents.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are current as confirmed in documentation reviewed, interviews with maintenance personnel and observation of the environment. A planned maintenance schedule is kept up to date with monthly checks of mobility equipment, monthly hot water temperature checks and fire and emergency system checks for example. Efforts are made to ensure the environment is hazard free, that residents are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any maintenance requests are appropriately actioned and residents informed they are happy living in this home with one saying the environment was the reason they went to Whareama.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Three bedrooms have their own ensuite of toilet and shower, three have a toilet only ensuite and there are six shared ensuites, each between two bedrooms. In addition to visitor facilities, there are six showers, seven toilets and one washroom with a handbasin. Appropriately secured and approved handrails are provided in the toilet/shower areas, and other equipment/accessories are available to promote resident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side of the facility has rest home level care only, while the other side has dual purpose beds for rest home or hospital level care. Residents’ rooms are of varying sizes. Adequate personal space is provided to allow residents and staff to move around within their bedrooms safely. Three bedrooms are of sufficient size to take two beds; however, all bedrooms only have one person in them at present.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wheelchairs and mobility scooters in alcoves and spare rooms.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There are seven lounges/sitting areas of varying sizes, which provide residents and family members with options of private areas as they choose. Two sunrooms may also be used and three outdoor courtyards provide further options, although one is reportedly seldom used.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large, spacious main dining room, and a smaller one that is mostly used for residents requiring assistance with their meals,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Furniture in both the lounge and dining areas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in an on-site dedicated laundry, which also serves other regional Oceania care facilities. Although the laundry is operated by Oceania as a separate arm from the care services, the laundry manager was interviewed and on-site laundry processes were reviewed. Laundry staff demonstrated a sound knowledge of the laundry processes, dirty/clean flow and handling of soiled linen.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meeting minutes informed that residents had some concerns regarding items getting lost; however, follow-up of concerns and the laundry review system showed this was primarily the result of clothes not being appropriately labelled, or items being returned to the wrong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housekeeping team who have completed chemical use and safety training, as evidenced in staff training records, human resources files and in reports from staff during interview. Chemicals were stored in lockable rooms in appropriately labelled containers. Related safety data sheets were viewed in the storage areas.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 with corrective actions followed through to address identified shortfalls and complaints.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management, disaster and civil defence planning guides direct the facility in their preparation for emergencies and described the procedures to be followed in the event of a fire or other emergency. Staff confirmed during interview that they are aware of the policies, procedures and guidelines for emergency planning, preparation and response. The current fire evacuation plan was approved by the New Zealand Fire Service on 16 November 2001, which confirmed the original approval dated 30 November 1999 still met requirements. A trial evacuation takes place six-monthly with a copy of the latest emailed to the New Zealand Fire Service 28 May 2021. According to records sighted, the induction and orientation programme includes fire and emergency management training, as does the GEM study day that all staff are required to complete annually. </w:t>
            </w:r>
          </w:p>
          <w:p w:rsidR="00EB7645" w:rsidRPr="00BE00C7" w:rsidP="00BE00C7">
            <w:pPr>
              <w:pStyle w:val="OutcomeDescription"/>
              <w:spacing w:before="120" w:after="120"/>
              <w:rPr>
                <w:rFonts w:cs="Arial"/>
                <w:b w:val="0"/>
                <w:lang w:eastAsia="en-NZ"/>
              </w:rPr>
            </w:pPr>
            <w:r w:rsidRPr="00BE00C7">
              <w:rPr>
                <w:rFonts w:cs="Arial"/>
                <w:b w:val="0"/>
                <w:lang w:eastAsia="en-NZ"/>
              </w:rPr>
              <w:t>There is a separate civil defence kit in each end of the building, one of which is split into two to facilitate storage. These are checked six monthly as part of the internal audit system. Adequate emergency supplies of food, water and blankets and a gas BBQ are available and were sighted.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Internal audits of the call system are completed monthly. The service provider had identified the call system required upgrading and options are under consideration; however, meantime complaints about call bell responses have begun to emerge.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arrangements are in place and security audits are completed six monthly. Doors and windows are locked at predetermined times depending on the season. Security surveillance checks are undertaken each night by an external security company and a security checklist is ticked off at the evening/night shift changeover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and communal areas are heated and ventilated appropriately. All residents’ rooms and communal areas have natural light, opening external windows with security stays in situ and many have doors that open onto an outside garden or small patio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Heating is provided by wall mounted electric heaters throughout with water filled radiators heated by diesel fired boilers in the older wings. Areas were warm and well ventilated throughout the audit and although a relative commented it can get hot in summer, residents reported they are always warm and cosy. A free standing oil filled electric heater has been placed in a conservatory as a resident who uses this area to eat breakfast was finding it cold.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Whareama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at organisational level with input from the BCM, CM and infection control nurse (ICN). The infection control programme is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An RN at Whareama is the designated ICN whose role and responsibilities are defined in a job description. Infection control matters, including surveillance results, are reported monthly at the infection control committee (includes CM and BCM) and to the regional clinical manager (RCM). Surveillance results are tabled at the quality/risk, RN and staff meetings, Infection control statistics are entered into Oceania Healthcare’s database enabling all members of the organisation to access that data. Data is benchmarked within the organisation’s other facilities. The organisation’s regional operations manager (ROM) is informed of any IPC concern.</w:t>
            </w:r>
          </w:p>
          <w:p w:rsidR="00EB7645" w:rsidRPr="00BE00C7" w:rsidP="00BE00C7">
            <w:pPr>
              <w:pStyle w:val="OutcomeDescription"/>
              <w:spacing w:before="120" w:after="120"/>
              <w:rPr>
                <w:rFonts w:cs="Arial"/>
                <w:b w:val="0"/>
                <w:lang w:eastAsia="en-NZ"/>
              </w:rPr>
            </w:pPr>
            <w:r w:rsidRPr="00BE00C7">
              <w:rPr>
                <w:rFonts w:cs="Arial"/>
                <w:b w:val="0"/>
                <w:lang w:eastAsia="en-NZ"/>
              </w:rPr>
              <w:t>Every fortnight there are two Zoom meetings for the organisation’s BCMs, CMs, RCMs and ROMs with the general manager nursing and clinical services, to discuss the Covid-19 vaccination rollout and the Covid-19 clinical support and management plan.</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national infection control group, that includes a contracted infection control advisor. This group advise the organisation’s clinical governance group on any infection control matters.</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has appropriate skills, knowledge, and qualifications for the role. The ICN has undertaken post graduate training in infection prevention, as verified in training records sighted. Well-established local networks with the infection control team at the NMDHB are available and expert advice from the organisation’s infection control expert/national infection group is available if additional support/information is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ICN confirmed the availability of resources to support the programme and any outbreak of an infection. There are enough pandemic resources on site to manage an outbreak.</w:t>
            </w:r>
          </w:p>
          <w:p w:rsidR="00EB7645" w:rsidRPr="00BE00C7" w:rsidP="00BE00C7">
            <w:pPr>
              <w:pStyle w:val="OutcomeDescription"/>
              <w:spacing w:before="120" w:after="120"/>
              <w:rPr>
                <w:rFonts w:cs="Arial"/>
                <w:b w:val="0"/>
                <w:lang w:eastAsia="en-NZ"/>
              </w:rPr>
            </w:pPr>
            <w:r w:rsidRPr="00BE00C7">
              <w:rPr>
                <w:rFonts w:cs="Arial"/>
                <w:b w:val="0"/>
                <w:lang w:eastAsia="en-NZ"/>
              </w:rPr>
              <w:t>All staff and residents at Whareama that have consented to having the Covid-19 vaccination have been vaccinated.</w:t>
            </w:r>
          </w:p>
          <w:p w:rsidR="00EB7645" w:rsidRPr="00BE00C7" w:rsidP="00BE00C7">
            <w:pPr>
              <w:pStyle w:val="OutcomeDescription"/>
              <w:spacing w:before="120" w:after="120"/>
              <w:rPr>
                <w:rFonts w:cs="Arial"/>
                <w:b w:val="0"/>
                <w:lang w:eastAsia="en-NZ"/>
              </w:rPr>
            </w:pPr>
            <w:r w:rsidRPr="00BE00C7">
              <w:rPr>
                <w:rFonts w:cs="Arial"/>
                <w:b w:val="0"/>
                <w:lang w:eastAsia="en-NZ"/>
              </w:rPr>
              <w:t>Oceania Healthcare’s Covid-19 pandemic plan, guides staff in the required actions to be undertaken during any changes in alert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policies at Whareama reflect the requirements of the IPC standard and current accepted good practice. Policies are reviewed every two years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as was appropriate to the setting.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Priorities for staff education are outlined in the infection control programme annual plan. Interviews, observation, and documentation verified staff have received education in IPC at orientation and ongoing education sessions. Education is provided by suitably qualified RNs and the ICN. Content of the training was documented and evaluated to ensure it was relevant, current, and understood. A record of attendance was maintained. When an infection outbreak or an increase in infection incidence has occurred, there is evidence that additional staff education has been provided in response.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Additional training was provided during 2020 to address the risks imposed by Covid-19. Training covered Oceania Healthcare’s Covid-19 management strategies, for all staff to be aware of. Video trainings included the donning and doffing of personal protective equipment.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of infections at Whareama is appropriate to that recommended for long term care facilities, with infection definitions reflecting a focus on symptoms rather than laboratory results. These include urinary tract, soft tissue, fungal, eye, gastro-intestinal, the upper and lower respiratory tract and skin infections.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The ICN reviews all reported infections. Monthly surveillance data is collated and analysed to identify any trends, possible causative factors and required actions. Results of the surveillance programme are shared with staff via quality and staff meetings and at staff handovers. Surveillance data is entered in the organisation’s electronic infection database. Graphs are produced that identify trends for the current year, and comparisons against previous years. Data is benchmarked internally within the group’s other aged care providers. Evidence was sighted of a low rate of infections at Whareama.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Norovirus outbreaks at Whareama in the past three years. </w:t>
            </w:r>
          </w:p>
          <w:p w:rsidR="00EB7645" w:rsidRPr="00BE00C7" w:rsidP="00BE00C7">
            <w:pPr>
              <w:pStyle w:val="OutcomeDescription"/>
              <w:spacing w:before="120" w:after="120"/>
              <w:rPr>
                <w:rFonts w:cs="Arial"/>
                <w:b w:val="0"/>
                <w:lang w:eastAsia="en-NZ"/>
              </w:rPr>
            </w:pPr>
            <w:r w:rsidRPr="00BE00C7">
              <w:rPr>
                <w:rFonts w:cs="Arial"/>
                <w:b w:val="0"/>
                <w:lang w:eastAsia="en-NZ"/>
              </w:rPr>
              <w:t>A good supply of personal protective equipment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Oceania Healthcare policies and procedures meet the requirements of the restraint minimisation and safe practice standards and provide guidance on the safe use of both restraints and enablers. The organisation’s intention is to achieve zero restraints and managers and staff confirmed during interview that restraint is always the final strategy to be used to maintain the dignity and safety of all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documentation notes that decisions around restraint are a clinical responsibility and contain a list of responsibilities for a registered nurse with demonstrated competency in the Restraint Minimisation and Safe Practice standards, whose role is to operate as the restraint coordinator. The restraint coordinator provides support and oversight for enabler and restraint management in the facility and demonstrated a sound understanding of the organisation’s policies, procedures and practice and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three residents were using chair briefs as restraints and one resident was using bed rails as an enabler, which was the least restrictive and used voluntarily at the person’s request. A similar process is followed for the use of enablers as is used for restraints.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include a list of objectives, terms of reference and function for a national restraint group which has input and representation from individuals with the necessary expertise and experience. Personnel involved include the general manager, nursing and clinical strategy, regional clinical managers and an Oceania nurse educator.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group at Whareama is made up of the clinical manager, who is also the restraint coordinator, the charge nurse of hospital services, two registered nurses from the rest home, two healthcare assistants and a physiotherapist. They are responsible for the approval of the use of restraints and the restraint processes. It was evident from review of the monthly restraint approval group meeting minutes, residents’ files and interviews with the restraint coordinator that there are clear lines of accountability. Records confirmed that all restraints have been approved, and the overall use of restraints is being monitored and analysed. </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family/whānau/EPOA involvement in the decision making was on file for all except one person. Extenuating circumstances are currently precluding this and the GP is accepting responsibility meantime. Use of a restraint or an enabler is included within the residents’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explained how a registered nurse undertakes the initial assessment in consultation with the resident’s family/whanau. An assessment is completed prior to any use of a restraint or an enabler with the outcomes documented on an assessment form. </w:t>
            </w:r>
          </w:p>
          <w:p w:rsidR="00EB7645" w:rsidRPr="00BE00C7" w:rsidP="00BE00C7">
            <w:pPr>
              <w:pStyle w:val="OutcomeDescription"/>
              <w:spacing w:before="120" w:after="120"/>
              <w:rPr>
                <w:rFonts w:cs="Arial"/>
                <w:b w:val="0"/>
                <w:lang w:eastAsia="en-NZ"/>
              </w:rPr>
            </w:pPr>
            <w:r w:rsidRPr="00BE00C7">
              <w:rPr>
                <w:rFonts w:cs="Arial"/>
                <w:b w:val="0"/>
                <w:lang w:eastAsia="en-NZ"/>
              </w:rPr>
              <w:t>Examples of completed assessments were viewed in the records of residents using a restraint. These demonstrated reasons for use of the restraint or enabler, identification of risks, examples of alternative interventions, any cultural considerations as well as involvement from the residents’ family/whānau/EPOA. The person’s general practitioner is involved in the final decision and signs the completed assessment form. An example of a person not meeting the service provider’s assessment criteria for use of a restraint was viewed and other strategies had been developed and described in their care plan to ensure their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efforts that have been made to minimise the use of restraints, including lowering a resident’s bed, attempting to involve them in activities, positioning the person where they can be closely observed and use of behaviour management techniques.  </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maintained, updated every month and reviewed at each restraint approval group meeting. These coincide with the monthly registered nurse meeting.  The register was reviewed and contained all residents currently using a restraint and sufficient information to provide an auditable record. An enabler register sits alongside the restraint register.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frequent monitoring occurs to ensure the resident remains safe. Records of monitoring are now electronic and include details of release times, provision of food and fluids, and assistance with toileting, for example. The restraint coordinator described how advocacy services or family would be accessed if necessary.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spoken with understood that the use of restraint is to be minimised and how to maintain safety when in use. All staff interviewed informed they have completed relevant training and competencies, which was confirmed in staff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approval group meeting minutes informed the ongoing review and evaluation of restraint use. Further evidence of these processes was in the six-monthly reviews of the records of people using restraints and in interRAI reassessments.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of restraint use covers the requirements of the Standard, including future options to eliminate use, the impact and outcomes achieved, if the policy and procedure was followed and that documentation was completed as required.  One example of a restraint no longer being considered necessary because of a deterioration in the person’s condition was 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noted that the restraint approval group is continually monitoring and reviewing all facility restraint use at monthly restraint approval group meetings. The clinical manager is involved in these reviews. Individual use of restraint is reported to the monthly registered nurse, staff and 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Minutes of quality meetings reviewed confirmed analysis and evaluation of the amount and type of restraint use in the facility, whether all alternatives to restraint have been considered, the effectiveness of the restraint in use, the competency of staff, the appropriateness of restraint / enabler education and feedback from the doctor, staff and families. A six-monthly internal audit that is carried out also informs these meetings. As noted in the above standards, use of restraint may be declined, or withdrawn when reviews indicate it is not necessary or its use is no longer applicable.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use and data is monitored as a component of the clinical excellence strategy. Oceania Healthcare’s National Restraint Authority Group undertakes national reviews of restraint use each year.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03"/>
        <w:gridCol w:w="1280"/>
        <w:gridCol w:w="8109"/>
        <w:gridCol w:w="31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1.2.3.5</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shall be explicitly linked to the quality management system.</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series of key clinical indicators have been identified at the organisational level and analysis of the trends for these is ongoing. The business and care manager presented a poster at an Oceania management symposium that outlines the importance of analysing trends in clinical indicators to demonstrate levels of excellence in clinical care. Information in the poster, and as described by the business and care manager, includes corrective and remedial actions and quality improvement processes that were implemented in an effort to specifically reduce the incidence of falls, infections, wounds, use of restraint, number of sentinel events and alleged abuse. Examples of these included compulsory and additional staff education, a focus on person-centred care planning, setting of goals and evaluation of outcomes, updating of competencies, encouragement for incident reporting, ensuring staff follow company policies and procedures and collaborative working with the residents, families and other members of the health and allied teams.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Results 2019 – 2020 were portrayed as data with variances demonstrating a reduction in all areas identified. This was also portrayed in a bar graph format. A conclusion noted structure, process and outcomes as three pillars to assist in the delivery of excellent and effective care. It also noted the necessity to identify areas for improvement, develop corrective actions, address concerns and set outcomes towards excellence of care. The role of identifying trends of clinical indicators in knowing what differences occur with interventions was particularly emphasised.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Data from monitoring processes 2019 – 2020 showed variance in key clinical indicators of falls, infections, wounds, restraint, sentinel events and abuse have all reduced following corrective action processes and pro-active interventions to improve the quality of care for residents. The importance of monitoring such data was identified as key in acknowledging progress towards excellent quality of care.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Whareama Rest Home &amp; Hospital</w:t>
    </w:r>
    <w:bookmarkEnd w:id="58"/>
    <w:r>
      <w:rPr>
        <w:rFonts w:cs="Arial"/>
        <w:sz w:val="16"/>
        <w:szCs w:val="20"/>
      </w:rPr>
      <w:tab/>
      <w:t xml:space="preserve">Date of Audit: </w:t>
    </w:r>
    <w:bookmarkStart w:id="59" w:name="AuditStartDate1"/>
    <w:r>
      <w:rPr>
        <w:rFonts w:cs="Arial"/>
        <w:sz w:val="16"/>
        <w:szCs w:val="20"/>
      </w:rPr>
      <w:t>17 June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