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Broadview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Broadview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Mental health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June 2021</w:t>
      </w:r>
      <w:bookmarkEnd w:id="7"/>
      <w:r w:rsidRPr="009418D4">
        <w:rPr>
          <w:rFonts w:cs="Arial"/>
        </w:rPr>
        <w:tab/>
        <w:t xml:space="preserve">End date: </w:t>
      </w:r>
      <w:bookmarkStart w:id="8" w:name="AuditEndDate"/>
      <w:r w:rsidR="00A4268A">
        <w:rPr>
          <w:rFonts w:cs="Arial"/>
        </w:rPr>
        <w:t>25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Broadview Rest Home and Hospital provides rest home and hospital level of care for up to 85 residents. The service is operated by Heritage Lifecare Limited and is managed by a care home and village manager who is supported by a clinical services manager responsible for the clinical management of residents.</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mangers, staff and a general practitioner.</w:t>
      </w:r>
    </w:p>
    <w:p w:rsidRPr="00A4268A">
      <w:pPr>
        <w:spacing w:before="240" w:line="276" w:lineRule="auto"/>
        <w:rPr>
          <w:rFonts w:eastAsia="Calibri"/>
        </w:rPr>
      </w:pPr>
      <w:r w:rsidRPr="00A4268A">
        <w:rPr>
          <w:rFonts w:eastAsia="Calibri"/>
        </w:rPr>
        <w:t>The audit resulted in two areas identified as requiring improvement in the care plan process and the activities programme hours of implementation.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There is access to interpreting services if required and most documents are in a language that is spoken and understood by the residents and relatives. Staff provides residents and families with the information they need to make informed choices and give consent.</w:t>
      </w:r>
    </w:p>
    <w:p w:rsidRPr="00A4268A">
      <w:pPr>
        <w:spacing w:before="240" w:line="276" w:lineRule="auto"/>
        <w:rPr>
          <w:rFonts w:eastAsia="Calibri"/>
        </w:rPr>
      </w:pPr>
      <w:r w:rsidRPr="00A4268A">
        <w:rPr>
          <w:rFonts w:eastAsia="Calibri"/>
        </w:rPr>
        <w:t>The care home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plans include the scope, direction, goals, values and mission statement of the organisation. Monitoring of the services is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business plan is documented with clear objectives for the service to achieve. Quality and risk management system includes collection and analysis of quality improvement data, any trends are identified and/or any issues raised are acted upon. Quality improvement is promoted. Feedback is sought from staff, residents and families. Adverse events are documented and followed up appropriately. Actual and potential risks, including health and safety risks, are identified and mitigated. Policies and procedures support service delivery as needed.</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reviews.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Broadview Rest Home and Hospital provides services in a manner that promotes continuity in service delivery and a team approach to care delivery. All processes for assessment, planning, provision, evaluation, review, and exit are provided and completed by suitably qualified personnel. InterRAI assessments and individualised care plans are completed. When there are changes to the resident’s needs, a short-term care plan is developed and integrated into a long-term care plan, as needed. Residents in the mental health and psychogeriatric wings are assessed for risk and where required a risk management plan is developed and monitored. Early warning signs and triggers and relapse prevention strategies are included.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Activities are conducted in the mental health, psychogeriatric, dementia, hospital, and rest home wings.  Residents and family/whānau expressed satisfaction with the activities programme in place.</w:t>
      </w:r>
    </w:p>
    <w:p w:rsidRPr="00A4268A" w:rsidP="00621629">
      <w:pPr>
        <w:spacing w:before="240" w:line="276" w:lineRule="auto"/>
        <w:rPr>
          <w:rFonts w:eastAsia="Calibri"/>
        </w:rPr>
      </w:pPr>
      <w:r w:rsidRPr="00A4268A">
        <w:rPr>
          <w:rFonts w:eastAsia="Calibri"/>
        </w:rPr>
        <w:t>There was a safe electronic medicine management system. The medicine administration system was observed at the time of audit. Staff involved in medication administration are assessed as competent. The general practitioner (GP) or nurse practitioner (NP) completes three monthly reviews or more frequently as needed.</w:t>
      </w:r>
    </w:p>
    <w:p w:rsidRPr="00A4268A" w:rsidP="00621629">
      <w:pPr>
        <w:spacing w:before="240" w:line="276" w:lineRule="auto"/>
        <w:rPr>
          <w:rFonts w:eastAsia="Calibri"/>
        </w:rPr>
      </w:pPr>
      <w:r w:rsidRPr="00A4268A">
        <w:rPr>
          <w:rFonts w:eastAsia="Calibri"/>
        </w:rPr>
        <w:t>Food services meet the preferences of residents and special diets are catered for. There is a food control plan in place. Nutritional snacks are available for residents 24 hours a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and a current building warrant of fitness was publicly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minimisation of restraint. Three enablers were in use at the time of the audit and six restraints. Use of enablers is voluntary for the safety of residents in response to individual requests. The restraint team meet six monthly to review the use of both enablers and restraints. Policy identified that assessment, approval and monitoring processes meet the restraint standard requirements. Staff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documented surveillance programme with is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 forms are available on-line and at the entrance to the hospital and to the rest home. Complaints and compliments can also be placed in a locked complaints box at reception.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electronically showed that 10 complaints had been received over the past year and that actions were taken through to an agreed resolution, were documented and completed within the required timeframes. All have been closed out effectively. Any quality improvements have been made where possible. The care home and village manager and the support office head of clinical services are responsible for complaints management and follow up.  There have been two health and disability commissioner complaints and both were closed out with the last being on 26 May 2021 (closures are authorised only by support office). One coroner’s case was open at the last audit and this was closed out 29 November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normally advised in a timely manner about any incidents or accidents and outcomes of regular and any urgent medical reviews This was supported in residents’ records sampled and in interviews conducted. In interviews conducted, residents and families expressed positive feedback on staff attitude, prompt response to residents’ care needs, and staff knowledge. Staff understood the principles of open disclosure, which is supported by policies and procedures. Personal, health, and medical information is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however, the staff knew how to access interpreter services if required. Regular handovers at the beginning of each shift provide continuity of care.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quality and business plans, which are reviewed annually, outline the purpose, values, cope direction and goals of the organisation and the personalised goals for this facility are also documented for 2021 and 2022. Six goals are set and are reviewed regularly for progress and achievement. A sample of monthly and quarterly reports to governance at support office includes the monitoring performance outcomes, quality data results, staffing, complaints, quality improvements made and any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nurse who has completed comprehensive and psychopaedic training.  The care home and village manager (CH&amp;VN) was previously in the clinical services manager (CSM) role and is supported by a clinical services manager. Responsibilities and accountabilities are defined in job descriptions and individual employment agreements reviewed. All of the management team confirmed their knowledge of the aged care sector and maintain currency through regular ongoing clinical and management education related to their individual roles. This was confirmed in education documentation sighted.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hospital, respite, dementia level care, long term support chronic health conditions (LTSCHC), primary options for acute care (POAC), residents on accident compensation corporation (ACC), specialist psychogeriatric and mental health. There were 79 residents on the day of audit 14 rest home and 35 hospital level care residents including three (3) LTSCHC under 65years, nil ACC, POAC and/or respite level care, seven (7) mental health and eight (8) psychogeriatric residents receiving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accidents, complaints, audit activities, monitoring of outcomes, clinical incidents including infections, falls, skin tears, wounds, challenging behaviours and pressure injuries. A regular resident/family satisfaction survey has been completed and the results were provided 21 June 2021. A good response rate was recorded with 60% received at support office. Positive feedback was encouraging as stated by the CH&amp;VM. In addition to this annual survey being completed an external provider survey was completed by ‘Best Practice Australia’ called ‘At a Glance’ in 2019. The general manager of operations and the regional operations manager presented this back to the organisation for quality improvements across all services through the ‘Culture and Engagement Workshops’ held 1 October 2020.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positive views on the staff and services provided. The CH&amp;VM stated that any concerns raised by residents or family/whānau are followed up using the corrective action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confirmed regular review and analysis of quality indicators and that related information is reported and discussed at the monthly management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delivery and contractual requirements. The document control system to manage the policies and procedures from support office is currently being addressed as discussed with the CH&amp;VM to ensure they are reviewed in a timely manner. Obsolete documents are removed from the system when updated.</w:t>
            </w:r>
          </w:p>
          <w:p w:rsidR="00EB7645" w:rsidRPr="00BE00C7" w:rsidP="00BE00C7">
            <w:pPr>
              <w:pStyle w:val="OutcomeDescription"/>
              <w:spacing w:before="120" w:after="120"/>
              <w:rPr>
                <w:rFonts w:cs="Arial"/>
                <w:b w:val="0"/>
                <w:lang w:eastAsia="en-NZ"/>
              </w:rPr>
            </w:pPr>
            <w:r w:rsidRPr="00BE00C7">
              <w:rPr>
                <w:rFonts w:cs="Arial"/>
                <w:b w:val="0"/>
                <w:lang w:eastAsia="en-NZ"/>
              </w:rPr>
              <w:t>The CH&amp;VM described the processes for the identification, monitoring and reporting of any risks and development of mitigation strategies. The management team are fully informed and familiar with the Health and Safety at Work Act (2015) and the requirements have been implemented. The service has a health and safety team who actively maintain and review all known and newly identified hazards and risks. The maintenance co-ordinator was not available for interview. The hazard registers are maintained and are current at all times for each area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the electronic system in place and this generates an incident form. Each resident has their own incident register. The CSM is alerted if an incident occurs on any shift. Incidents sampled were investigated, action plans developed and actions followed up in a timely manner. Adverse event data is collated, analysed and reported in the monthly reports by the clinical manager and reports are sent to the CH&amp;VM and to the CSM for review. A monthly report is collated over the entire site, for example challenging behaviour episodes, medication errors, falls, fractures, restraint, skin tears and inclusive of any wounds and/or pressure injuries. Any unwitnessed falls followed up evidenced a post falls assessment being completed and neurological observations being performed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CH&amp;VM and the CSM described essential notification reporting requirements, including pressure injuries. They advised that there have been thirty seven (37) section 31 notices completed and sent to HealthCERT. The high number is reflective of the nature of providing two specialist mental health services. There have been no police investigations, coroner’s inquests, issues based audits and any other notifications such as infection outbreaks, during this time. One coroner’s case open at the previous audit was closed out 29 November 2019.</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procedures and processes are based on good employment practice and required legislation. The recruitment process includes, police vetting checks from previous employers, referee checks and validation of qualifications and annual practising certificates (APCs) for all health professionals employed and/or contracted to the service.  A sample of staff records reviewed confirmed the organisation’s policies are being consistently implemented and records are maintained. The service is actively recruiting registered nurses and this is ongoing.</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 orientation checklist applies and is signed off by the registered nurses (RNs) as achieved. Any issues are discussed at a six week review for all new staff. Staff appraisals are undertaken annually and records are maintained in the individual staff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Heritage Lifecare education plan for 2021 was available to review. Continuing education is planned on an annual basis, including all mandatory training requirements. Care staff have either completed or commenced a New Zealand Qualification Authority (NZQA) education programme to meet the requirements of the provider’s agreement with the DHB. There are 63 healthcare assistants and 10 have completed level 4, 15 level 3, 24 level 2 and 14 are either enrolled and/or have not yet enrolled into the training. Two of four activities staff have completed level 4 diversional therapy training. Five of 19 registered nurses (including two management) are interRAI competent to complete the required interRAI assessments on admission and six monthly thereafter. Two RNs are enrolled currently. Registered nurses can attend elective study days and training as well as being involved in the Heritage Lifecare training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(refer to 1.3.7.3). Observations of six weeks of staff rosters identifies that the facility adjusts staffing levels to meet the changing needs of residents. Staff are replaced in any unplanned absence. An afterhours on call roster is in place with staff interviewed reporting that good advice is available when needed. The afterhours is covered by the CH&amp;VM, CSM and a senior registered nurse. The service does not use bureau staff. The CH&amp;VM has the ability to increase staffing as needed ensuring appropriate skill mix applies. Care staff reported there were adequate staff available and team work is promoted. Family and residents interviewed supported this. All registered nurses have completed first aid training and a list of staff is maintained with these additional skills. Non-clinical staff are rostered to cover all other aspects of service delivery including kitchen staff, laundry, cleaning, maintenance and ground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escort/family member as appropriate. There is a documented process in place and open communication between all services, the resident, and the family. At the time of transition, appropriate information is provided to the person/facility responsible for the ongoing management of the resident. The service uses the DHB transfer forms to facilitate the transfer of residents to and from acute care services. All referrals are recorded in the progress notes. All required documents such as resuscitation status, recent progress notes, care plan, identified risks, early warning signs, relapse prevention plans, behavioural monitoring, and medication charts are included in the discharge or transfer pack.</w:t>
            </w:r>
          </w:p>
          <w:p w:rsidR="00EB7645" w:rsidRPr="00BE00C7" w:rsidP="00BE00C7">
            <w:pPr>
              <w:pStyle w:val="OutcomeDescription"/>
              <w:spacing w:before="120" w:after="120"/>
              <w:rPr>
                <w:rFonts w:cs="Arial"/>
                <w:b w:val="0"/>
                <w:lang w:eastAsia="en-NZ"/>
              </w:rPr>
            </w:pPr>
            <w:r w:rsidRPr="00BE00C7">
              <w:rPr>
                <w:rFonts w:cs="Arial"/>
                <w:b w:val="0"/>
                <w:lang w:eastAsia="en-NZ"/>
              </w:rPr>
              <w:t>In the mental health wing residents were assessed for risks and processes were put in place to manage all risks identified. Residents can be referred or discharged for further management to the acute mental health unit at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the management of the medication system. All medication entries sampled confirmed that they were reviewed as required. Allergies were documented, identification photos were current and three-monthly reviews were completed. The registered nurse (RN) was observed administering medication correctly. </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conducted by the RNs when a resident is transferred back to the service from the hospital, for new admission or when there are any medication changes. The service uses pharmacy pre-packed packs that are checked by the RNs on delivery and documented in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Controlled drug registers were current and correct. Weekly stock takes were completed by the RNs while the pharmacy was completing six-monthly controlled drug audits. All medications were stored appropriately and in a secure way. Medication audits were conducted, and corrective actions have been acted on. Monitoring of medication fridge and the room temperatures was maintained. Outcomes of pro re nata (PRN)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and there is a policy and procedure for self-administration of medication if required. Self- administration of medicines is encouraged for YPD residents who wish to do so if appropriate.</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run by four cooks who are assisted by kitchen assistants. The kitchen service complies with current food safety legislation and guidelines. There is an approved food control plan for the service which expires 22 July 2021. Meal services are prepared on-site and served in the respective dining areas. The menu was reviewed by the registered dietitian on 18 May 2021. The kitchen staff have current food handling certificates. Diets are modified as required and the cook confirmed awareness of the dietary needs of the residents. The residents have a nutritional profile developed on admission which identifies dietary requirements, likes, and dislikes. All alternatives are catered for. The residents’ weight was monitored regularly, and supplements were provided to residents with identified weight loss issues. Snacks and drinks are available for residents when required. Food is delivered to the respective wings in the hot scan boxes and microwaves are used to warm up food in all wings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The residents and family/whānau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outcome findings from interRAI assessments and input from residents and/or family/whānau inform care plan development and assists in identifying the required support to meet residents’ goals and desired outcomes (Refer 1.3.3.1). The care plans sampled were resident-focused and individualised. Short-term care plans sampled contained a problem list, goal, intervention, evaluation, and completion date, and were appropriate for the identified problem. Behaviour management plans were completed for psychogeriatric, mental health residents as well those assessed as requiring dementia level of care. Early warning signs and relapse prevention plans were documented. Triggers were identified with detailed interventions to manage the behaviours of concern.  Cultural needs were identified in the care plans in the care plans sampled.</w:t>
            </w:r>
          </w:p>
          <w:p w:rsidR="00EB7645" w:rsidRPr="00BE00C7" w:rsidP="00BE00C7">
            <w:pPr>
              <w:pStyle w:val="OutcomeDescription"/>
              <w:spacing w:before="120" w:after="120"/>
              <w:rPr>
                <w:rFonts w:cs="Arial"/>
                <w:b w:val="0"/>
                <w:lang w:eastAsia="en-NZ"/>
              </w:rPr>
            </w:pPr>
            <w:r w:rsidRPr="00BE00C7">
              <w:rPr>
                <w:rFonts w:cs="Arial"/>
                <w:b w:val="0"/>
                <w:lang w:eastAsia="en-NZ"/>
              </w:rPr>
              <w:t>YPD and mental health residents had person-centred care plans in place and community involvement is encouraged. Family and residents confirmed they were involved in the care planning process. Residents’ files demonstrated service integration and evidence of allied healthcare professionals involved in the care of the residents, such as the mental health services, gerontology nurses, physiotherapists, occupational therapists, district nurses, dietitians, diversional therapists (DTs), NP,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that interventions were adequate to address the identified needs of residents. Significant changes were reported in a timely manner and prescribed orders were carried out. Wound, behaviour assessments, including care plans, were being completed and evidence of this was sighted in files sampled. The clinical services manager (CSM) reported that the GP or NPs medical input was sought within an appropriate time-frame, that medical orders were followed, and care was person-centred. This was confirmed by the NP during the interview conducted. Care staff confirmed that care was provided as outlined in the care plan.  A range of equipment and resources was available, suited to the level of care provided and following the residents’ needs, including for YPD and mental health residents.</w:t>
            </w:r>
          </w:p>
          <w:p w:rsidR="00EB7645" w:rsidRPr="00BE00C7" w:rsidP="00BE00C7">
            <w:pPr>
              <w:pStyle w:val="OutcomeDescription"/>
              <w:spacing w:before="120" w:after="120"/>
              <w:rPr>
                <w:rFonts w:cs="Arial"/>
                <w:b w:val="0"/>
                <w:lang w:eastAsia="en-NZ"/>
              </w:rPr>
            </w:pPr>
            <w:r w:rsidRPr="00BE00C7">
              <w:rPr>
                <w:rFonts w:cs="Arial"/>
                <w:b w:val="0"/>
                <w:lang w:eastAsia="en-NZ"/>
              </w:rPr>
              <w:t>Care is provided in the least restrictive and intrusive way. The service operates in conjunction with the police and social service departments, mental health services, churches, and other local district health boards in promoting acceptance, inclusion, mental health awareness, reducing stigma and discrimination in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formulated by the activities staff. The activities are varied and appropriate for residents assessed as requiring a rest home, hospital, dementia, and psychogeriatric level of care. Residents who are under 65 years and those in the mental health unit attend to activities of their choice and are supported to attend to activities outside the facility as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had a documented activity care plan that reflected their preferred activities of choice; however, evaluations were not in sync with interRAI assessments (Refer 1.3.3.1). All residents in different services provided by the facility have a twenty-four-hour diversional therapy care plan in place. The files sampled in the mental health and psychogeriatric unit confirmed the use of the strength recovery model.</w:t>
            </w:r>
          </w:p>
          <w:p w:rsidR="00EB7645" w:rsidRPr="00BE00C7" w:rsidP="00BE00C7">
            <w:pPr>
              <w:pStyle w:val="OutcomeDescription"/>
              <w:spacing w:before="120" w:after="120"/>
              <w:rPr>
                <w:rFonts w:cs="Arial"/>
                <w:b w:val="0"/>
                <w:lang w:eastAsia="en-NZ"/>
              </w:rPr>
            </w:pPr>
            <w:r w:rsidRPr="00BE00C7">
              <w:rPr>
                <w:rFonts w:cs="Arial"/>
                <w:b w:val="0"/>
                <w:lang w:eastAsia="en-NZ"/>
              </w:rPr>
              <w:t>Activity progress notes and activity individual participation records are completed daily. The residents were observed participating in a variety of activities on the audit days. The planned activities and community connections are suitable for the residents. There are regular outings/drives, for all residents (as appropriate). Residents and family members reported overall satisfaction with the level and variety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were not adequate to cover all number of services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and nursing staff in the progress notes.  All noted changes by the health care assistants were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were not occurring following interRAI assessments to measure the degree of a resident’s response about desired outcomes and goals every six months (Refer 1.3.3.1). The evaluations are carried out by the RNs in conjunction with family, residents, GPs’, and specialist service providers. Where progress is different from expected, the service responded by initiating changes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reviewed regularly or as indicated by the degree of risk noted during the assessment process.  Interviews verified residents, family members, clinicians, and other stakeholders were included and informed of all changes. Outcomes are measured through, achievement of set recovery goals, sadness depression assessment chart, Montreal cognitive assessment tool, mood scale, and MDT meetings that are conducted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which expires 22 June 2022 is publicly displayed. There have been no changes to the facility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CSM reported that an infection control form is completed when a resident has an infection. The infection is recorded in the infection prevention control register, and this was verified in documents sighted. A report is presented to the management and staff monthly. Staff interviewed reported that they are informed of infection rates at monthly staff meetings, quality meetings, and through compiled reports. The GP and NP are informed within the required time frame when a resident has an infection and appropriate antibiotics are prescribed to combat the infection.</w:t>
            </w:r>
          </w:p>
          <w:p w:rsidR="00EB7645" w:rsidRPr="00BE00C7" w:rsidP="00BE00C7">
            <w:pPr>
              <w:pStyle w:val="OutcomeDescription"/>
              <w:spacing w:before="120" w:after="120"/>
              <w:rPr>
                <w:rFonts w:cs="Arial"/>
                <w:b w:val="0"/>
                <w:lang w:eastAsia="en-NZ"/>
              </w:rPr>
            </w:pPr>
            <w:r w:rsidRPr="00BE00C7">
              <w:rPr>
                <w:rFonts w:cs="Arial"/>
                <w:b w:val="0"/>
                <w:lang w:eastAsia="en-NZ"/>
              </w:rPr>
              <w:t>There was a norovirus infection outbreak on 30 June 2020 which was managed according to policy. The facility was closed to the public coincidentally it was during the Covid-19 alert level 4 lockdown. The NP, GP, family/whānau, residents, and relevant authorities notified in a timely manner. Documented statistics of staff and residents affected were sighted. The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was a pandemic outbreak plan in place. Information and resources to support staff in managing Covid-19 were regularly updated. Visitor screening and residents’ temperature monitoring records depending on alert levels by the MOH were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in place governing the safe use of restraint and enablers which meet the requirement of restraint minimisation and safe practice standards. The restraint coordinator has designated responsibility for restraint and demonstrated a sound understanding of the organisation’s policy and practices. A job description was available for this role and training is provided. The restraint register is maintained and evidenced that three enablers are currently in use and six restraints are in use. The organisation (HLL) has a national restraint approval group (RAG) which meets six monthly to review all restraint and enabler use and also considers how to minimise use. Restraint is not used as a preferred option but as a last resort to maintain safety of residents. Enablers are used in a voluntary capacity only for residents to promote safety at the request of the individual resident.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8"/>
        <w:gridCol w:w="1280"/>
        <w:gridCol w:w="6892"/>
        <w:gridCol w:w="1308"/>
        <w:gridCol w:w="1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were completed on admission in a timely manner using information from the discharge summary, initial and NASC assessments. Residents’ care plans were completed within three weeks of admission along with interRAI assessments. Evaluation of long-term care plans and activities care plans were not occurring at the same time with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out of eight long-term care plans and activity plans were evaluated without interRAI assessment outcome input.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long-term and activity plans are evaluated/reviewed following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conducted by a registered diversional therapist (DT) another DT and an activities assistant; however, the staffing was not adequate to cover all services at the facility. There are currently three activities staff responsible for providing and implementing the activities programme but due to the number of services provided the activities hours do not cover adequately this component of service delivery. The activities assistant was conducting combined daily activities for the rest home and dementia unit, the other DT was covering the mental health and psychogeriatric unit, while the other DT was responsible for the hospital wing and sometimes helping out in the secure units.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not enough hours provided to cover the activities programme in all areas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adequate hours provided to cover the activities programme in all areas of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Broadview Rest Home &amp; Hospital</w:t>
    </w:r>
    <w:bookmarkEnd w:id="58"/>
    <w:r>
      <w:rPr>
        <w:rFonts w:cs="Arial"/>
        <w:sz w:val="16"/>
        <w:szCs w:val="20"/>
      </w:rPr>
      <w:tab/>
      <w:t xml:space="preserve">Date of Audit: </w:t>
    </w:r>
    <w:bookmarkStart w:id="59" w:name="AuditStartDate1"/>
    <w:r>
      <w:rPr>
        <w:rFonts w:cs="Arial"/>
        <w:sz w:val="16"/>
        <w:szCs w:val="20"/>
      </w:rPr>
      <w:t>24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