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St Helena's Care Centre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St Helena's Care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20 May 2021</w:t>
      </w:r>
      <w:bookmarkEnd w:id="7"/>
      <w:r w:rsidRPr="009418D4">
        <w:rPr>
          <w:rFonts w:cs="Arial"/>
        </w:rPr>
        <w:tab/>
        <w:t xml:space="preserve">End date: </w:t>
      </w:r>
      <w:bookmarkStart w:id="8" w:name="AuditEndDate"/>
      <w:r w:rsidR="00A4268A">
        <w:rPr>
          <w:rFonts w:cs="Arial"/>
        </w:rPr>
        <w:t>21 May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Radius St Helena’s is owned and operated by Radius Residential Care Limited.  The service provides cares for up to 53 residents requiring rest home and hospital (medical and geriatric) level care.  On the day of the audit, there were 47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Services standards and the contract with the district health board.  The audit process included a review of policies and procedures, the review of residents’ and staff files, observations and interviews with residents, relatives, staff, management, and general practitioner.  </w:t>
      </w:r>
    </w:p>
    <w:p w:rsidRPr="00A4268A">
      <w:pPr>
        <w:spacing w:before="240" w:line="276" w:lineRule="auto"/>
        <w:rPr>
          <w:rFonts w:eastAsia="Calibri"/>
        </w:rPr>
      </w:pPr>
      <w:r w:rsidRPr="00A4268A">
        <w:rPr>
          <w:rFonts w:eastAsia="Calibri"/>
        </w:rPr>
        <w:t xml:space="preserve">The service is managed by the facility manager who has been in her role for three years.  The clinical nurse manager has also been in her role for three years.  Both have previous experience in aged care management and are registered nurses.  They are supported by the Radius regional manager, a team of registered nurses and healthcare assistants.  Residents, relatives, and the GP interviewed spoke positively about the service provided.  </w:t>
      </w:r>
    </w:p>
    <w:p w:rsidRPr="00A4268A">
      <w:pPr>
        <w:spacing w:before="240" w:line="276" w:lineRule="auto"/>
        <w:rPr>
          <w:rFonts w:eastAsia="Calibri"/>
        </w:rPr>
      </w:pPr>
      <w:r w:rsidRPr="00A4268A">
        <w:rPr>
          <w:rFonts w:eastAsia="Calibri"/>
        </w:rPr>
        <w:t xml:space="preserve">Since the previous audit, the service continues to build good relationships with the wider allied health team including the hospice service.  St Helena’s staff continue to provide a resident centred approach, and care plan goals and interventions reflect this.  The service are implementing electronic systems to improve quality data collation.  Residents and relatives commented positively on the homely environment of the facility.  </w:t>
      </w:r>
    </w:p>
    <w:p w:rsidRPr="00A4268A">
      <w:pPr>
        <w:spacing w:before="240" w:line="276" w:lineRule="auto"/>
        <w:rPr>
          <w:rFonts w:eastAsia="Calibri"/>
        </w:rPr>
      </w:pPr>
      <w:r w:rsidRPr="00A4268A">
        <w:rPr>
          <w:rFonts w:eastAsia="Calibri"/>
        </w:rPr>
        <w:t xml:space="preserve">This audit has identified shortfalls around contractor inductions and restraint documentation.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and procedures adhere with the requirements of the Health and Disability Commissioner’s Code of Health and Disability Services Consumers’ Rights (the Code).  Residents and families are informed regarding the Code and staff receive ongoing training about the Code.  Personal privacy and values of residents are respected.  There is an established Māori health plan in place.  Individual care plans reference the cultural needs of residents.  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can visit residents at times that meet their needs.  Examples of good practice were provided.  There is an established system for the management of complaints, which meets guidelines established by the Health and Disability Commissioner.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facility manager and clinical nurse manager are responsible for the day-to-day operations.  Goals are documented for the service with evidence of regular reviews.  A quality and risk management programme is embedded.  Corrective actions are implemented and evaluated where opportunities for improvements are identified.  Residents receive appropriate services from suitably qualified staff.  Human resources are managed in accordance with good employment practice.  An orientation programme is in place for new staff.  Ongoing education and training are embedded, which includes in-service education and competency assessments.  Registered nursing cover is provided 24 hours a day, 7 days a week.  Residents and families reported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Registered nurses are responsible for each stage of service provision.  A registered nurse assesses and reviews residents' needs, outcomes, and goals with the resident and/or relatives’ input.  Care plans viewed demonstrated service integration and are reviewed at least six-monthly.  Resident files included medical notes by the contracted general practitioners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medication competent healthcare assistants are responsible for the administration of medicines.  Medication charts are reviewed three-monthly by the GP. </w:t>
      </w:r>
    </w:p>
    <w:p w:rsidRPr="00A4268A" w:rsidP="00621629">
      <w:pPr>
        <w:spacing w:before="240" w:line="276" w:lineRule="auto"/>
        <w:rPr>
          <w:rFonts w:eastAsia="Calibri"/>
        </w:rPr>
      </w:pPr>
      <w:r w:rsidRPr="00A4268A">
        <w:rPr>
          <w:rFonts w:eastAsia="Calibri"/>
        </w:rPr>
        <w:t xml:space="preserve">The activities coordinator implements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 xml:space="preserve">All meals are provided by an external contractor.  A current food control plan is in place.  The menu has been approved by a dietitian.  Individual and special dietary needs are catered for.  Alternative options are able to be provided.  Residents and relatives interviewed were satisfied with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Preventative and reactive maintenance schedules are maintained.  Chemicals are stored safely throughout the facility.  Cleaning and laundry staff are providing appropriate services.  All bedrooms are single occupancy.  There is sufficient space to allow the movement of residents around the facility using mobility aids.  There is one large main open plan lounge and dining area, and one TV lounge.  There are small seating areas around the facility for residents and relatives to enjoy.  The outdoor areas are safe, well maintained, easily accessible and provide seating and shade.  The internal areas are ventilated and heated appropriately.  There is an approved evacuation scheme and emergency supplies are available.  There is a minimum of one first aid trained staff member on every shift.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appropriate procedures and documents for the safe assessment, planning, monitoring and review of restraint and enabler.  During the audit, there was one resident using restraints and no residents were using an enabler.  Staff regularly receive education and training in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evidenced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There has been one outbreak since the previous audit which was well managed, logs were maintained, and appropriate notifications were made.  </w:t>
      </w:r>
    </w:p>
    <w:p w:rsidRPr="00A4268A">
      <w:pPr>
        <w:spacing w:before="240" w:line="276" w:lineRule="auto"/>
        <w:rPr>
          <w:rFonts w:eastAsia="Calibri"/>
        </w:rPr>
      </w:pPr>
      <w:r w:rsidRPr="00A4268A">
        <w:rPr>
          <w:rFonts w:eastAsia="Calibri"/>
        </w:rPr>
        <w:t xml:space="preserve">The facility has responded promptly and appropriately to the Covid-19 pandemic, policies, procedures and the pandemic plan have been updated to include Covid-19.  Resource information is easily accessible for registered nurses if lockdown levels change after hours.  Adequate supplies of personal protective equipment were sighted during the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07"/>
        <w:gridCol w:w="1280"/>
        <w:gridCol w:w="975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St Helena’s policies and procedures are being implemented that align with the requirements of the Code of Health and Disability Services Consumers’ Rights (the Code).  Families and residents are provided with information on admission, which includes information about the Code.  Staff receive training about resident rights at orientation and as part of the annual in-service programme.  Interviews with managers (facility manager, clinical nurse manager) and eleven staff (three healthcare assistants (HCAs), two registered nurses, two housekeeping, two kitchen assistants, one maintenance, one activities coordinator) confirmed their understanding of the Code and its application to their job role and responsibilities.  Five residents (two rest home including one resident who identifies as Māori, and three hospital), and four relatives (one rest home, three hospital) interviewed, confirmed that staff respect the need for resident privacy and support residents in making choices.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documented around informed consent and resuscitation.  Informed consent processes are discussed with residents and relatives on admission.  Written consents are signed by the resident or their enduring power of attorney (EPOA).  Consents sighted included (but are not limited to), general consents, transfer of medical records, consent for treatment and consent for the influenza vaccine.  Consents were scanned onto the system with the admission risk assessments.  Advanced directives are signed for separately.  There was evidence of discussion with relatives when the general practitioner completed a clinically indicated not for resuscitation order.  The electronic resident files reviewed had informed consent and admission agreements signed and scanned into the electronic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and registered nurses interviewed confirmed that verbal consent is obtained when delivering care.  Discussion with relatives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they are aware of their right to access independent advocacy services.  Discussions with relatives confirmed the service provided opportunities for the family/EPOA to be involved in decisions.  The resident files include information on residents’ family/whānau and chosen social networks.  The HCAs and activities staff interviewed all commented that they advocate on behalf of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Visitors were observed coming and going during the audit.  The activities programme includes opportunities to attend events outside of the facility.  Residents are supported and encouraged to remain as involved in the community as they are willing and able to do.  Examples provided included attending the RSA and church services.  Relatives and friends are encouraged to be involved with the service and care.  Key people involved in the resident's life are documented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are available.  Information about complaints is provided on admission.  Interviews with residents and relatives confirmed their understanding of the complaints process.  Staff interviewed described the process around reporting complaints.  </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includes written and verbal complaints, dates and actions taken.  Complaints are being managed in a timely manner; meeting requirements determined by the HDC.  Only one complaint, lodged by the DHB, was received in 2020 with a significant number of corrective actions implemented around documentation and education and training for end-of-life care.  These corrective actions have been signed off as implemented.  In 2021, one complaint lodged with the provider in March included acknowledgement, an investigation and a meeting with the complainant to discuss the outcome of the complaint.  This complaint was not resolved and has been escalated by the family to HDC (received 5 May 2021).  At the time of the audit, the facility manager was gathering the required information to submit to HDC by 27 May 2021.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lodged complaints being discussed in the quality, RN and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information pack given to prospective residents and families that includes information about the Code and the Nationwide Advocacy Service.  There is the opportunity to discuss aspects of the Code during the admission process.  Residents and relatives interviewed confirmed that information had been provided to them around the Code.  Large print posters of the Code (in English and te reo Māori) are displayed.  The facility manager or clinical nurse manager discusses information in the pack with residents/relatives on admission.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tour of the premises confirmed there are areas that support personal privacy for residents.  During the audit, staff were observed to be respectful of residents’ privacy by knocking on doors prior to entering resident rooms.  Staff interviewed could describe definitions around abuse and neglect.  An annual resident satisfaction survey was last completed in October 2020 and the results indicated that most respondents reported the overall resident experience as being good or very good.  Residents and relatives interviewed confirmed that staff treat residents with respect.  The service has a philosophy that promotes quality of life and involves residents in decisions about their care.  Residents interviewed confirmed their values and beliefs are considered.  Interviews with HCAs described how choice is incorporated into resident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Māori health plan for the organisation references local Māori health care providers regionally within New Zealand and provides recognition of Māori values and beliefs.  Family/whānau involvement is encouraged in assessment and care planning and visiting is encouraged.  Māori consultation is available through the documented iwi links and Māori staff.  During the audit, there were two residents that identified as Māori.  One Māori resident file reviewed confirmed that Māori cultural values and beliefs are addressed in the Māori health care plan.  This includes their tribal affiliations, and care plan strategies that link to spiritual wellbeing (te taha wairua), mental wellbeing (te taha hinengaro) and physical wellbeing (te taha tinana) where identified.  Residents are also assessed regarding tikanga for body parts, suggestions for de-escalation if required, restraint procedures and any special instructions regarding taonga.  One resident who identified as Māori was interviewed and confirmed that their values and beliefs are being met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 are invited to be involved.  Individual beliefs and/or values are discussed and incorporated into the care plan.  Six-monthly multidisciplinary team meetings occur to assess if needs are being met.  Family are invited to attend.  Discussions with relatives confirmed that residents’ values and beliefs are considered.  Residents interviewed confirmed that staff consider their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The monthly staff meetings include discussions around professional boundaries and concerns as they arise.  The facility manager provided guidelines and examples of performance management for specific situations.  Interviews with the managers and care staff confirmed their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align with current accepted best practice.  The content of policy and procedures are sufficiently detailed to allow effective implementation by staff.  An annual in-service training programme is implemented as per the training plan.  Three-hour blocks of time are allocated a minimum of twice per year for education and training.  Additional toolbox talks and annual staff competencies (e.g., manual handling, medication, syringe driver, first aid) complement the education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improvement initiative plan has been implemented addressing end of life care.  A range of educational topics addressing this topic have been presented to staff including (but not limited to) palliative care for older people with dementia, caring for ourselves, spiritual care, and the physiology of dying.  Three staff completed an educational programme delivered by hospice (10 modules) in 2020 with another group of staff are scheduled to begin their end-of-life training through hospice in 2021.  An interview with an external palliative care specialist confirmed that the staff are doing a very good job caring for palliative residents.  </w:t>
            </w:r>
          </w:p>
          <w:p w:rsidR="00EB7645" w:rsidRPr="00BE00C7" w:rsidP="00BE00C7">
            <w:pPr>
              <w:pStyle w:val="OutcomeDescription"/>
              <w:spacing w:before="120" w:after="120"/>
              <w:rPr>
                <w:rFonts w:cs="Arial"/>
                <w:b w:val="0"/>
                <w:lang w:eastAsia="en-NZ"/>
              </w:rPr>
            </w:pPr>
            <w:r w:rsidRPr="00BE00C7">
              <w:rPr>
                <w:rFonts w:cs="Arial"/>
                <w:b w:val="0"/>
                <w:lang w:eastAsia="en-NZ"/>
              </w:rPr>
              <w:t>Outcomes for the service are monitored with benchmarking across all Radius facilities.  Feedback is provided to staff via the various meetings and through graphs and notices on the noticeboard in the staffroom.  There is a minimum of one RN on site 24 hours a day, seven days a week.  A physiotherapist is available two hours a week.  Registered nurses and HCAs were described by residents and family as being caring.  A GP visits the facility two days a week.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accident/incident reporting policy to guide staff in their responsibility around open disclosure.  Staff are required to record family notification when entering an incident into the system.  All incident reports reviewed met this requirement.  Family members interviewed confirmed they are notified following a change of health status of their family member.  There is an interpreter policy in place and contact details of interpreters were available.  One Russian speaking resident has translation cards in her room to assist staff.  In addition, family members assist with translation.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St Helena’s is part of the Radius Residential Care group.  The service provides rest home, and hospital (geriatric and medical) levels of care for up to 53 residents.  There were 47 residents (27 rest home and 20 hospital level) at the facility during this full certification audit.  All beds are certified as dual purpose.  One resident (hospital level) was on an end-of-life contract, and three residents (one hospital and two rest home) were on a long-term service – chronic health conditions contract (LTS-CHC).  The remaining residents were on the age-related residential care contract (ARRC).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site-specific business plan 1 April 2020 to 31 March 2021 that has been reviewed and links to the Radius Residential Care group strategies and business plan targets.  An organisational chart is in place.  Monthly reviews are undertaken to report on achievements towards meeting business goals including meeting defined quality targets.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(registered nurse) has been in the role since July 2018 and previously was the clinical nurse manager.  She has worked for Radius for eight years.  She is supported by a clinical nurse manager who has been in the role for three years.  The regional manager (also a registered nurse) was present during the days of the audit and oversees the operations of five Radius South Island locations including St Helena’s.  She has been in her role since November 2020.</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clinical nurse manager have maintained at least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covers during the temporary absence of the facility manager.  The regional manager is also available for support.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established quality and risk management system is embedded into practice.  Quality and risk performance is reported across facility meetings and to the regional manager.  Discussions with the facility manager, clinical nurse manager and staff reflected staff involvement in quality and risk management processes.  Resident meetings are scheduled monthly, led by the facility manager.  Minutes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The 2020 annual resident surveys (45% return rate with 23 of 52 surveys returned) reflect satisfied residents, in particular around the care provided, feeling welcome, and laundry services; 94% would recommend the facility to others.  A food satisfaction survey was completed in April 2021.  Results were discussed with residents in the resident meeting.  Corrective actions being implemented include ordering a hot box so that food stays warm and offering residents two meal choices at tea time.  Interviews with residents confirmed that they are very pleased with the actions taken.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an appropriate level of assurance that it is meeting accepted good practice and adhering to relevant standards, including those standards relating to the Health and Disability Services (Safety) Act 2001.  The quality monitoring programme is designed to monitor contractual, standards compliance and service delivery.  There are clear guidelines and templates for reporting.  The facility has implemented established processes to collect, analyse and evaluate data (e.g., falls, infections, restraint use, physical aggression, medication errors, unintentional weight loss) which are utilised for service improvements.  </w:t>
            </w:r>
          </w:p>
          <w:p w:rsidR="00EB7645" w:rsidRPr="00BE00C7" w:rsidP="00BE00C7">
            <w:pPr>
              <w:pStyle w:val="OutcomeDescription"/>
              <w:spacing w:before="120" w:after="120"/>
              <w:rPr>
                <w:rFonts w:cs="Arial"/>
                <w:b w:val="0"/>
                <w:lang w:eastAsia="en-NZ"/>
              </w:rPr>
            </w:pPr>
            <w:r w:rsidRPr="00BE00C7">
              <w:rPr>
                <w:rFonts w:cs="Arial"/>
                <w:b w:val="0"/>
                <w:lang w:eastAsia="en-NZ"/>
              </w:rPr>
              <w:t>An internal audit programme is implemented.  Internal audits are completed as per the schedule.  Corrective actions are required for results that reflect less than 95% compliance.  The audit is then repeated after eight weeks.  A corrective action plan register is being implemented.  Four corrective actions documented in 2020 (norovirus outbreak, medication incidents, reduce infections, gap in care plan/interRAI reviews) reflected evidence of interventions, discussions, target date for completion, evidence to support progress is achieved and sustained, and evidence of sign off.  Quality results are communicated to staff across a range of meetings (monthly staff meetings, monthly quality/health and safety meetings, monthly RN meetings) and reflect actions being implemented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are established by head office.  The health and safety officer (maintenance officer) interviewed confirmed his understanding of health and safety processes.  The officer and health and safety representatives have completed external health and safety training.  Risk management, hazard control and emergency policies and procedures are in place.  Missing was evidence that external contractors are orientated to health and safety processes.</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including: intentional rounding; sensor mats; post falls reviews; and individual interventions.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including immediate action, reporting, monitoring, corrective action to minimise and debriefing.  Individual incident/accident reports are completed for each incident/accident with immediate action noted and any follow-up action required.  A review of 10 incident/accident forms (unwitnessed falls, pressure injury, skin tear, bruising, medication errors) identified that forms are fully completed and include follow-up by a RN.  Neurological observations are carried out for any suspected injury to the head, including unwitnessed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can identify situations that would be reported to statutory authorities including (but not limited to) pressure injuries (grade three or higher), one missing resident and one outbreak (January 2020).  The outbreak was also communicated to public health authorities.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cover recruitment, selection, orientation, and staff training and development.  Seven staff files reviewed (two RNs, four HCAs, one cleaner) provided evidence of reference checking, signed employment contracts and job descriptions, police checks, completed orientation programmes and annual performance appraisals for staff employed for over one year.  A register of RN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The orientation programme has recently been enhanced.  Interviews with staff confirmed that they were given adequate time to orientate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annual education and training plan that exceeds eight hours annually.  In-service training is broken down into three-hour blocks of time.  Staff commented that this has been positively received.</w:t>
            </w:r>
          </w:p>
          <w:p w:rsidR="00EB7645" w:rsidRPr="00BE00C7" w:rsidP="00BE00C7">
            <w:pPr>
              <w:pStyle w:val="OutcomeDescription"/>
              <w:spacing w:before="120" w:after="120"/>
              <w:rPr>
                <w:rFonts w:cs="Arial"/>
                <w:b w:val="0"/>
                <w:lang w:eastAsia="en-NZ"/>
              </w:rPr>
            </w:pPr>
            <w:r w:rsidRPr="00BE00C7">
              <w:rPr>
                <w:rFonts w:cs="Arial"/>
                <w:b w:val="0"/>
                <w:lang w:eastAsia="en-NZ"/>
              </w:rPr>
              <w:t>There is an attendance register for each training session and an individual staff member record of training.  Registered nurses are supported to maintain their professional competency.  Seven of nine RNs (including the facility manager and clinical nurse manager) have completed their interRAI training.  Twenty-five HCAs are employed.  Seven HCAs have completed a level four Careerforce qualification (or its equivalent), five have completed a level three certificate and two have completed a level two certificate.  Staff are required to competed written core competencies that are applicable to their job role and responsibilities.  Completion of competencies begins during the new staff’s orientation and continues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Residents and family members interviewed reported there are sufficient staff on duty. There is a full-time facility manager/RN and clinical nurse manager/RN who work from Monday to Friday and provide on-call cover.  </w:t>
            </w:r>
          </w:p>
          <w:p w:rsidR="00EB7645" w:rsidRPr="00BE00C7" w:rsidP="00BE00C7">
            <w:pPr>
              <w:pStyle w:val="OutcomeDescription"/>
              <w:spacing w:before="120" w:after="120"/>
              <w:rPr>
                <w:rFonts w:cs="Arial"/>
                <w:b w:val="0"/>
                <w:lang w:eastAsia="en-NZ"/>
              </w:rPr>
            </w:pPr>
            <w:r w:rsidRPr="00BE00C7">
              <w:rPr>
                <w:rFonts w:cs="Arial"/>
                <w:b w:val="0"/>
                <w:lang w:eastAsia="en-NZ"/>
              </w:rPr>
              <w:t>There were 27 rest home and 20 hospital level residents at the time of the audit.  One staff RN is rostered on the AM, PM and night shifts.  RNs are supported by six HCAs on the AM shift (four eight hour (long) shifts and two short shifts (0700 – 1330).  The PM shift is staffed with five HCAs (two long and three short (1500 – 2200, 1500 – 2130, and 1600 – 2200).  The night shift is staffed with two HCAs.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staff cover five days a week.  They provide HCAs with ideas for activities over the weekends.  There are designated cleaning staff seven days a week.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 files are held in an electronic format and are protected from unauthorised access.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safely guide service provision and entry to services including an admission policy.  The resident files reviewed evidenced assessment prior to entry by the needs assessment service coordination team (NASC).  The admission agreements reviewed met the requirements of the ARRC contract.  Exclusions from the service are included in the admission agreement.  All admission agreements sighted were signed and dated either by the resident or the EPOA on admission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they received information prior to admission and had the opportunity to discuss the admission agreement with the facility manager or the clinical nurse manager.  The service has an information pack available for residents/families at entry which includes information about services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to guide staff around guidelines for death, discharge, transfer, documentation, and follow-up.  A record of transfer documentation is kept on the resident’s file.  All relevant information is documented and communicated to the receiving health provider or service using the electronic transfer form.  The facility uses the yellow envelope transfer system.  One resident file reviewed evidenced a transfer to hospital.  Progress notes evidenced the process, including discussion with the afterhours service, arranging the ambulance, notifying the residents family, and preparing the appropriate documentation.  A verbal handover was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policies and procedures comply with medication legislation and guidelines.  Registered nurses are responsible for the administration of medications and they complete an annual medication competency and attend medication education annually.  Registered nurses have completed syringe driver competencies.  Medicines are appropriately stored in accordance with relevant guidelines and legislation.  Medication fridge temperatures and medication room temperatures are recorded and within expected ranges.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night registered nurse reconciles medications delivered from the pharmacy.  The service uses four weekly blister packs for regular and ‘as required’ medications.  Radius St Helena’s utilise paper-based medication charts.  All 14 paper-based medication charts reviewed had photo identification, allergy status identified.  The medication charts reviewed were legible, medications were prescribed appropriately, and evidenced at least three-monthly reviews signed by the GP.  Medication prescribed is signed as administered on the signing chart.  There were one rest home and two hospital residents self-medicating inhalers on the day of audit.  Competencies were in place and reviewed by the GP three monthly.  Standing orders are not used.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fully functional kitchen. The food service is contracted, and all meals are prepared and cooked at another Radius facility located nearby.  The kitchen assistant is responsible for the daily meal service.  Food services staff have completed food safety training and chemical safety training.  The summer and winter menus have been reviewed by a dietitian, and a current food control plan is in place.  The food is transported in hot boxes to the facility kitchen, where food is served from a bain marie to the residents in the dining room adjacent to the kitchen.  A resident nutritional profile is developed for each resident on admission and provided to the kitchen staff who record appropriate information and forward the form to the contracted service.  Resident dislikes are known and accommodated, there are two options for lunch and tea meals, the kitchen assistants collect residents ‘orders’ and send to the contracted service.  Special diets accommodated include gluten free, diary free, diabetic desserts and modified/pureed diets.  Meals observed on the day of audit were well presented including pureed meals.  Both kitchen assistants interviewed were knowledgeable around residents’ preferences and dietary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temperatures of refrigerators, freezers, end-cooked foods and serving temperatures are monitored and recorded daily.  All food is stored appropriately and dated.  Chemicals are stored in a locked cupboard.  A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 relatives interviewed were satisfied with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prospective residents should this occur and communicates this to prospective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suite of assessments available on the resident’s electronic system.  The resident files reviewed indicated that all appropriate personal needs information is gathered during admission in consultation with the resident and their relative where appropriate.  Risk assessments on admission included (but not limited to); pain, activities of daily living (ADL) falls, and pressure.  Other risk assessments were completed as appropriate.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assessments had been completed for long-term residents and informed the long-term care plans.  Goals were identified through the assessment process and linked to care plan interventions.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plans reviewed were resident centred.  Interventions documented support needs and provided detail to guide care (link 2.2.2.1).  There was evidence of service integration with documented input from a range of specialist care professionals including the wound care specialist, dietitian, physiotherapist, occupational therapist and mental health team including the psychogeriatrician.  Care plan interventions included strategies and interventions as advised by the specialists.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in use for acute changes in health status, these are reviewed and updated or included in long term interventions as appropriate.  Residents and relatives interviewed stated that they were involved in the care planning process.  The healthcare assistants interviewed advised that the care plans were easy to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GP consultation.  The registered nurses interviewed stated that they notify relatives about any changes in their relative’s health status.  The care plans sampled had interventions documented to meet the needs of the resident and there is documented evidence of care plans being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interviewed stated there are adequate clinical supplies and equipment provided including continence and wound care supplies.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plans and wound evaluation electronic forms are in place for all wounds.  Wound monitoring occurs as planned.  There are currently 22 wounds (including four residents with more than one wound) wounds include skin tears, abrasions, incontinence dermatitis, surgical wounds, and chronic ulcers.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stage 1 pressure injuries, one stage 2 and one stage 4 pressure injuries on the day of the audit.  Incident reports were completed for the pressure injuries and a section 31 notification had been completed for the stage 4 pressure injury.  There has been GP and wound care nurse specialist input for the chronic wounds.  Photos have been taken at regular intervals to evidence progression or deterioration towards healing.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suite of electronic monitoring forms is available for registered nurses to utilise.  Monitoring forms sighted included (but not limited to); weight, vital signs, position changes, neurological observations, intentional rounding (safety checks), and wounds.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activities coordinator coordinates the activities programme for all residents.  Activities run from 9 am to 4 pm Monday to Friday.  The activity planner for the following month is discussed at the residents’ meetings and ideas and suggestions for residents are included in the next planner.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an individual activities assessment (about me) on admission.  Based on this information, an individual activities (leisure) plan is developed as part of the care plan by the registered nurses with input from the activities staff.  The activities coordinator is responsible for the pastoral care plan and interventions.  Resident participation in activities is documented on the attendance register, then transferred to the resident’s individual daily log in the electronic resident file.  The residents’ files sampled included activities plans within the care plans that are evaluated at least six-monthly when the care plans are evaluated.  The activities coordinator documents a progress note of attendance.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free to choose whether they wish to participate in the group activities programme or their individual plan.  Significant time is dedicated to one-on-one activities including (but not limited to): reminiscence, chats, hand massages, and nail care.  Group activities include quizzes and delivery of meals on wheels for the red cross, balloon games, baking, crafts, board games, and housie.  There are regular shopping trips and outings to places of interest.  Celebrations such as resident birthdays, Mother’s Day, Father’s Day, Melbourne cup and St Patricks day are celebrated.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monthly, meeting minutes evidenced the residents having the opportunity to provide input into the activities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be independent, accessing community groups, and shopping trips as they choose.  Church services are included in the activity planner.  Residents and relatives interviewed commented positively on the activity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the long-term care-plans reviewed had been evaluated by the registered nurse six-monthly or when changes to care occurred (three residents had not been admitted within the last six months).  Any updates required to care plan interventions following the care plan evaluation in case conference is updated in the care plan four weeks post admission and then six-monthly.  The case conference documented relatives’ involvement in care plan reviews.  Care plans were signed electronically either by the resident or enduring power of attorney.  Leisure (activity) plans are in place for each of the residents and these are also evaluated six-monthly.  There is at least a three-monthly review by the GP.  The relatives interviewed confirmed that they are informed of any changes to the care plan.  The resident on the EOL contract care plan has been reviewed to reflect their current level of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St Helena’s facilitates access to other medical and non-medical services.  Referral documentation is maintained on resident files.  The nurses initiate referrals via the clinical manager to nurse specialists and allied health services.  Referrals to medical specialists are made by the GPs.  Referrals and options for care were discussed with the relatives/NOK as evidenced in interviews, progress notes and medical notes.  The staff provided examples of where a resident’s condition had changed, the resident level of care was reassessed.  Examples of close liaison with dietitians, physiotherapist, mental health services, hospice and wound care specialists were sighted in resident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Healthcare assistants, kitchen staff and housekeeping staff interviewed were aware of practices outlined in relevant policy.  Gloves, aprons, and goggles are available, and staff were observed wearing personal protective clothing while carrying out their duties.  Chemicals sighted were labelled correctly and were stored safely throughout the facility, housekeeping trolleys are lockable.  Safety datasheets are available.  The one sluice room have personal protective clothing readily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There is a main open plan dining and lounge area, and a second TV lounge.  There are small seating areas for residents to enjoy.  The building is all on one level and all areas are easily accessible to residents using mobility aids.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fulltime maintenance person employed to address the reactive and planned maintenance programme, who could easily describe the maintenance programme and regular checks performed.  All medical and electrical equipment was recently serviced and/or calibrated.  Staff stated they had sufficient equipment to safely deliver the cares as outlined in the resident care plans.  Hot water temperatures are monitored and managed within 43-45 degrees Celsius.  External contractors are available across seven days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sufficient space for residents to mobilise using mobility equipment.  Residents interviewed enjoyed the environment, relatives commented on the homeliness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There is a gazebo in the central courtyard off of the lounge/ dining area which provides seating and shade, all areas are easily accessible for residents using mobility aids.  The gardens are well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at St Helena’s have ensuite facilities large enough to cater for resident’s needs and equipment.  Toilets and showers have privacy systems in place identified by red/green identifiers.  Communal resident and visitor toilet facilities are available close to communal areas.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double room, which is only used for married couples or single occupancy.  This room was vacant on the day of the audit.  All other resident rooms are single.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space for the safe use and manoeuvring of mobility aids, including those required by hospital level care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 lounge/dining space is centrally located next to the kitchen.  The area is spacious and light and has access to two internal courtyards with seating and shade provided.  There is a second TV lounge which is also light and sunny.  Both areas were well utilised by residents.  There were other small seating areas around the facility for residents to enjoy.  The flower gardens and grounds around the facility are well maintained.  All indoor and outdoor communal areas are easily accessible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cleaned by dedicated housekeeping staff.  They have access to a range of chemicals, cleaning equipment and protective clothing.  The standard of cleanliness is monitored through the internal audit programme and through the chemical provider who visits monthly.  Cleaning trolleys are lockable and are stored in locked areas when not in use.  The housekeepers interviewed were knowledgeable around infection control practices and have maintained cleaning of high touch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laundered off site at a commercial laundry.  There is laundry pick-up and delivery five days per week (Monday to Friday) and more often if required.  There was an adequate supply of linen sited in storage areas on the day of audit.  There is a laundry with defined clean and dirty areas of the laundry.  Residents and relatives interviewed were satisfied with the standard of cleanliness in the facility and the laundry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comprehensive emergency management plan to guide staff in managing emergencies and disasters.  There is a minimum of one first aid trained staff member on every shift.  The facility has an approved fire evacuation plan.  Fire evacuation drills take place every six months with the last drill occurring on 16 February 2021.  A contracted service provides checking of all facility equipment including fire equipment.  Fire training, emergency evacuation and security situations are part of orientation of new staff and ongoing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civil defence kits are checked a minimum of annually with one kit stored in the outdoor shed and the other kit stored at the nursing station.  There is sufficient water stored for three litres per day for three days per resident with 20 litres stored in each resident room and additional stores (5000 litres) in the ceiling space.  There are alternative cooking facilities available with a gas barbeque.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call bells were evident in resident’s rooms, lounge areas and toilets/bathrooms.  Call bells are checked monthly.  The facility is locked before nightfall with alarms on all five access doors.  All windows include security latches.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There are heat pump/air conditioning units in corridors and lounges.  Resident rooms are individually heated by wall panel heaters.  All rooms have external windows that open allowing plenty of natural sunlight.  Residents and relatives interviewed reported the facility was maintained at a comfortable temperature.  The maintenance person completes air temperature audits.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St Helena’s has an established infection control programme which is developed by the organisation and is reviewed annually.  The infection control programme, its content and detail, is appropriate for the size, complexity and degree of risk associated with the service.  A registered nurse is the designated infection control nurse with support from the clinical manager.  Infection control data is discussed as an agenda item at facility and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There are hand sanitisers appropriately placed throughout the facility.  Outbreak kits are readily available.  All visitors to the facility complete a wellness declaration including temperature checks and contact tracing on entry to the facility in line with current Covid-19 guidelines.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designated infection control (IC) coordinator (currently on leave).  Infection control was being overseen by the clinical manager at the time of the audit.  The clinical manager has attended infection control education in 2020 and attends study days related to infection control through the DHB when available.  There are adequate resources to implement the infection control programme.  The infection control coordinator has good external support from the local laboratory, IC nurse specialist at the DHB, the organisational infection control nurse, the public health team and the GP.  There are regular housekeeping and laundry internal audits performed.  All staff interviewed were well versed on day-to-day infection control practices, and isolation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managed the current Covid-19 pandemic well.  There has been ongoing information to all staff around how to manage any case of Covid-19 should there be one and process put in place as per policy.  This has included instructions around visiting at each level, management of staff and use of personal protective equipment (PPE).  There is sufficient PPE on site to manage should this be required for an outbreak including a case of Covid-19 for at least two weeks should this be required.  There were frequent zoom meetings with head office during the lockdown periods.  Emails and correspondence were maintained with relatives throughout the lockdown periods.  Contact was maintained between relatives and residents via phone calls and video calls via appointment.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organisational infection control policies and procedures appropriate for the size and complexity of the service.  The policies were developed by the Radius clinical management team and have been reviewed and updated to include Covid-19 policies.  The pandemic plan has been updated in line with Covid-19 guidelines.  The infection control manual outlines a comprehensive range of policies, standards and guidelines and includes defining roles, responsibilities and oversight, the infection control team and training and education of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annually.  A practical hand washing competency is completed on orientation and annually.  Information is provided to residents and visitors that is appropriate to their needs and this is documented in medical records.  Visitors are advised of any outbreaks of infection and are advised not to attend until the outbreak has been resolved.  Information is provided to residents and visitors that is appropriate to their needs and this is documented in medical records.  Education was provided around donning and doffing PPE, handwashing and the use of hand sanitiser, standard precautions and isolation procedures in line with guidelines for Covid-19.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Radius’ infection control manual.  Monthly infection data is collected for all infections based on signs and symptoms of infection.  An individual electronic resident infection form is completed which includes signs and symptoms of infection, treatment, follow-up, review and resolution.  Infection worklogs are generated though the electronic resident database.  Surveillance of all infections is entered on to a monthly infection register.  This data is monitored and evaluated monthly and annually and provided to Radius head office.  Infections are part of the key performance indicators (KPI) and benchmarked within the organisation.  Quality improvements are raised for any infection rates above the KPI.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norovirus outbreak since the previous audit.  Infection logs were maintained to include all staff and residents affected.  There were daily meetings, and the outbreak was discussed with staff at handovers.  Relatives were updated of visiting requirements.  Notifications were made in a timely manner and the public health team were updated daily until symptoms had cleared.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justified, and other de-escalation strategies have been ineffective.  Restraint minimisation policies and procedures are comprehensive, and include definitions, processes and use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using enablers and one hospital level resident using two restraints during the audit.  This resident file was reviewed.</w:t>
            </w:r>
          </w:p>
          <w:p w:rsidR="00EB7645" w:rsidRPr="00BE00C7" w:rsidP="00BE00C7">
            <w:pPr>
              <w:pStyle w:val="OutcomeDescription"/>
              <w:spacing w:before="120" w:after="120"/>
              <w:rPr>
                <w:rFonts w:cs="Arial"/>
                <w:b w:val="0"/>
                <w:lang w:eastAsia="en-NZ"/>
              </w:rPr>
            </w:pPr>
            <w:r w:rsidRPr="00BE00C7">
              <w:rPr>
                <w:rFonts w:cs="Arial"/>
                <w:b w:val="0"/>
                <w:lang w:eastAsia="en-NZ"/>
              </w:rPr>
              <w:t>Staff training is in place around restraint minimisation and enablers, falls prevention and analysis and management of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(clinical nurse manager) and for staff are documented and understood.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and for staff are documented and understood.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r w:rsidRPr="00BE00C7">
              <w:rPr>
                <w:rFonts w:cs="Arial"/>
                <w:b w:val="0"/>
                <w:lang w:eastAsia="en-NZ"/>
              </w:rPr>
              <w:t>The file of one resident using two restraints (bedrails and chair harness) was reviewed.  The assessment was detailed regarding the use of bedrails but was missing relevant and specific information in relation to the chair harness being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authorisation is in consultation/partnership with the resident, family and the GP.  The use of restraint is linked to the resident’s restraint care plan although was missing for the resident using the chair harness (link 2.2.2.1).  An internal restraint audit, conducted six-monthly, monitors staff compliance in following restraint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episode of restraint is monitored at pre-determined intervals depending on individual risk to that resident.  Consistent evidence to verify two hourly checks were sighted for the resident using the bedrails and chair harness restraints. </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providing an auditable record of restraint use and is completed for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are conducted three-monthly and include family, evidenced in the resident file where restraints were in use.  Restraint use is also discussed monthly in the quality/health and safety, staff and RN meetings, confirmed in the meeting minutes.  There have been no adverse events relating to restraint use reported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Radius restraint minimisation programme is discussed and reviewed at a national level and includes identifying trends in restraint use, reviewing restraint minimisation policies and procedures and reviewing the staff education and training programme.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090"/>
        <w:gridCol w:w="1280"/>
        <w:gridCol w:w="3061"/>
        <w:gridCol w:w="1914"/>
        <w:gridCol w:w="15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health and safety programme is established.  Staff begin their health and safety training during their orientation.  This continues annually.</w:t>
            </w:r>
          </w:p>
          <w:p w:rsidR="00EB7645" w:rsidRPr="00BE00C7" w:rsidP="00BE00C7">
            <w:pPr>
              <w:pStyle w:val="OutcomeDescription"/>
              <w:spacing w:before="120" w:after="120"/>
              <w:rPr>
                <w:rFonts w:cs="Arial"/>
                <w:b w:val="0"/>
                <w:lang w:eastAsia="en-NZ"/>
              </w:rPr>
            </w:pPr>
            <w:r w:rsidRPr="00BE00C7">
              <w:rPr>
                <w:rFonts w:cs="Arial"/>
                <w:b w:val="0"/>
                <w:lang w:eastAsia="en-NZ"/>
              </w:rPr>
              <w:t>The external contractors/service providers health and safety agreement is a written declaration signed by the contractor to confirm that the contractor has their own health and safety policies; and the tradesperson has a current practising certificate and indemnity insurance.  Missing was evidence to confirm that this agreement has been implemented.  Also missing was evidence that the contractor was orientated to the facility’s health and safety processes.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external contractors/service providers health and safety agreement and evidence of completing a health and safety orientation has not been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there is documented evidence of external contractors signing a health and safety agreement and completing health and safety orientation, in line with Radius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2.2.2.1</w:t>
            </w:r>
          </w:p>
          <w:p w:rsidR="00EB7645" w:rsidRPr="00BE00C7" w:rsidP="00BE00C7">
            <w:pPr>
              <w:pStyle w:val="OutcomeDescription"/>
              <w:spacing w:before="120" w:after="120"/>
              <w:rPr>
                <w:rFonts w:cs="Arial"/>
                <w:b w:val="0"/>
                <w:lang w:eastAsia="en-NZ"/>
              </w:rPr>
            </w:pPr>
            <w:r w:rsidRPr="00BE00C7">
              <w:rPr>
                <w:rFonts w:cs="Arial"/>
                <w:b w:val="0"/>
                <w:lang w:eastAsia="en-NZ"/>
              </w:rPr>
              <w:t>In assessing whether restraint will be used, appropriate factors are taken into consideration by a suitably skilled service provider. This shall include but is not limited to:</w:t>
              <w:br/>
              <w:t>(a) Any risks related to the use of restraint;</w:t>
              <w:br/>
              <w:t>(b) Any underlying causes for the relevant behaviour or condition if known;</w:t>
              <w:br/>
              <w:t>(c) Existing advance directives the consumer may have made;</w:t>
              <w:br/>
              <w:t>(d) Whether the consumer has been restrained in the past and, if so, an evaluation of these episodes;</w:t>
              <w:br/>
              <w:t>(e) Any history of trauma or abuse, which may have involved the consumer being held against their will;</w:t>
              <w:br/>
              <w:t>(f) Maintaining culturally safe practice;</w:t>
              <w:br/>
              <w:t>(g) Desired outcome and criteria for ending restraint (which should be made explicit and, as much as practicable, made clear to the consumer);</w:t>
              <w:br/>
              <w:t>(h) Possible alternative intervention/strategies.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resident was using two restraints (bedrails and chair harness).  The assessment for the use of bedrails was comprehensive and including potential risks.  This assessment was linked to the resident’s care plan.  Missing was specific information in relation to the chair harness restraint to assist in guiding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chair harness restraint used for one resident was assessed as a specialty chair and did not indicate the type of restraint, and risks associated with this restraint.  This information was also missing in the resident’s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chair harness restraint is assessed in a comprehensive manner including identifying any risks associated with the use of this restraint, and that these risks are carried over to the resident’s care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St Helena's Care Centre</w:t>
    </w:r>
    <w:bookmarkEnd w:id="58"/>
    <w:r>
      <w:rPr>
        <w:rFonts w:cs="Arial"/>
        <w:sz w:val="16"/>
        <w:szCs w:val="20"/>
      </w:rPr>
      <w:tab/>
      <w:t xml:space="preserve">Date of Audit: </w:t>
    </w:r>
    <w:bookmarkStart w:id="59" w:name="AuditStartDate1"/>
    <w:r>
      <w:rPr>
        <w:rFonts w:cs="Arial"/>
        <w:sz w:val="16"/>
        <w:szCs w:val="20"/>
      </w:rPr>
      <w:t>20 May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