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Dementia Specialists Limited - Brooklands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Dementia Specialists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Brooklands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24 May 2021</w:t>
      </w:r>
      <w:bookmarkEnd w:id="7"/>
      <w:r w:rsidRPr="009418D4">
        <w:rPr>
          <w:rFonts w:cs="Arial"/>
        </w:rPr>
        <w:tab/>
        <w:t xml:space="preserve">End date: </w:t>
      </w:r>
      <w:bookmarkStart w:id="8" w:name="AuditEndDate"/>
      <w:r w:rsidR="00A4268A">
        <w:rPr>
          <w:rFonts w:cs="Arial"/>
        </w:rPr>
        <w:t>25 May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Brooklands rest home is privately owned and provides rest home and dementia level care for up to 30 residents.  On the day of the audit there were 29 residents.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owner (present on the days of audit), management, general practitioner and staff.</w:t>
      </w:r>
    </w:p>
    <w:p w:rsidRPr="00A4268A">
      <w:pPr>
        <w:spacing w:before="240" w:line="276" w:lineRule="auto"/>
        <w:rPr>
          <w:rFonts w:eastAsia="Calibri"/>
        </w:rPr>
      </w:pPr>
      <w:r w:rsidRPr="00A4268A">
        <w:rPr>
          <w:rFonts w:eastAsia="Calibri"/>
        </w:rPr>
        <w:t xml:space="preserve">The facility manager (non-clinical) has been in the role for six years and has experience in the aged care industry.  She is supported by an experienced clinical services manager/registered nurse, part-time registered nurse, quality coordinator and long-serving staff.  </w:t>
      </w:r>
    </w:p>
    <w:p w:rsidRPr="00A4268A">
      <w:pPr>
        <w:spacing w:before="240" w:line="276" w:lineRule="auto"/>
        <w:rPr>
          <w:rFonts w:eastAsia="Calibri"/>
        </w:rPr>
      </w:pPr>
      <w:r w:rsidRPr="00A4268A">
        <w:rPr>
          <w:rFonts w:eastAsia="Calibri"/>
        </w:rPr>
        <w:t xml:space="preserve">There were no areas for improvement at this certification.  </w:t>
      </w:r>
    </w:p>
    <w:p w:rsidRPr="00A4268A">
      <w:pPr>
        <w:spacing w:before="240" w:line="276" w:lineRule="auto"/>
        <w:rPr>
          <w:rFonts w:eastAsia="Calibri"/>
        </w:rPr>
      </w:pPr>
      <w:r w:rsidRPr="00A4268A">
        <w:rPr>
          <w:rFonts w:eastAsia="Calibri"/>
        </w:rPr>
        <w:t xml:space="preserve">The service has been awarded a continuous improvement rating around good practice and activities.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Brooklands rest home provides care in a way that focuses on the individual resident.  Cultural and spiritual assessment is undertaken on admission and during the review processes.  Information about services including dementia care is readily available to residents and families/whānau.  The Health and Disability Commissioner Code of Health and Disability Services Consumers' Rights (the Code) brochures are accessible to residents and their families.  There is a policy to support individual rights.  Care plans accommodate the choices of residents and/or their family.  Complaints processes are implemented and managed in line with the Code.  Residents are encouraged to maintain former links with the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business plan, quality and risk management plan and quality and risk policies describe Brooklands quality improvement processes.  Policies and procedures align with current good practice and meet legislative requirements.  Quality data is collated for infections, accident/incidents, concerns and complaints, internal audits and surveys.  Quality data is discussed at meetings and is documented in minutes.  The health and safety programme meets current legislative requirements.  There are human resources policies including recruitment, job descriptions, selection, orientation and staff training and development.  The service has an orientation programme that provides new staff with relevant information for safe work practice.  There is an education programme covering relevant aspects of care and external training is supported.  The staffing policy aligns with contractual requirements and includes appropriate skill mixes to provide safe delivery of care in the rest home and dementia unit.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Registered nurses are responsible for each stage of service provision.  A registered nurse assesses and reviews residents' needs, outcomes and goals with the resident and/or family input.  Family input is particularly important for dementia residents.  Care plans viewed demonstrate service integration and are reviewed at least six-monthly.  Resident files include medical notes by contracted general practitioners and a nurse practitioner as well as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medication competent healthcare assistants are responsible for the administration of medicines.  Medication charts are reviewed three-monthly by the GPs/NP. </w:t>
      </w:r>
    </w:p>
    <w:p w:rsidRPr="00A4268A" w:rsidP="00621629">
      <w:pPr>
        <w:spacing w:before="240" w:line="276" w:lineRule="auto"/>
        <w:rPr>
          <w:rFonts w:eastAsia="Calibri"/>
        </w:rPr>
      </w:pPr>
      <w:r w:rsidRPr="00A4268A">
        <w:rPr>
          <w:rFonts w:eastAsia="Calibri"/>
        </w:rPr>
        <w:t xml:space="preserve">The diversional therapist implements the activity programme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All meals are cooked on site.  Residents' food preferences, dislikes and dietary requirements are identified at admission and accommodated.  Residents commented very positively on the meals.  Snacks are available at all times.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safely throughout the facility.  Appropriate policies and product safety charts are available.  The building holds a current warrant of fitness.  There is one double room, and the rest are all single.  All rooms have hand basins.  There are communal showers and toilets. External areas are safe and well maintained with shade and seating available.  The dementia unit has a fenced garden.  Fixtures, fittings and flooring are appropriate and toilet/shower facilities are constructed for ease of cleaning.  Cleaning and laundry services are monitored through the internal auditing system.  Systems and supplies are in place for essential, emergency and security services.  There is a trained first aider on duty 24 hours.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There were no residents using enablers and no residents with restraint.  The restraint coordinator monitors restraint documentation and compliance.  Staff receive regular education and training on restraint minimisation and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registered nurses are the infection control coordinators.  The infection control coordinators have on-line education and coordinates education and training for staff.  There is a suite of infection control policies and guidelines to support practice.  Information obtained through surveillance is used to determine infection control activities and education needs within the facility.  There have been no outbreaks.  Covid screening continues.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Code of Health and Disability Services Consumers' Rights (the Code) brochures are accessible to residents and their families at the front entrance.  A policy relating to the Code is implemented and staff interviewed (one facility manager, one clinical services manager, one registered nurse, five healthcare assistants (HCA)] and one diversional therapist) could describe how the Code is incorporated into the residents’ daily activities of living.   Staff receive training about the Code during their induction and as part of their two-yearly training plan last May 2021.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in place a policy for informed consent.  Completed general and resuscitation consent forms were evident on all resident files reviewed (three rest home and three dementia).  Discussions with staff confirmed that they are familiar with the requirements to obtain informed consent for entering rooms and personal care.  Enduring power of attorney (EPOA) evidence is filed in the residents’ charts.  In the dementia unit the resident files sampled had activated EPOAs.  Family interviewed stated that informed consent was discussed on admission and rest home residents interviewed agreed with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Disability advocacy brochures are included in the information provided to new residents and their family/whānau during their entry to the service.  Residents and family interviewed were aware of the role of advocacy services and their right to access support.  The complaints process is linked to advocacy services.  Staff receive education and training on the role of advocacy services.  There is access to community advocacy services such as citizens advice, family services, Alzheimer’s NZ and age concern.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their residents to maintain their relationships with friends/whānau and community groups.  Residents may have visitors of their choice at any time.  Assistance is provided by the diversional therapist and staff to ensure that the residents continue to participate in their chosen community group such as church groups, age concern and positive aging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to guide practice, which aligns with Right 10 of the Code.  The facility manager is the privacy officer and has completed on-line Privacy Commissioner training.  Compliments, suggestions and complaints forms are visible and available at the entrance of the facility.  There is a secure box for forms ensuring a confidential process.  Residents and families interviewed are aware of the complaints process.  The complaints policy and form are included in the welcome pack.  A complaint register is maintained.  The privacy officer leads the investigation of any concerns/complaints in consultation with relevant staff for clinical concerns/complaints.  Concerns/complaints and compliments are discussed at the relevant staff meeting and evidenced in meeting minutes.  There have been three internal complaints for 2019, four in 2020 and one to date for 2021.  All verbal concerns and complaints were fully investigated to the satisfaction of the complainant.  One concern was raised by the DHB in May 2020 relating to transfer/discharge of a resident.  Brooklands quality improvement recommendation for the purchase of a modern air alternating mattress was completed and the concern closed off by the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and the Health and Disability Advocacy Service are included in the resident welcome pack that is provided to new residents and their families.  The facility manager (non-clinical) discusses aspects of the Code with residents and their family on admission.  The Code of Rights is displayed and there are Code of Rights and advocacy brochures readily available.  Five rest home residents and three dementia care family members interviewed reported that the residents’ rights were being upheld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confirmed they promote the residents' independence by encouraging them to be as active as possible.  Residents and families interviewed, and observations during the audit, confirmed that the residents’ privacy is respected.  All staff were observed to be respectful and caring towards the residents.  Residents and relatives confirmed staff respected the resident’s individual values and beliefs.  Healthcare assistants were observed to knock on bedroom doors prior to entering rooms.  There are privacy signs on communal toilet doors and shower rooms.  The residents’ personal belongings are used to decorate their rooms.  Guidelines on abuse and neglect are documented in policy.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There is a Māori Health policy including the Treaty of Waitangi, participation of whānau and recognition of traditional Māori customs and culture.  The service has two Māori residents in dementia care.  The care plans sighted identify Māori culture and iwi.  While the residents do not specifically identify with their culture there are opportunities to participate in cultural activities such as attending kapa haka at a neighbouring school, visiting the local marae and Puke Ariki museum.  Māori staff communicate with the residents in te reo Māori.  The service can access kaumātua through the Directory of Iwi and Māori providers.  A quality goal for 2020 included reviewing iwi links in the community and sourcing external cultural training for staff both of which has been achieved.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culture, values and beliefs at the time of admission in consultation with the resident and family.  Beliefs and values are incorporated into the residents’ care plans.  Residents and family/whānau interviewed confirmed they were involved in developing the resident’s plan of care, which included the identification of individual cultural and spiritual values and beliefs.  Residents have access to spiritual visitors and there are church services held on site.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Professional boundaries are discussed with each new employee during their induction to the service.  Professional boundaries are also described in job descriptions.  Employees sign a code of confidentiality and code of conduct on appointment.  Interviews with the care staff confirmed their understanding of professional boundaries including the boundaries of the HCA role and responsibilities.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practice is promoted and practiced around the provision of holistic quality care and services provided at Brooklands rest home and memory care.  Policies have been developed by an aged care consultant in line with current accepted best practice.  The content of policy and procedures are sufficiently detailed to allow effective implementation by staff.  The service receives updates on industry changes and best practice through aged care membership.  The service has employed a quality coordinator to oversee a range of quality improvement projects including weight management and nurse practitioner weekly clinics.  There are long-serving staff who know the residents well.  The care staff interviewed were knowledgeable about their role and the residents they were caring for.  Resident choice in daily living was evident during the day, for example waking up time, meal times, choice of activities and clothing – all align with the purpose of the service to “provide services that enable people to live the life they want to”.  Care staff confirmed on interview they feel supported and their contribution into quality improvements and resident care is valued by the owner, management and RNs.  Care staff are well educated with 68% of HCAs qualified at level 3 or level 4.  There is a qualified diversional therapist (DT) across the rest home and dementia unit.  The service is supported by an aged care DHB clinical nurse specialist, mental health services, nurse practitioner, hospice, physiotherapist and other allied health professionals as required.  Residents and family interviewed were very satisfied with the care and services provided.  The business owner has consulted dementia care specialists, infection control specialists and architectural advisors in future site developments.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Residents and family interviewed confirmed the admission process and agreement was discussed with them and they were provided with adequate information on entry.  The welcome pack includes specific information for dementia care.  The facility manager operates an open-door policy.  The owner visits regularly and is readily available by phone for families.  There are quarterly resident meetings in the rest home which family are invited to attend.  Dementia care residents can attend as appropriate and under supervision.  The service has a Facebook page available to families.  During Covid-19 lockdown there were regular zoom meetings with family members and their relative.  Relatives interviewed stated they were kept well informed on their relative’s health and Covid-19 restrictions.  Relatives receive regular “Brooklands Bugle” newsletters keeping them up to date on facility matters, activities and survey results.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Fourteen incident/accident forms reviewed for January 2021 identified family were notified following a resident incident.  Family members interviewed confirmed they are notified promptly of any incidents/accidents.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are available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Brooklands Rest Home and Dementia Care is privately owned by the current business owner for six years.  The rest home provides care for up 14 rest home level residents (including one double room) and 16 dementia level of care residents.  On the day of audit there were 13 rest home residents and 16 dementia level of care residents.  All residents were under the Aged Care Residential contract (ARCC).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Brooklands rest home and dementia care 2021 – 2024 business plan includes quality projects around quality risk systems, infection control, Māori health and health and safety.  The business plan is reviewed annually, and goals not fully achieved are carried over to the next year.  The business plan includes the service philosophy, values and vision for a small, homely environment.  The business plan includes further development of the site for care suites, upgrade of the kitchen and laundry.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owner was present on the day of audit.  The owner lives outside of the region and is available daily by phone, zoom meetings and visits the site at least monthly.  The business owner is a member of an aged care association and receives regular industry updates.  The facility manager (non-clinical) has been in the role six years and has extensive experience in the aged care industry.  She is supported by an experienced clinical services manager (previously the RN for three years) who was appointed into the role in March 2021.  A HealthCERT notification of change of clinical services manager was sighted.  The clinical services manager is supported by a part-time RN experienced in aged care.  A quality coordinator (non-clinical) has been in a part-time role for 10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completed a mentoring course (25 hours over nine months) which included leadership, human resources, business planning and complaints management.  She also attends quarterly regional aged care association meetings and ARC provider meetings.  The clinical services manager has completed specific orientation to the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services manager and RN cover the on-call requirement.  The clinical services manager and business owner cover the facility managers leave.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and risk management plan and quality and risk policies describe Brooklands quality improvement processes.  The quality coordinator is implementing a reviewed quality system such as reviewed meeting schedule, internal audit programme and resident/relative survey process.  Policies and procedures have been reviewed and reflect references used to ensure they align with current good practice and meet legislative requirements.  The service receives industry updates from their aged care association membership.  Staff are informed of any reviewed/new policies at staff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management systems are linked to internal audits, incident and accident reporting, health and safety reporting, infection control data, surveys and complaints management.  Data collected is analysed for trends, corrective actions and quality improvements.  There are monthly and annual comparisons for a range of adverse event data.  There is documented discussion of quality data, analysis, trending and corrective actions in the management meeting minutes and reflected in the compulsory all staff meeting minutes.  The clinical services meeting with the RNs includes infection control.  Meeting minutes are made available to staff in a staff communication folder held in the staff office.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coordinator oversees the internal audit programme and allocates audits (clinical and non-clinical to the appropriate person) which have been completed as per the reviewed annual internal audit schedule for 2021 to date.  Clinical audits are completed by an RN.  Where improvements are identified, corrective actions are developed, implemented and regularly evaluated.  Information is shared with all staff at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resident/relative satisfaction surveys are completed annually.  A resident/relative survey was sent out 2020, and individuals concerns voiced were addressed.  There was a poor response to the 2021 resident/relative survey and a quality improvement has been raised to improve the response rate.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and business owner oversee health and safety and has access to a health and safety consultant.  She is supported by a health and safety champion (the DT) who has completed a hazard awareness course and a health and safety representative who has completed level 1 health and safety course.  Health and safety are discussed at the monthly staff meetings.  Hazard management includes staff involvement in the review of generic and specific hazards.  Staff receive education in hazard identification, accident/incidents and occupational health.  The physiotherapist completes safe manual handling competencies with staff.  All contractors complete a health and safety induction.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management strategies include sensor mats, and interventions are documented in individualised care plans to meet the needs of each resident who is at risk of falling.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Individual reports are completed for each incident/accident including falls (witnessed and unwitnessed), skin tears, bruises, behaviours of concern and absconding.  Near misses are also reported on an incident/accident form.  There is timely RN assessment including after hours for accident/incidents.  Incident/accident data is collated monthly and analysed for time, location, frequent fallers and preventive actions.  Incidents/accidents are discussed daily at handovers with the team and reported at the management and staff meeting (sighted in meeting minutes).  The quality coordinator enters accident/incident data into reports and graphs for monthly and annual comparison.  Fourteen accident/incident forms for the month of January were reviewed including five unwitnessed falls.  Each incident involved a resident RN clinical assessment, relative notification, monitoring required and corrective actions.  Neurological observations were completed for residents with unwitnessed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owner/director, clinical services manager and quality coordinator (interviewed) were aware of reporting requirements for essential notifications.  There have been no incidents to report to HealthCERT.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Six staff files reviewed (one clinical services manager, two HCAs, one diversional therapist, one quality coordinator and one head chef) contained all relevant employment documentation.  The recruitment and staff selection process requires that relevant checks are completed to validate the individual’s qualifications, experience and suitability for the role.  Staff sign a code of conduct and confidentiality on employment.  Performance appraisals were current for those staff employed over one year.  Current practising certificates were sighted for the clinical manager, RN and allied health professionals.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Staff interviewed believed new staff were adequately orientated to the service on employment.  Staff are required to complete a generic site orientation which includes health and safety/fire safety, infection control, policies and procedures related to the service followed by a role-specific orientation.  A yearly education plan covers all mandatory educational requirements ,however not all training over the lockdown period had been completed due to Covid-19 restrictions.  These have since been completed. Training attendance records evidenced good attendance at education.  Comprehension questionnaires are completed by all staff following in-service sessions.  Staff are required to sign and date in-service material read.  Registered nurses have the opportunity to attend external education such DHB study days.  External speakers provide education such as Age Concern and health and disability advocate.  Staff complete competencies relevant to their roles such as medication, manual handling, hand hygiene and food safety.  There is a local roving Careerforce assessor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and RN have completed interRAI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11 HCAs who work in the dementia unit and 9 have completed the required dementia unit standards.  Two HCAs commenced employment less than six months ago.  The DT has completed the dementia unit standards.  Of the 19 HCAs that work across both levels, 14 have completed the dementia unit standards ensuring there are enough HCAs that can cover leave and sickness in the dementia care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There is a roster that provides sufficient and appropriate coverage for the effective delivery of care and support.  The clinical services manager/RN is full-time and shares the on-call requirement with the part-time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rest home, there is one HCA on the full morning shift (7 am - 3 pm) and one HCA on the short shift (8 am - midday).  There is one HCA on the full afternoon shift (3 pm -11 pm).  There is one HCA on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dementia unit, there are two HCAs on the full morning shift (7 am – 3 pm) and two HCAs on the full afternoon shift and one from 4 pm – 9 pm.  There is one HCA on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diversional therapist based in the rest home 10 am - 3.30 pm.  The HCAs incorporate activities as part of their role in the dementia care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Healthcare assistants’ complete laundry duties across the shifts.  There is a designated cleaner on mornings seven days a week.  There is a cook on duty form 7 am - 2.30 pm and from 4 pm – 8 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stated there are sufficient staff on duty at all times.  There is the flexibility on the roster to increase hours to meet resident acuity.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are appropriate to the service type.  Residents entering the service have all relevant initial information recorded within 24 hours of entry into each resident’s individual record.  Personal resident information is kept confidential and cannot be viewed by other residents or members of the public.  Residents’ files are protected from unauthorised access by being held securely in the nurse’s station.  Archived records are secure in a separate locked area.  Residents’ files demonstrate service integration.  Entries are legible, dated, timed and signed by the relevant HCA or RN,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an admission policy.  The service has an information pack available for residents/families at entry.  The admission agreements reviewed met the requirements of the ARRC.  Exclusions from the service are included in the admission agreement.  All admission agreements sighted were signed and dated.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describes guidelines for death, discharge, transfer, documentation and follow up.  A record of transfer documentation is kept on the resident’s file.  All relevant information is documented and communicated to the receiving health provider or service.  Communication with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policies and procedures in place for all aspects of medication management, including self-administration.  There were no residents self-administering on the day of audit.  All policies and procedures had been adhered to.  There are no standing orders.  There are no vaccines stored on 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 paper-based and robotic pack system.  Medications are checked on arrival and any pharmacy errors recorded and fed back to the supplying pharmacy.  RNs and senior medication competent HCAs administer medications.  All staff have up-to-date medication competencies and there has been medication education this year.  The medication fridge and room temperature is checked daily.  Eye drops are dated once opened.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sign for the administration of medications on the medication sheets.  Twelve medication charts were reviewed.  Medications are reviewed at least three-monthly by the GP/NP.  There was photo identification and allergy status recorded.  ‘As required’ medications had indications for use prescribed.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head chef who works four days a week and a cook who covers the other days.  There is one kitchenhand for an hour a day.   The head chef and cook have food safety certificates.  The head chef oversees the procurement of the food and management of the kitchen.  There is a well-equipped kitchen, and all meals are cooked on site.  Meals are served in the dining rooms from the kitchen for the rest home and from a bain marie for the dementia unit.  Meals going to rooms on trays have covers to keep the food warm.  Special equipment such as lipped plates is available.  On the first day of audit, meals were observed to be hot and well-presented, and residents stated that they were enjoying their meal.  The residents have a nutritional profile developed on admission which identifies dietary requirements and likes and dislikes.  This is reviewed six-monthly as part of the care plan review.  Changes to residents’ dietary needs have been communicated to the kitchen.  Special diets and likes and dislikes were noted in a folder.  The four-weekly menu cycle is approved by a dietitian.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is due for re-verification on 25 June 2021.  There is a kitchen manual and a range of policies and procedures to safely manage the kitchen and meal services.  Audits are implemented to monitor performance.  Kitchen fridge and freezer temperatures were monitored and recorded daily.  Food temperatures are checked, and these were all within safe limits.  </w:t>
            </w:r>
          </w:p>
          <w:p w:rsidR="00EB7645" w:rsidRPr="00BE00C7" w:rsidP="00BE00C7">
            <w:pPr>
              <w:pStyle w:val="OutcomeDescription"/>
              <w:spacing w:before="120" w:after="120"/>
              <w:rPr>
                <w:rFonts w:cs="Arial"/>
                <w:b w:val="0"/>
                <w:lang w:eastAsia="en-NZ"/>
              </w:rPr>
            </w:pPr>
            <w:r w:rsidRPr="00BE00C7">
              <w:rPr>
                <w:rFonts w:cs="Arial"/>
                <w:b w:val="0"/>
                <w:lang w:eastAsia="en-NZ"/>
              </w:rPr>
              <w:t>All residents and family members interviewed were very satisfied with the meals.  They especially like the home baking.  In the dementia unit staff have their meals with the residents.  Snacks are always available and there is a kitchenette where staff can make residents tea and coffee day or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residents should this occur and communicates this to residents/family.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reviewed indicated that all appropriate personal needs information is gathered during admission in consultation with the resident and their relative where appropriate.   The latter is particularly appropriate in the dementia unit.  InterRAI assessments had been completed for all residents whose files were reviewed.  Overall, the goals were identified through the assessment process and linked to care plan interventions.  Other assessment tools in use included (but not limited to) nutrition, pain, behaviour and continence.  In the dementia unit, pain assessments took into account non-verbal communication.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evidenced multidisciplinary involvement in the care of the resident.  All care plans are resident centred.  Interventions documented support needs and provide detail to guide care.  Behaviour management plans were in place for dementia care residents.  Short-term care plans are in use for changes in health status.   Residents and relatives interviewed stated that they were involved in the care planning process.  There was evidence of service integration with documented input from a range of specialist care professionals including the hospice nurse, wound care nurse and mental health care team for older people.  The care staff interviewed advised that the care plans were easy to follow.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registered nurse initiates a GP/NP consultation.  Staff stated that they notify family members about any changes in their relative’s health status and family interviewed confirmed this.  All care plans reviewed had interventions documented to meet the needs of the resident.  Care plans have been updated as residents’ needs changed. </w:t>
            </w:r>
          </w:p>
          <w:p w:rsidR="00EB7645" w:rsidRPr="00BE00C7" w:rsidP="00BE00C7">
            <w:pPr>
              <w:pStyle w:val="OutcomeDescription"/>
              <w:spacing w:before="120" w:after="120"/>
              <w:rPr>
                <w:rFonts w:cs="Arial"/>
                <w:b w:val="0"/>
                <w:lang w:eastAsia="en-NZ"/>
              </w:rPr>
            </w:pPr>
            <w:r w:rsidRPr="00BE00C7">
              <w:rPr>
                <w:rFonts w:cs="Arial"/>
                <w:b w:val="0"/>
                <w:lang w:eastAsia="en-NZ"/>
              </w:rPr>
              <w:t>Resident falls are reported on accident/incident forms and written in the progress notes.  Neurological observations are completed for unwitnessed falls or falls where residents hit their heads.  Family are notified.  Care staff interviewed stated there are adequate clinical supplies and equipment provided including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wound management and evaluation forms are documented, and wound monitoring occurs as planned.  There were three wounds being treated on the day of audit.  The clinical services manager stated that they use a wound care specialist if required.  There are currently no pressure injuries.  The facility has an air mattress and air cushion if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vital signs, wounds and behaviour.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diversional therapist (DT) who works 20 hours a week.  The DT plans the programme and supervises the HCAs who assist her in both areas.  On the days of audit rest home residents were observed going for van outings, doing puzzles, folding laundry and singing to music.  In the dementia unit residents were singing to music, folding laundry and one resident was painting.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programme in large print on noticeboards.  The programme in the dementia can vary from the printed programme due to residents’ mood and fatigue.   Residents have the choice of a variety of activities in which to participate, and every effort is made to ensure activities are meaningful and tailored to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or who need individual attention have one-on-one visits to check if there is anything they need and to have a chat.</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complete tasks they are familiar with if they wish to.  Many residents in both units like to help with folding laundry, baking and setting tables and one resident in the dementia unit likes to vacuum.</w:t>
            </w:r>
          </w:p>
          <w:p w:rsidR="00EB7645" w:rsidRPr="00BE00C7" w:rsidP="00BE00C7">
            <w:pPr>
              <w:pStyle w:val="OutcomeDescription"/>
              <w:spacing w:before="120" w:after="120"/>
              <w:rPr>
                <w:rFonts w:cs="Arial"/>
                <w:b w:val="0"/>
                <w:lang w:eastAsia="en-NZ"/>
              </w:rPr>
            </w:pPr>
            <w:r w:rsidRPr="00BE00C7">
              <w:rPr>
                <w:rFonts w:cs="Arial"/>
                <w:b w:val="0"/>
                <w:lang w:eastAsia="en-NZ"/>
              </w:rPr>
              <w:t>There is Catholic communion weekly.  Every Sunday the church service programme on TV is played.</w:t>
            </w:r>
          </w:p>
          <w:p w:rsidR="00EB7645" w:rsidRPr="00BE00C7" w:rsidP="00BE00C7">
            <w:pPr>
              <w:pStyle w:val="OutcomeDescription"/>
              <w:spacing w:before="120" w:after="120"/>
              <w:rPr>
                <w:rFonts w:cs="Arial"/>
                <w:b w:val="0"/>
                <w:lang w:eastAsia="en-NZ"/>
              </w:rPr>
            </w:pPr>
            <w:r w:rsidRPr="00BE00C7">
              <w:rPr>
                <w:rFonts w:cs="Arial"/>
                <w:b w:val="0"/>
                <w:lang w:eastAsia="en-NZ"/>
              </w:rPr>
              <w:t>There are van outings for each unit every week.  The DT reminisces with residents about where they used to work and what they used to enjoy doing.  She then plans outings around residents’ interests.  She always completes a risk assessment before each outing.  Examples of places visited are the port area, farms, forests, beaches, shops and cafés.  Residents enjoyed a planned trip to Te Papa in April 2019.</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Happy hour is fortnightly and combined with entertainment.  Special events such as birthdays, Matariki, Easter, Anzac Day, and Queens’s birthday are recognised and celebrated.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facility cats and pet therapy is monthly. </w:t>
            </w:r>
          </w:p>
          <w:p w:rsidR="00EB7645" w:rsidRPr="00BE00C7" w:rsidP="00BE00C7">
            <w:pPr>
              <w:pStyle w:val="OutcomeDescription"/>
              <w:spacing w:before="120" w:after="120"/>
              <w:rPr>
                <w:rFonts w:cs="Arial"/>
                <w:b w:val="0"/>
                <w:lang w:eastAsia="en-NZ"/>
              </w:rPr>
            </w:pPr>
            <w:r w:rsidRPr="00BE00C7">
              <w:rPr>
                <w:rFonts w:cs="Arial"/>
                <w:b w:val="0"/>
                <w:lang w:eastAsia="en-NZ"/>
              </w:rPr>
              <w:t>There is community input from school and baby groups.  Some residents go to Aged Care monthly.  Every two months some residents go the Brooklands church social for entertainment and morning tea.  One of the Māori residents is taken to the nearby intermediate school to watch the kapa haka group.  The DT takes two or three residents at a time out shopping or for lunch at a café.  Many residents like to go for walks and staff supervise and accompany the dementia residents.  Residents are encouraged to maintain past hobbies and interests, an example being a resident who can no longer drive his American car has annual visits from the Americana car club.</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Resident files reviewed identified that the activity plan is based on this assessment.  Activity plans are evaluated at least six-monthly at the same time as the review of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three-monthly.  Residents and relatives commented positively on the activities offered.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care plans reviewed had been evaluated by the registered nurses six monthly or when changes to care occurs.  These written evaluations describe the progress towards meeting goals.  Where the evaluation reflects changes in health status or usual activities this is updated in the care plan.  Short-term care plans for short-term needs are evaluated and signed off as resolved or added to the long-term care plan as an ongoing problem.  Activities plans are in place for each of the residents and these are also evaluated six-monthly, and changes made to the plan as required.  The multidisciplinary review involves the RN, GP/NP and resident/family if they wish to attend.  There are three-monthly reviews by the GP/NP for all residents.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of where residents had been referred to the mental health team for older people and the hospice.  Discussion with the registered nurse identified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regarding chemical safety and waste disposal.  All chemicals were clearly labelled with manufacturer’s labels and stored in locked areas.  Safety data sheets and product sheets are available.  A sharps container is available and meets the hazardous substances regulations for containers.  The hazard register identifies hazardous substance and staff indicated a clear understanding of processes and protocols.  Gloves, aprons, and goggles are available for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August 2021.  There is a maintenance person who works flexible hours but usually no less than fifteen hours weekly.  The maintenance person does the gardens but has assistance with lawn mowing.  Electrical and plumbing contractors are available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preventative and reactive maintenance schedule.  Electrical equipment has been tested and tagged.  The scales are checked annually.  Hot water temperatures have been monitored randomly in resident areas and were within the acceptable range.  The rest home and dementia unit are carpeted.  Corridors are wide, have safety rails and promote safe mobility with the use of mobility aids.  Residents were observed moving freely around the areas with mobility aids where required.  The external areas and gardens were well maintained.  There is a large enclosed outdoor area for the dementia unit.  All outdoor areas have seating and shade.  There is safe access to all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stated they have adequate equipment to safely deliver care for rest home and dementia level of care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have hand basins.  There are communal showers and toilets.  There are sufficient numbers of these.   Fixtures, fittings and flooring are appropriate.  Toilet/shower facilities are easy to clean.  Some shower areas can accommodate shower chairs if required.  There are vacant/engaged signs on all shower/toilet doors.  The dementia unit has pictures on the doors as well as blue toilet seats for easy identification.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double room, but this was only occupied by one resident on the day of audit.  There are screens available for privacy if another person was sharing.  All other rooms are single.  There is sufficient space in all areas to allow care to be provided and for the safe use of mobility equipment.  Staff interviewed reported that they have adequate space to provide care to residents.  Residents are encouraged to personalise their bedrooms as viewed on the day of audit.  Residents/relatives are able to choose their own wallpaper when rooms were refurbished.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communal lounge is homely.  The rest home dining room is adjoining.  Residents use the long dining room tables to do puzzles or play cards.  The dementia communal lounge is large, and the dining room is adjoining.  Residents appear to enjoy sitting at the long tables and socialising.  Staff in the dementia unit sit with the residents at meal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done on site by the healthcare assistants.  Any ironing is done by the night healthcare assistants.  The laundry is divided into a “dirty” and “clean” area.  Laundry is delivered to the laundry by a chute.  There is a laundry and cleaning manual and safety data sheets.  Personal protective equipment is available.  There is a designated cleaner.  Cleaning and laundry services are monitored.  There is one sluice room for the disposal of soiled water or waste and the sluicing of soiled linen if required.  The sluice room and the downstairs laundry are kept locked when not in use.  Cleaning trollies are locked away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disaster policies and procedures are documented for the service.  The service has an approved fire evacuation scheme dated September 2017.  Fire drills occur every six months last in March 2021.  The orientation checklist includes education/training on fire, security and emergency/civil defence situations and ongoing training is included in the annual education planner.  There are adequate supplies available in the event of a civil defence emergency including food, bottled water, torches and other civil defence supplies.  There is a gas BBQ and gas cooking in the kitchen.  There is emergency lighting for up to two hours and the service is on a priority hire list for a generator.  There is a written agreement with a neighbouring school for alternative accommodation.  A call bell system is in place including all resident rooms and communal areas.  There is at least one staff member on duty 24 hours a day with a current first aid certificate.  The building is secure with sensor lighting in place.  Staff complete internal security checks after hours.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The facility has central heating throughout.  Staff and residents interviewed stated that both are effective.  There is a designated smoking area for residents who smoke.  All other areas are smoke free.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services manager and RN share the infection coordinator role, and both have a job description that defines the role and responsibilities.  The infection control committee oversees the infection control programme and reviews progress at the six-monthly meetings.  Management and staff meeting minutes includes results of monthly statistics which are discussed and documented.  The facility manager provides the business owner with a copy of the minutes.  </w:t>
            </w:r>
          </w:p>
          <w:p w:rsidR="00EB7645" w:rsidRPr="00BE00C7" w:rsidP="00BE00C7">
            <w:pPr>
              <w:pStyle w:val="OutcomeDescription"/>
              <w:spacing w:before="120" w:after="120"/>
              <w:rPr>
                <w:rFonts w:cs="Arial"/>
                <w:b w:val="0"/>
                <w:lang w:eastAsia="en-NZ"/>
              </w:rPr>
            </w:pPr>
            <w:r w:rsidRPr="00BE00C7">
              <w:rPr>
                <w:rFonts w:cs="Arial"/>
                <w:b w:val="0"/>
                <w:lang w:eastAsia="en-NZ"/>
              </w:rPr>
              <w:t>Visitors are asked not to visit if unwell.  The service displays a QR code and there is a declaration register.  Visitor temperatures are taken on entry to the service.  Hand sanitisers are appropriately placed throughout the facility.  Brooklands have submitted their Covid-19 pandemic plan to the DHB ensuring preparedness in the event of an outbreak.  Covid resource material from the DHB (guidance plan) and the MOH has been printed off and held in a manual that is accessible for all staff.  There were ongoing zoom sessions with the DHB during lockdown.  Families stated they were kept well informed on Covid protocols and restrictions.  Influenza vaccines are offered to residents and staff.  Residents have a Covid screen prior to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Both infection control coordinators have completed the on-line MOH infection and prevention control course May 2021.  The infection control committee includes the coordinators, facility manager, resident representative and medical representative (where possible).  There is access to infection control expertise within the DHB, NZ aged care association, wound nurse specialist, Public Health, nurse practitioner and GPs.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policies include a comprehensive range of standards and guidelines including defined roles and responsibilities for the prevention of infection, and training and education of staff.  Infection control procedures developed in respect of the kitchen, laundry and housekeeping incorporate the principles of infection control and include references.  The policies have been reviewed March 2020.  Staff are informed of new/reviewed policies at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coordinators are responsible for coordinating/providing education and training to staff.  Training on infection control is included in orientation and is scheduled six-monthly.  There has been additional training around Covid-19 including correct use of personal protective equipment and donning and doffing practical competencies.  Staff complete annual infection control questionnaires and hand hygiene competencies.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occurs as part of providing daily cares.  Residents were kept informed daily regarding Covid-19 restrictions and infection control precautions including hand hygiene.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coordinators collate monthly infection rates and use the information obtained through surveillance to determine infection control rends, analysis and quality improvement activities and education needs in the facility.  Definitions of infections are in place that are appropriate to the complexity of service provided.  The quality coordinator enters data into spread sheets and graphs which is discussed at the management and staff meetings.  The service completes monthly and annual comparisons of infection rates for types of infections.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in place are appropriate to the size and complexity of the facility.  Infection control internal audits have been completed.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current policies that reflect best practice and meet the restraint minimisation standard around restraints and enablers.  The clinical services manager and RN share the restraint coordinator role, and both have a job description that defines the role and responsibilities.  No residents were using enablers or restraints on the day of audit.   Restraint is used as a last resort.  The restraint committee meets six monthly and includes a resident advocate.  The service has been restraint free since November 2019.   Staff complete restraint minimisation education and questionnaires last in April 2021.  Internal audits are completed.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2326"/>
        <w:gridCol w:w="842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proactive in developing quality improvements that focus on quality of care and services including nurse practitioner led clinics and management of unintentional weight loss.  The service engages relevant specialists and receive industry updates on best practice for dementia care and facility upgrades/development.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Due to GP shortage and a GP resignation the service sought a solution to provide medical care for its residents that did not involve transporting residents off site, taking staff off site, ensuring consistent medical care and immediate availability of medical notes/follow-up for residents of concern.  A prescribing nurse practitioner (NP) was contracted through a medical centre for two hours a week.  The NP holds clinics at a time the clinical services manager is on duty proving continuity of medical care and information.  The NP completes all admission visits, three monthly reviews, medication reviews, tests and investigations, holds discussions with family, activates EPOAs and sees any residents of concern.  NP clinic notes are completed at the time of examination and held on site.  The NP is prompt in answering any calls, emails regarding RN resident concerns and is available to visit at other times.  Currently there are 56% of residents enrolled directly with the NP and new residents are encouraged to enrol with the NP.  Residents and family members interviewed were very happy with the NP medical care.  On-site clinics ensure the residents wellbeing/vulnerability is protected by not being exposed to GP waiting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(2) A project for the prevention of unintentional weight loss was commenced September 2020.  The aim was to identify reasons why residents were losing weight and monitor the impact of increasing food portions rather than nutritional interventions in the way of supplementary drinks.  A three-month weight data of residents identified commonalities and trends.  There was analysis of residents with weight loss variables including behaviours, medications, calibration of scales, timing of dietary supplements and meal portions.  The service researched information from a Best Practice Journal – Strategies to improve nutrition in elderly people.  The dietitian was engaged to review the weight management system and provide a report of recommendations based on findings.  Recommendations included assisting a resident with their meal if getting tired or they leave a substantial amount of the meal on their plate, regularly offer Complan (not before meals) and place glass in their hand, implement daily fluid intake records, offer variety of food at night when residents are awake, finger foods (high calorie snacks) for dementia care residents are provided in lunch boxes are kept in the fridge and offered to resident’s regularly, a list of resident’s requiring additional high calories such as sauces, cream etc is kept in the kitchen, over-the-counter supplements tried before prescription supplements and increasing the vegetable (higher nutritional value) portion of the meal.  The dietitian provided nutritional education to all care staff and the cooks.  All the recommendations have been implemented and are ongoing.  At the beginning of the project there were seven residents with unintentional weight loss on dietary supplements.  All resident weights are entered into a monthly data spread sheet and analysed for trends.  Any resident with weight loss has a short-term care plan in place with the recommended interventions.  At the time of audit there were no residents with unintentional weight loss.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(3) The business owner has consulted dementia care specialists, infection control specialists and architectural advisors for the future site developments which includes care suites, upgrade of entrance, kitchen and laundry.  The plans build in future proofing around pandemic outbreaks with a nine-bed negative pressure unit that can be used for isolation during any outbreak.  The entrance way will have an automatic temperature sensor for all those entering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DT encourages staff to reminisce with all residents.  Outings are planned and provided around interests that are meaningful to the residents.  A risk assessment is completed before each outing.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April 2019 the facility planned an outing to Te Papa in Wellington.  This was an ambitious plan which required meticulous preparation.  They took nine residents.  There was a mix of rest home and dementia unit residents.  They were accompanied by seven helpers consisting of staff and families.  One helper was designated as a hospital/emergency helper.  The extensive risk management plan covered challenging and disruptive behaviour, incontinence, mobility, storage of mobility aids, medication, first aid and emergency response, identification, lost resident, disorientation and confusion, temperature, wet weather, ear discomfort, dehydration and return flight cancelled.  They took bottled water and cups, boiled lollies, biscuits/crackers, chips, ponchos and umbrellas.  They flew to Wellington at 10 am and flew back to New Plymouth at 4.20 pm.  They used shuttles and wheelchair taxis for all transport.  They arrived at Te Papa at 11.30 am and explored the Blood, Earth, Fire exhibition.  This was followed by lunch at the Te Papa café.  They had reserved tables and there were toilets nearby.  After lunch they explored the Gallipoli - The Scale of War exhibition.  This was definitely the highlight for the residents who are still talking about it two years later.  Feedback from residents, staff and families was overwhelmingly positive.  One example of the wonderful feedback follows.  “Thank you for making this possible”.  “An exciting and special day out for them”.  “Thank you to the helpers who accompanied them down and those who stayed behind to take care of the others”.  “I was able to accompany Dad on the plane and my sister was in Wellington to be there too”.  “Some treasured times”.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Dementia Specialists Limited - Brooklands Rest Home</w:t>
    </w:r>
    <w:bookmarkEnd w:id="58"/>
    <w:r>
      <w:rPr>
        <w:rFonts w:cs="Arial"/>
        <w:sz w:val="16"/>
        <w:szCs w:val="20"/>
      </w:rPr>
      <w:tab/>
      <w:t xml:space="preserve">Date of Audit: </w:t>
    </w:r>
    <w:bookmarkStart w:id="59" w:name="AuditStartDate1"/>
    <w:r>
      <w:rPr>
        <w:rFonts w:cs="Arial"/>
        <w:sz w:val="16"/>
        <w:szCs w:val="20"/>
      </w:rPr>
      <w:t>24 May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