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Johns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2021</w:t>
      </w:r>
      <w:bookmarkEnd w:id="7"/>
      <w:r w:rsidRPr="009418D4">
        <w:rPr>
          <w:rFonts w:cs="Arial"/>
        </w:rPr>
        <w:tab/>
        <w:t xml:space="preserve">End date: </w:t>
      </w:r>
      <w:bookmarkStart w:id="8" w:name="AuditEndDate"/>
      <w:r w:rsidR="00A4268A">
        <w:rPr>
          <w:rFonts w:cs="Arial"/>
        </w:rPr>
        <w:t>22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table above states the service provides rest home level care.  The service is only certified for rest home-dementia level care, not rest home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St Johns is owned and operated by the CHT Healthcare Trust.  The service cares for up to 90 residents across three service levels (hospital, residential disability, and rest home - dementia level care).  On the day of the audit, there were 83 residents.  The unit manager oversees the service with the support of the area manager and clinical coordinator.  Residents, relatives, and the GP interviewed spoke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shortfall identified at the previous audit around taking of neurological observations if a resident has had an unwitnessed fall or a hit to the head has been addressed.</w:t>
      </w:r>
    </w:p>
    <w:p w:rsidRPr="00A4268A">
      <w:pPr>
        <w:spacing w:before="240" w:line="276" w:lineRule="auto"/>
        <w:rPr>
          <w:rFonts w:eastAsia="Calibri"/>
        </w:rPr>
      </w:pPr>
      <w:r w:rsidRPr="00A4268A">
        <w:rPr>
          <w:rFonts w:eastAsia="Calibri"/>
        </w:rPr>
        <w:t>This audit did not identify any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CHT St Johns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team includes managers along with registered nurses, health care assistants, and support staff.  </w:t>
      </w:r>
    </w:p>
    <w:p w:rsidRPr="00A4268A">
      <w:pPr>
        <w:spacing w:before="240" w:line="276" w:lineRule="auto"/>
        <w:rPr>
          <w:rFonts w:eastAsia="Calibri"/>
        </w:rPr>
      </w:pPr>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Appropriate employment processes are adhered to.  An education and training programme is established.  The roster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hospital, and dementia care residents.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reviewed meet prescribing requirements and had been reviewed at least three-monthly.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provided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BWOF certificate, and all external areas are accessible and of an appropriate standard.  There is a preventative and planned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St Johns has restraint minimisation and safe practice policies and procedures in place.  Staff receive training in restraint minimisation and challenging behaviour management.  The service had two residents using a bedrail as a restraint, and two using bedrails as enablers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(registered nurse) uses the information obtained through surveillance to determine infection control activities, resources and education needs within the facility.  A monthly infection control report is completed and forwarded to head office for analysis and benchmarking with other CHT facilities.  There have been no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interviewed included the following: one unit manager, the area manager, clinical coordinator, three registered nurses, five health care assistants from a range of suites, the chef manager, three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Managers and care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electronically.  Verbal and written complaints are documented and include any concerns identified in the resident/relative meetings and satisfaction surveys.  Two complaints have been lodged in 2021 (year-to-date) and four complaints lodged in 2020. All complaints had a documented investigation and the outcome communicated to the complainant by letter or face-to-face meetings.  Timeframes for addressing each complaint were compliant with the Health and Disability Commissioner (HDC) guidelines and corrective actions (when required)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lodged with the HDC or other external providers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and corrective actions are discussed in the quarterly quality meetings.  Interviews with residents and relatives confirmed that they feel comfortable in bringing up concerns with the registered nurses (RNs) and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using hospital level of care (including two identified as residents with a physical disability), and seven family members interviewed (six with relatives in the dementia unit and one in the hospital) stated they were kept informed of any changes in their relative. They also stated that they were informed in a timely manner when an incident had occurred.  All 18 incident forms reviewed confirmed that family were informed of an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monthly resident/relative meetings held, and speakers attend to feedback/discuss services such as food service manager.  Family newsletters are published quarterly.  There are portable phones, skype available on laptops, and Wi-Fi to encourage families and residents to maintain communication with one resident stating that this had helped them through Covid 19 lock down.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interpreters as required.  One of the relatives interviewed stated that their family members interpreted whenever that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St Johns is owned and operated by the CHT Healthcare Trust.  The service provides dementia care, hospital level care and residential disability - physical for up to 90 residents.  On the day of the audit, there were 83 residents in total. There were 17 residents requiring dementia care (a 20-bed unit), and 66 hospital level residents including six younger persons under 65 years of age at hospital level with physical disabilities.  There were no residents under a respite care or under a medical contract. Residents in the hospital, apart from the six under a residential physical disability care contract are under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CHT has an overall business/strategic plan that includes the values and vision of the organisation: compassion, companionship, care, comfort and connected.  The area manager reports to the CEO at head office, and they meet to discuss the strategic plan. This is also discussed with the unit manager with a business plan documented. Goals for the business plan 1 April to 31 March 2021 are around meaningful and activities connections with communities, having a resident focused experience, robust leadership and system stewardship, health, and safety, and ensuring efficient and effective processes. to discuss the business and organisational risk management plan. The plan has been reviewed at least quarterly as documented in the unit performance management plan with evidence of progress against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manager/registered nurse has been in the role at St Johns for 15 years with 30 years’ experience in aged care services.  The unit manager is supported by an area manager (present during the audit), who has been in the role for four years and has five years’ experience in aged care, and a clinical coordinator who has been in the role for nine years with 17 years’ experience in aged care services.  The unit manager reports to the area manager on a variety of operational issues.  The area manager visits the site fortnightly.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in excess of eight hours of professional development in the past 12 months including attending provider cluster meetings, aged care manager workshops, employment law and health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unit business/strategic plan that includes quality goals and risk management plans.  The unit manager is responsible for providing oversight of the quality programme and was able to describe the value and detail of the programme.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with all quality documents reviewed on an annual basis by area managers.  New policies or changes to policy are sent to the unit and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adverse events, incidents/accidents, infections, restraint, medications, concerns/complaints, and internal audit outcomes.  Staff interviewed confirmed they are kept informed on quality data, trends and correctives actions at the quarterly combined quality/health and safety meetings.  There are staff household meetings.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manger completes six monthly internal audits against core standards, restraint, and infection control.  Areas of non-compliance identified through quality activities are actioned for improvement.  Corrective actions have been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completed, and the results fed back to participant through newsletters and resident/relative meetings.  The 2020 results showed a high level of satisfaction over all domains with no consistently raised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There are implemented risk management and health and safety policies and procedures in place including accident and hazard management.  Health and safety is included in the combined quality/health and safety meetings.  There are three health and safety representatives.  One representative (interviewed) has completed stage two health and safety representative training and was able to describe their role as per legislation and the job description.  All new staff complete a health and safety induction including emergency situations, fire safety and safe moving and handling and there is ongoing online training for all staff annually.  Staff also have training around moving and handling annually facilitated by the physiotherapist. Hazard identification forms are implemented.  There is a current hazard register in place.  All contractors complete an induction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works with the district health board to improve practice. An example is the engagement with the POI programme which is an initiative around palliative centric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CHT internal benchmarking programme. Eighteen resident related incident reports for the last quarter 2020 and 2021 were reviewed.  All reports evidenced that family had been notified and appropriate clinical care was provided following an incident, and all neurological observations were completed for all unwitnessed falls or where a resident sustained a head injury.  Documentation including care plan interventions for prevention of incidents, was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quality/health and safety, clinical meetings, and handovers, including actions to minimise recurrence.  Staff interviewed confirmed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management confirmed an awareness of the requirement to notify relevant authorities in relation to essential notifications.  There have been two Section 31 notifications since the previous audit around an unexpected death and one unstageable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including relevant checks to validate the individual’s qualifications, experience, and veracity.  Six staff files (one clinical coordinator, two RNs, two healthcare assistants, one activity coordinator/health and safety representative) were reviewed, and these contained all relevant employment documentation and job descriptions.  Current practising certificates were sighted for the RNs, and allied health professionals.  All staff signed a code of conduct, code of confidentiality and information technology policy.  Performance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Two new staff employed since the last audit confirmed that they had a comprehensive orientation audit including being located with a buddy who supported them at all times during the first week.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an external on-line training programme for most training with this programme offering the compulsory education requirements.  There are additional on-site clinical in-services and external education offered.  Staff individual records of training is maintained.  Staff complete competencies relevant to their role including medication, hand hygiene and safe manual handling.  CareerForce assessors support health care assistants (HCAs) progress through the CareerForce units.  There are 18 HCAs who work in the dementia suites.  Twelve HCAs work in the dementia unit and all have completed dementia unit standards, bar one who is new to the service. Overall, there are 25 HCAs who have completed level 4 training CareerForce, 14 who have completed level three training, two with level 2 and 17 with level 1 training.   Nine of the twelve RNs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have the opportunity to attend nurse specialist study days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organisational policy outlines on call requirements, skill mix, staffing ratios and rostering for facilities.  The unit manager and clinical coordinator work fulltime Monday to Friday and are on call 24/7.  They are supported by an area manager and 12 registered nurses.  The service is actively recruiting for casual RNs and HCAs to cover for periods of leave/sickness.  The same bureau nurses are requested to cover for RN leave.  Interviews with residents and relatives indicated there are generally sufficient staff to meet resident needs.  The registered nurse on each shift is aware that staff working short shifts or float shifts can be extended to meet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11 suites.  Suites 1-5 have eight beds each, suite 6 is reception/administration, suites 7, 10 and 11 (upstairs) have 10 beds and suites 8 and 9 (dementia care) have 10 beds each.  There are three unoccupied beds in the dementia units and six spread across the suites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RNs on morning shifts that are allocated to the suites as follows: one to suite 2 to 5; one to suite 1, 7, 11; one (clinical coordinator) to suite 8, 9, 10. A registered nurse is rostered from 12PM to 8.30PM and they take over from the clinical coordinator in the dementia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on the afternoon shift, and they split the suites between them. There is one RN on night shift to cover the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HCA shift in the dementia unit. There is a ‘float’ between the units in the morning (8AM-1PM) and an activities coordinator in the dementia unit (1PM to 7PM).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in the 10 bed suites (7, 11, 10), there is one HCA and a ‘float’ from 8AM to 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suites 1–5 (eight beds each suite), there is an HCA in each in the morning with three ‘floats’ (8AM to 1PM).  All hospital suites have an allocated HCA with two ‘floats’ on a short shift between allocated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people are placed in suites within close proximity of each other or with other residents with ‘like’ abilities.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in use.  There are no vaccines stored on-site.  All clinical staff (RNs, med-comp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a caregiver interviewed could describe their role regarding medication administration.  The service currently uses robotics for regular medication and ‘as required’ medications.  All medications are checked on delivery against the medication chart on the electronic system and any discrepancies are fed back to the supplying pharmacy.  Medications were appropriately stored in the facility medication room.  The medication fridge and medication room temperatures are monitored daily, and the temperatures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Twelve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CHT St Johns are all prepared and cooked on site.  The kitchen was observed to be clean, well-organised and a current approved food control plan was in evidence.  There is a four-weekly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chef manager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servery.  Cleaning schedules are maintained.  Staff were observed assisting residents with meals in the dining rooms and modified utensils are available for residents to maintain independence with meals.  Food services staff have all completed food safety and hygiene courses.  There is a food control plan expiring 7 April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 based wound log and the Vcare system.  There were 15 ongoing wounds including four lesions, seven skin tears, one chronic ulcer, one haematoma, a stage one and a stage two pressure injury.  There service has access to a wound nurse specialist as required for input and advice as required and this was in evidence with the chronic ulcer.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sighted included (but are not limited to), vital signs, blood glucose, pain, food, and fluid, turning charts, bowel monitoring and behaviour monitoring.  All monitoring requirements including neurological observations had been documented as required.  Documentation related to nine incidents where a resident had had an unwitnessed fall confirmed that neurological observations had been taken as per policy. The shortfall identified at the previous certification audit around documentation of neurological observations following unwitnessed falls or if a resident has hit their head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updated as residents’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activity coordinators who provide a seven-day programme across all care levels.  A company diversional therapist (DT) oversees the activity programmes.  The activity coordinators attend CHT workshops and on-site in-services.  Of the three activities coordinators interviewed on day of audit, one was a qualified DT, and one was working towards their DT qualifications.  All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includes CHT minimum requirements for the activities programme, including themed cultural events.  Activities programmes are displayed on noticeboards around the facility and a monthly calendar is delivered to each individual resident.  Activities are delivered to meet the cognitive, physical, intellectual and emotional needs of the residents.  One-on-one time is spent with residents who are unable to actively participate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individual and small group activities were observed occurring in the care units at various times throughout the day of audit.  Entertainment and outings are scheduled weekly.  Community visitors are included in the programme.  Residents are assessed, and with family involvement if applicable, and likes, dislikes, and hobbies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An activity plan is developed, and the resident is encouraged to join in activities that are appropriate and meaningful.  A resident attendance list is maintained for activities, entertainment, and outings.  Resident meetings are held monthly, and family are invited to attend.  There is an opportunity to provide feedback on activities at the meetings and six-monthly reviews.  Resident and relative surveys also provide feedback on the activity programme.  Residents interviewed spoke positively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and care plan review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Five long-term care files sampled of permanent residents contained written evaluations completed six-monthly.  The other one file was a relatively new admission and was not due for evaluation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Family are invited to attend review meetings (correspondence noted in files reviewed).  The GP reviews the resident at least three monthly and more frequently for residents with more complex problems.  Ongoing nursing evaluations occur daily and/or as required and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19 October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next checks being due October 2021.  Items of medical equipment are calibrated annually and are next due to be checked August 2021.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decked areas and gardens are well maintained.  All outdoor areas have attractive features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centrally from CHT head office.  Effective monitoring is the responsibility of the infection control nurse (RN).  An individual infection report form is completed for each infection.  Data is logged into an electronic system, which gives a monthly infection summary.  This summary is then discussed at the RN meeting and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overall effectiveness of the surveillance program is evaluated annually by the CHT infection control committee.  All meetings held at CHT St Johns include discussion on infection prevention control.  The infection control programme is incorporated into the internal audit programme.  Infection rates are benchmarked across the organisation and are analysed at site level using Vcare.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Covid-19 strategy and pandemic plan was available to staff on site with links to education and associated resources relating to hand hygiene, PPE and donning/doffing procedures.  Covid-19 education was also provided for all residents, including hand hygiene and use of PPE, these details being passed on to families via email, skype and in writing.  During Covid lockdown the service implemented weekly staff briefings which allowed for updates, education and discussion.   All visitors are required to provide contact tracing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two residents using bedrails as a restraint and two using a bedrail as an enabler.  Consents were appropriately signed; assessments were completed, and risks were identified for the residents using restraints.  Staff receive training/education on restraint/enablers and restraint is discussed as part of the quality, health and safety meetings and the clinical and staff meetings.  A registered nurse is the designated restraint coordinator. They have been in the role for 15 years.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Johns</w:t>
    </w:r>
    <w:bookmarkEnd w:id="58"/>
    <w:r>
      <w:rPr>
        <w:rFonts w:cs="Arial"/>
        <w:sz w:val="16"/>
        <w:szCs w:val="20"/>
      </w:rPr>
      <w:tab/>
      <w:t xml:space="preserve">Date of Audit: </w:t>
    </w:r>
    <w:bookmarkStart w:id="59" w:name="AuditStartDate1"/>
    <w:r>
      <w:rPr>
        <w:rFonts w:cs="Arial"/>
        <w:sz w:val="16"/>
        <w:szCs w:val="20"/>
      </w:rPr>
      <w:t>22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