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Bainfield Park Residential Care Limited - Bainfield Park Residential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Bainfield Park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Bainfield Park Residential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Rest home care (excluding dementia care); Residential disability services - Physical;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May 2021</w:t>
      </w:r>
      <w:bookmarkEnd w:id="7"/>
      <w:r w:rsidRPr="009418D4">
        <w:rPr>
          <w:rFonts w:cs="Arial"/>
        </w:rPr>
        <w:tab/>
        <w:t xml:space="preserve">End date: </w:t>
      </w:r>
      <w:bookmarkStart w:id="8" w:name="AuditEndDate"/>
      <w:r w:rsidR="00A4268A">
        <w:rPr>
          <w:rFonts w:cs="Arial"/>
        </w:rPr>
        <w:t>25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Bainfield Park provides residential services for people with physical, intellectual and sensory disabilities and residents requiring rest home level care for up to 57 residents.  There were 49 residents during the audit.</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relatives, management, staff and a general practitioner.  </w:t>
      </w:r>
    </w:p>
    <w:p w:rsidRPr="00A4268A">
      <w:pPr>
        <w:spacing w:before="240" w:line="276" w:lineRule="auto"/>
        <w:rPr>
          <w:rFonts w:eastAsia="Calibri"/>
        </w:rPr>
      </w:pPr>
      <w:r w:rsidRPr="00A4268A">
        <w:rPr>
          <w:rFonts w:eastAsia="Calibri"/>
        </w:rPr>
        <w:t>The service is managed by an appropriately qualified and experienced general manager who has been in the role since September 2017.  She is supported by a clinical nurse manager.  There are quality systems and processes being implemented.  Feedback from residents was very positive about the care and service provided.</w:t>
      </w:r>
    </w:p>
    <w:p w:rsidRPr="00A4268A">
      <w:pPr>
        <w:spacing w:before="240" w:line="276" w:lineRule="auto"/>
        <w:rPr>
          <w:rFonts w:eastAsia="Calibri"/>
        </w:rPr>
      </w:pPr>
      <w:r w:rsidRPr="00A4268A">
        <w:rPr>
          <w:rFonts w:eastAsia="Calibri"/>
        </w:rPr>
        <w:t>This certification audit identified that improvements are required in relation to health and safety, water temperature monitoring, first aid/CPR training, and medication management.</w:t>
      </w:r>
    </w:p>
    <w:p w:rsidRPr="00A4268A">
      <w:pPr>
        <w:spacing w:before="240" w:line="276" w:lineRule="auto"/>
        <w:rPr>
          <w:rFonts w:eastAsia="Calibri"/>
        </w:rPr>
      </w:pPr>
      <w:r w:rsidRPr="00A4268A">
        <w:rPr>
          <w:rFonts w:eastAsia="Calibri"/>
        </w:rPr>
        <w:t>An area of continuous improvement has been awarded for the healthy lifestyles programme that is being implemented.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The staff at Bainfield Park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Staff interviewed were familiar with processes around informed consent.  Complaints policies and procedures meet requirements and residents interviewed were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board provides a governance role.  Services are planned, coordinated and are appropriate to the needs of the residents.  A general manager and clinical nurse manager are responsible for day-to-day operations.  Goals are documented for the service with evidence of regular reviews.  A quality and risk management programme are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 xml:space="preserve">There is a roster in place.  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and families interviewed expressed satisfaction with all areas of care delivery, including the activities programme and communication with them and their families.  Rest home residents have interRAI assessments.  Resident plans are individualised, goal orientated, up-to-date and reflect current service delivery requirements for each resident.  Residents are assessed prior to entry and a series of baseline assessments are completed at admission.  Input from both the residents and family/whānau is evident in all areas of service delivery.  </w:t>
      </w:r>
    </w:p>
    <w:p w:rsidRPr="00A4268A" w:rsidP="00621629">
      <w:pPr>
        <w:spacing w:before="240" w:line="276" w:lineRule="auto"/>
        <w:rPr>
          <w:rFonts w:eastAsia="Calibri"/>
        </w:rPr>
      </w:pPr>
      <w:r w:rsidRPr="00A4268A">
        <w:rPr>
          <w:rFonts w:eastAsia="Calibri"/>
        </w:rPr>
        <w:t xml:space="preserve">There are five staff involved in the activities programme; a full-time activities coordinator Monday to Friday with the other team members providing an evening and weekend programme.  There are a range of planned activities to meet the residents assessed needs and abilities and their personal goals.  There is significant community engagement evident. </w:t>
      </w:r>
    </w:p>
    <w:p w:rsidRPr="00A4268A" w:rsidP="00621629">
      <w:pPr>
        <w:spacing w:before="240" w:line="276" w:lineRule="auto"/>
        <w:rPr>
          <w:rFonts w:eastAsia="Calibri"/>
        </w:rPr>
      </w:pPr>
      <w:r w:rsidRPr="00A4268A">
        <w:rPr>
          <w:rFonts w:eastAsia="Calibri"/>
        </w:rPr>
        <w:t xml:space="preserve">Care plans are evaluated at least six-monthly and personal goals are reviewed at least six-monthly.  The files reviewed demonstrate integration of allied health and a team approach is evident.  There is an implemented an electronic medication management system.  There are medication management policies that direct staff in terms of their responsibilities in each stage of medication management.  Competencies are completed.  Medication profiles are up to date and reviewed by the general practitioner three-monthly or earlier if necessary.  </w:t>
      </w:r>
    </w:p>
    <w:p w:rsidRPr="00A4268A" w:rsidP="00621629">
      <w:pPr>
        <w:spacing w:before="240" w:line="276" w:lineRule="auto"/>
        <w:rPr>
          <w:rFonts w:eastAsia="Calibri"/>
        </w:rPr>
      </w:pPr>
      <w:r w:rsidRPr="00A4268A">
        <w:rPr>
          <w:rFonts w:eastAsia="Calibri"/>
        </w:rPr>
        <w:t xml:space="preserve">Residents’ nutritional needs are assessed on admission and individual dietary needs including allergies are identified and accommodated.  Staff have attended food safety and hygiene training.  Menus are reviewed by a dietitian and residents spoke positively about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Bainfield Park has a current building warrant of fitness.  Reactive and preventative maintenance is carried out.  Chemicals are stored securely, and staff are provided with personal protective equipment.  Residents’ rooms are of sufficient space to allow services to be provided and for the safe use and manoeuvring of mobility aids.  There are sufficient communal areas within the facility including lounge and dining areas, and small seating areas.  There is a designated laundry.  The service has implemented policies and procedures for civil defence and other emergencies and six-monthly fire drills are conducted.  External garden areas are available with suitable pathways, seating and shade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actively minimises the use of restraint.  All staff receive training on restraint minimisation and management of behaviours that challenge.  There were eight residents using lap belts in their wheelchairs as enablers and no residents were using restraint.  Enabler use is voluntary.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comprehensive suite of infection prevention and control policies, procedures and a monitoring system in place.  The infection prevention and control team monitor and report infections through the infection prevention and control surveillance programme.  Standardised definitions are used for the identification and classification of infection events.  The information gathered is analysed for trends and these are discussed at staff meetings.  There is an ongoing training programme for staff and information about infection prevention and control is shared with residents regularly.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0"/>
        <w:gridCol w:w="1280"/>
        <w:gridCol w:w="94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(HDC) Code of Health and Disability Consumers’ Rights (the Code) policy and procedure is implemented.  Interviews with ten residents (three rest home level; one long term services – chronic health conditions [LTS-CHC]; four young persons with a disability [YPD], two physical disability [PD], two intellectual disability [ID]); two ACC (traumatic brain injuries [TBI]), confirmed knowledge of and acknowledged services were being provided in line with the Code.  Three families interviewed (one rest home, two ID) also confirmed knowledge of the Code and the rights therein.  Aspects of the Code are discussed at staff and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Bainfield Park has established informed consent policies/procedures.  The seven resident files reviewed (one aged care, one physical disability, one ACC, one mental health, one respite, one long-term chronic health and one intellectual disability) has signed admission agreements, informed consents and enduring powers of attorney.  Resuscitation status had been signed appropriately.  Residents interviewed confirmed staff ask permission prior to attending to cares, this was observed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family/whānau, are provided with appropriate information to make informed choices/decisions.  The Bainfield Park management staff are committed to meeting the requirements of the Code of Health and Disability Services Consumers Rights.  The care assistants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a Health and Disability Advocacy Service is available.  Residents have a named advocate if they cannot self-advocate.  Contact numbers for advocacy services are included in the policy, in the resident information folder and in advocacy pamphlets that are available in each lounge.  External advocacy services (e.g., age concern, citizens advice bureau) can and are utilised.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that they are aware of the process to access advocates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that visiting can occur at any time, although most happen during the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verified that they have been supported and are encouraged to remain involved in the community.  Vocational services are undertaken by some residents at Southland Disability Enterprises or Bainfield Organic Gardens (planting and weeding activities).  A selection of residents choose to attend Rotary Club, Rata House, the Salvation Army and the Blind Foundation meetings and social activities.  Community based mental health programmes provide recreational, educational and therapeutic support for residents with mental health.  IDEA services provide a voluntary friend programme for residents with intellectual disabilities. </w:t>
            </w:r>
          </w:p>
          <w:p w:rsidR="00EB7645" w:rsidRPr="00BE00C7" w:rsidP="00BE00C7">
            <w:pPr>
              <w:pStyle w:val="OutcomeDescription"/>
              <w:spacing w:before="120" w:after="120"/>
              <w:rPr>
                <w:rFonts w:cs="Arial"/>
                <w:b w:val="0"/>
                <w:lang w:eastAsia="en-NZ"/>
              </w:rPr>
            </w:pPr>
            <w:r w:rsidRPr="00BE00C7">
              <w:rPr>
                <w:rFonts w:cs="Arial"/>
                <w:b w:val="0"/>
                <w:lang w:eastAsia="en-NZ"/>
              </w:rPr>
              <w:t>Families are invited to attend specific events (e.g., a Christmas gathering which is held in the activities room).  A family survey is conducted yearly.  The general manager meets regularly with family representatives.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family/whānau are provided with information on admission.  Complaint forms are available with an explanation of the complaints process at reception.  The residents interviewed confirmed their awareness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One complaint was lodged in 2020 and one in 2021 (year-to-date).  Both complaints were addressed in a comprehensive and timely manner, meeting requirements determined by HDC.  They are both documented as resolved with evidence sighted of corrective actions taken.  Residents and family advised that they are aware of the complaints procedure and would feel comfortable lodging a complaint if necessary.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and their families that include the Code, complaints and advocacy services.  A variety of communication options are available for residents with limited reading skills or sight impairment via verbal, audio-tapes, braille, illustrations and interpreters.  Information is also given to the families regarding enduring power of attorney (EPOA) to read to and discuss with the resident.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identified they are well-informed about the Code.  The Code and advocacy service information is prominently displayed near the entry to the facility.  Regular resident meetings and surveys provide the opportunity to raise concerns.  Residents and family members interviewed are familiar with the process to obtain advocacy services if required.  Advocacy agencies and their contact details are posted in visible locations such as in the lounges (e.g., age concern, citizens’ advice bureau).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advised their personal privacy is respected, with staff knocking before entering their room.  Residents move freely about the facility and were observed to be respectful of their fellow residents’ personal bedroom spaces.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worship service is held weekly that is available to residents of faith.  Several residents attend community church services and other church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advised that staff encourage and support them to be as independent as they are able.  Residents interviewed reported that they are able to choose to engage in the many activities in-house, and they are able to access numerous community resources either as part of a group or individually (e.g., library, movies, cafés, Salvation Army).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privacy of the residents’ personal information is protected and respected.  Staff interviewed were able to describe the procedures for maintaining confidentiality of resident records, resident’s privacy and dignity.  House rules are agreed to by staff at commencement of employment.  There is an abuse and neglect policy and staff education and training on abuse and neglect is upheld.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residents that identify as Māori, but they have not identified any specific cultural needs.  The relative of one resident who identifies as Māori advised that they are happy that the service is able to provide for the resident’s cultural needs should they ask.  The service has a Māori heath policy and an individual’s values and beliefs policy which includes cultural safety and awareness.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staff confirmed their understanding of the different cultural needs of residents and their whānau.  The service has established links with the Māori health directorate from the Southern District Health Board (SDHB) for advice and support as the iwi, Ngai Tahu, has limited personnel available for community liaison.  Staff confirmed they are aware of the need to respond appropriately to maintain cultural safety.  Staff attend cultural training as part of the regular in-service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aware of residents’ needs, values and beliefs, as most of the residents have lived at Bainfield Park for a number of years, and they are recorded in the resident’s care plan.  Collaboration with family/whānau on the cultural needs, values and beliefs of the resident is undertaken at entry to the service and incorporated into the care plan if agreed to by the resident.  Interviews confirmed the residents’ needs are accommodated and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advised that staff are responsive to individual needs,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recognises that every resident is an individual and as such has different needs in relation to ethnicity, spirituality, disability, gender, sexual orientation, social status and age.  Any links with the community or special interest groups that the resident wishes to maintain or develop are also recorded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In-house spiritual meetings are held weekly in a room away from the main lounge area and the residents have the right to choose whether or not they attend.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Bainfield Park encourages open communication between staff, families and residents to promote identification of any concerns.  The family members interviewed spoke of an “open door” policy and that the manager and senior staff are very approachable and accessible.  Every resident interviewed named the senior staff member who they would speak with in the first instance if they had a problem and that the staff “listen”.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Bainfield Park is a unique residential facility that caters for residents with a range of disabilities.  Evidence-based practice is evident, promoting and encouraging good practice.  The service strives to provide for the range of residents’ needs.  Residents are treated as individuals and the service encourages normalisation and programmes that focus on maintaining the residents’ independence and choice.   </w:t>
            </w:r>
          </w:p>
          <w:p w:rsidR="00EB7645" w:rsidRPr="00BE00C7" w:rsidP="00BE00C7">
            <w:pPr>
              <w:pStyle w:val="OutcomeDescription"/>
              <w:spacing w:before="120" w:after="120"/>
              <w:rPr>
                <w:rFonts w:cs="Arial"/>
                <w:b w:val="0"/>
                <w:lang w:eastAsia="en-NZ"/>
              </w:rPr>
            </w:pPr>
            <w:r w:rsidRPr="00BE00C7">
              <w:rPr>
                <w:rFonts w:cs="Arial"/>
                <w:b w:val="0"/>
                <w:lang w:eastAsia="en-NZ"/>
              </w:rPr>
              <w:t>Nursing and care assistant staff are experienced with either an RN or an EN on site 24 hours a day, seven days a week.  Care assistants are encouraged to complete Careerforce education and training programmes to upskill, with seven staff currently enrolled at various stages of the programme.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online quality management and resident care system (Healthcare Compliance Solutions Ltd) (HCSL).  Electronic medication management is also in place (Medimap).  An e-learning platform compliments the in-service training programme for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care and support provided.  Staff have a sound understanding of principles of aged care and disability support and stated that they feel supported by the GM and clinical nurse manager.   </w:t>
            </w:r>
          </w:p>
          <w:p w:rsidR="00EB7645" w:rsidRPr="00BE00C7" w:rsidP="00BE00C7">
            <w:pPr>
              <w:pStyle w:val="OutcomeDescription"/>
              <w:spacing w:before="120" w:after="120"/>
              <w:rPr>
                <w:rFonts w:cs="Arial"/>
                <w:b w:val="0"/>
                <w:lang w:eastAsia="en-NZ"/>
              </w:rPr>
            </w:pPr>
            <w:r w:rsidRPr="00BE00C7">
              <w:rPr>
                <w:rFonts w:cs="Arial"/>
                <w:b w:val="0"/>
                <w:lang w:eastAsia="en-NZ"/>
              </w:rPr>
              <w:t>A rating of continuous improvement has been awarded in relation to the healthy lifestyles programme that is implemented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packs, provided to residents and their families when entering Bainfield Park, are comprehensive and include information about aged care and non-aged care (as appropriate for the individual) relating to long-term residential care from the Ministry of Health, and separate information for those with intellectual, physical and sensory disabilities.  If residents or family/whānau have difficulty with written or spoken English, interpreter services are made available.  A braille reading device is available if required.  Communication needs are documented in the residents’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advised that they are kept informed via a monthly schedule sheet about activities, such as the daily exercise class, cooking, card making, paper machine, knitting, jigsaw puzzles, and outings.  The residents, who so choose, take part in regular resident meetings where suggestions on activities and discussions about issues within the facility are raised, along with reminders about wellness/health and safety.  Residents interviewed confirmed that they are kept informed of changes in their health status and of any adverse events involving them.  This was also confirmed in review of ten accident/incident forms.  Families are kept informed with the resident’s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open-door policy for communication with the general manager.  Family members interviewed confirmed they are always rung by senior staff about the result of the three-monthly doctor’s visits.  Family members spoken with are happy to complete the regular surveys.  They all advised they are very happy with the care their relative receives at Bainfield Park.  </w:t>
            </w:r>
          </w:p>
          <w:p w:rsidR="00EB7645" w:rsidRPr="00BE00C7" w:rsidP="00BE00C7">
            <w:pPr>
              <w:pStyle w:val="OutcomeDescription"/>
              <w:spacing w:before="120" w:after="120"/>
              <w:rPr>
                <w:rFonts w:cs="Arial"/>
                <w:b w:val="0"/>
                <w:lang w:eastAsia="en-NZ"/>
              </w:rPr>
            </w:pPr>
            <w:r w:rsidRPr="00BE00C7">
              <w:rPr>
                <w:rFonts w:cs="Arial"/>
                <w:b w:val="0"/>
                <w:lang w:eastAsia="en-NZ"/>
              </w:rPr>
              <w:t>Communication with families has been strengthened, due to necessity throughout the Covid-19 visiting restrictions, by the use of platforms such as skype or zoom.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Bainfield Park provides residential services for people with physical, intellectual and sensory disabilities; and residential services for older persons requiring rest home level care.  The service is governed by a Trust with a board of directors that oversee the Trust.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49 of the 57 available beds were occupied.  This included 13 rest home level residents (7 aged related care, 6 long term chronic conditions), 29 residential disability residents (8 with physical disabilities, 19 with intellectual disabilities, 2 respite (physical disability), 4 residents funded under mental health contracts with the DHB and 3 residents funded by ACC.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led by a general manager (GM) who is a registered nurse.  She has been in this role since September 2017.  Previous experience includes a senior management role with the Southern District Health Board with a portfolio that included district nursing services and older persons health.  She is supported by a long-serving clinical nurse manager (CNM) and a team of RNs and 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are documented in the business plan and the strategic direction is discussed at board level.  The GM provides regular reports to the board.  Goals are regularly reviewed both at a governance level and at an operational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CNM have maintained at least eight hours annually of professional development activities related to their roles at this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manager reported that in the event of her temporary absence the clinical nurse manager fills her role.  A senior RN covers for the clinical nurse manager in her absence with additional support provided by the GM.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(2021) is being implemented, which is complimented by a quality plan (2021).  Quality portfolios have been developed and delegated to the shift supervisors (RNs and ENs) with the overall quality programme overseen by the quality coordinator/enrolled nurse (EN).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Bainfield Park has purchased and implemented Health Compliance Solutions Ltd (HCSL), a quality assurance system for aged residential care.  A system for document control is being implemented.  Policies and procedures are in an electronic format and are reviewed two yearly at a minimum.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processes on HCSL capture and manage areas identified for improvements.  This includes (but is not limited to) an internal auditing programme, health and safety, adverse event and infection control data collection and management, satisfaction survey results and complaints management.  Findings are discussed in the applicable meetings (e.g., monthly staff meetings, monthly clinical (RN/EN) meetings, quarterly residents’ meetings, quarterly health and safety meetings).  Corrective action plans are developed, implemented and signed off when service shortfalls are identified with examples provided (e.g., documentation of continence/toileting outputs, medication room temperatures, donning personal protective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health and safety officer (quality coordinator/EN) who leads the health and safety programme.  All staff complete an annual health and safety competency questionnaire every year.  Missing was evidence to indicate that contractors are provided with a site induction relevant to health and safety.  The hazard register is monitored to ensure controls are in place.  A health and safety audit is conducted six-monthly.  Results are discussed in the health and safety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surveys are conducted electronically using survey monkey.  Data is collated, analysed and used for service improvements and 2020 survey results indicate that 90% are satisfied with the service and 10% rank the service as fair.  No respondents indicated that the service was poor.  Results are minuted as being discussed in staff meetings.  Corrective actions are implemented where improvements are identified with one example provided around ensuring staff are polite when speaking with residents.  One improvement noted when comparing the 2020 to 2019 survey results is in relation to residents feeling safe around other residents.  A healthy lifestyle survey was also completed in 2020 (link CI 1.1.8.1).</w:t>
            </w:r>
          </w:p>
          <w:p w:rsidR="00EB7645" w:rsidRPr="00BE00C7" w:rsidP="00BE00C7">
            <w:pPr>
              <w:pStyle w:val="OutcomeDescription"/>
              <w:spacing w:before="120" w:after="120"/>
              <w:rPr>
                <w:rFonts w:cs="Arial"/>
                <w:b w:val="0"/>
                <w:lang w:eastAsia="en-NZ"/>
              </w:rPr>
            </w:pPr>
            <w:r w:rsidRPr="00BE00C7">
              <w:rPr>
                <w:rFonts w:cs="Arial"/>
                <w:b w:val="0"/>
                <w:lang w:eastAsia="en-NZ"/>
              </w:rPr>
              <w:t>Initiatives are in place around managing residents with challenging behaviours.  Falls prevention strategies are also being implemented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incident/accident forms (skin tears; witnessed and unwitnessed falls, medication error, challenging behaviours, bruising) identified that the incident/accident forms are fully completed and include follow-up by a registered nurse.  Neurological observations are completed in a consistent manner for residents who experience an unwitnessed fall or sustain an injury to their head.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CNM were able to identify situations that would be reported to statutory authorities.  There have been no outbreaks since the previous audit.  A Section 31 report has been completed for a stage four pressure injury, two assaults, and two coroner inquests for unexpected deaths.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include the recruitment and staff selection process.  Relevant checks are completed to validate the individual’s qualifications, experience and veracity.  A register of current practising certificates is maintained.  Seven staff files reviewed (three care assistants, one RN, one EN, one activities coordinator and one housekeeper) evidenced that reference checks are completed before employment is offered.  Also sighted were signed employment agreements and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Care staff complete an orientation programme that includes assessing their competency prior to working independently with the residents.  Staff education and training includes regular in-services and annual competency assessments around a range of skills including (but not limited to) medication management, manual handling, observations and recordings, health and safety, infection control, restraint minimisation and managing challenging behaviours.  Education provided covers topics relevant to young people with physical disabilities.  </w:t>
            </w:r>
          </w:p>
          <w:p w:rsidR="00EB7645" w:rsidRPr="00BE00C7" w:rsidP="00BE00C7">
            <w:pPr>
              <w:pStyle w:val="OutcomeDescription"/>
              <w:spacing w:before="120" w:after="120"/>
              <w:rPr>
                <w:rFonts w:cs="Arial"/>
                <w:b w:val="0"/>
                <w:lang w:eastAsia="en-NZ"/>
              </w:rPr>
            </w:pPr>
            <w:r w:rsidRPr="00BE00C7">
              <w:rPr>
                <w:rFonts w:cs="Arial"/>
                <w:b w:val="0"/>
                <w:lang w:eastAsia="en-NZ"/>
              </w:rPr>
              <w:t>Kitchen staff have completed their food safety training on site.  Chemical safety training is included in staff orientation and as a regular in-service topic.  One RN (CNM) has completed her interRAI training.  All ENs, RNs and activities staff hold current first aid/CPR certificates.  Missing was evidence of care assistants with current first aid/CPR certificates who take residents out on weekend outings (link 1.4.7.1).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CNM work Monday – Friday with the CNM off every second Friday (with RN relief cover).  There is a documented rationale for staffing the services.  Every shift has two shift supervisors (one on each wing) who is either an RN or an EN.  There is also an on-call roster with a registered nurse (staff RN or clinical nurse manager)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Maitai wing, with 29 residents (thirteen rest home, three mental health, one ACC, seven intellectual disability, four physical disability, one respite/physical disability) is staffed with one shift supervisor and two care assistants on the AM shift (one long and one short (0700-1300).  The PM shift is staffed with two care assistants (one full shift and one short shift 1700-2200) and one shift supervisor who splits their time between Maitai wing and Kiwi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Kiwi wing, with 20 residents (one respite, one mental health, twelve intellectual disability, four physical disability, two on ACC) is staffed with one shift supervisor and a short shift care assistant (0700-1300).  The PM shift is staffed with two care assistants (one long and one short (1430- 2100) and a shift supervisor who is also covering Maitai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residents in two separate flats that are located adjacent to the facility (one YPD/ID and one boarder).  Staff in the Kiwi wing are rostered to cover residents in the flats if needed.  The YPD resident has been assessed as safe to live in a flatting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night shift is staffed with one shift supervisor and two care assistants.  There are separate cleaning and laundry staff rostered seven days a week.  Activities staff are rostered Monday – Friday from 0830-1600.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interviewed confirmed that staffing levels are adequate.  Residents confirmed that their call bell is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track records.  Files and relevant resident care and support information is readily accessible in an electronic format with individual password protection.</w:t>
            </w:r>
          </w:p>
          <w:p w:rsidR="00EB7645" w:rsidRPr="00BE00C7" w:rsidP="00BE00C7">
            <w:pPr>
              <w:pStyle w:val="OutcomeDescription"/>
              <w:spacing w:before="120" w:after="120"/>
              <w:rPr>
                <w:rFonts w:cs="Arial"/>
                <w:b w:val="0"/>
                <w:lang w:eastAsia="en-NZ"/>
              </w:rPr>
            </w:pPr>
            <w:r w:rsidRPr="00BE00C7">
              <w:rPr>
                <w:rFonts w:cs="Arial"/>
                <w:b w:val="0"/>
                <w:lang w:eastAsia="en-NZ"/>
              </w:rPr>
              <w:t>Hard copy resident files are stored where they cannot be accessed by people not authorised to do so.  Resident files reflect service integration.  Back-ups are undertaken using cloud-based technology.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staff member including their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entry to service policies and procedures for residents admitted to Bainfield Park.  Residents, family/whānau/enduring power of attorneys (EPOAs) receive a copy of the Code, including advocacy and the complaints procedure.  In the files reviewed there were signed admission agreements, completed demographic details, and assessments in accordance with contractual requirements.  The GM and CNM work with referrers, families and potential residents to ensure that residents enter the service appropriately.  Potential residents have a needs assessment completed by needs assessment service coordinators (NASC) and are welcomed with their family/whānau (where able) to visit and look around Bainfield Park.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as per policy.  In the RN/EN interview it was confirmed that follow-up contact with referral services would be made to ensure they receive the transfer documents and handover.  At the time of transition appropriate information is provided to the person/facility responsible for the ongoing management of the resident.  All referrals are recorded in the progress notes.  Residents and family/whānau are supported to access or seek referral to other health and/or disability service providers when required or if the need for other non-urgent services is indicated or requested.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electronic medication management system.  The 14 medication charts reviewed met the requirements including allergies or no allergies recorded and photograph identification.  All were reviewed three-monthly by the GP.  All PRN ‘as required’ medications are charted and have indications for use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seven of the 14 medication files, outcomes are not recorded each time PRN ‘as required’ medication was given.  The staff administering medication have a competency assessment and have had recent training.  A shift supervisor/EN was observed safely and correctly 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self-medicating residents on the day of the audit.  These residents did not have a self-medicating agreement in place or appropriate storage in their room.  The medication fridges are required to have daily temperature checks, these were not completed each day of the current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stored appropriately.  There were no expired medications on site and eye drops were dated when opened.  Medications are reconciled against the doctor's medication profile on arrival from the pharmacy by an RN.  Pharmacy errors are regarded and recorded as an incident.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Bainfield Park are prepared and cooked on site.  Many of the residents take a packed lunch for daily work and have the lunch time meal saved and reheated for their evening meal.  Meals meet the needs of residents with varying ages and disabilities.  Supplements are provided to residents with identified weight loss issues.  Diets are modified as required.  A food control plan is approved and expires August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supervisor is supported by a cook and three kitchenhands.  All kitchen staff are suitably qualified and food safety procedures are adhered to.  On the day of the audit staff were observed assisting residents with their lunchtime meals and drinks.  There is a four-weekly winter and summer menu, which has been reviewed by a dietitian.  The menu audit was completed 9 October 2020.  Resident dietary profiles and likes and dislikes are known to kitchen staff and any changes are communicated to the kitchen via the shift supervisors.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provide feedback on the meals and food services generally at the monthly residents’ meeting.  Residents interviewed indicated satisfaction with the food service.  There is a kitchen in the activities area where residents can bake or cook if they wish or as part of the Cooking Club which is run by the AC.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Potential residents who are declined entry are recorded.  The reason for declining would be if the client did not meet the level of care provided at the facility or there are no beds available.  When a potential resident is declined entry, family/whānau are advised and the potential resident is referred back to the referral agency to ensure that they will be admitted to the appropriate service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 sampled of the rest home level resident had a current interRAI assessment with needs identified in assessments with corresponding interventions in the care plan.  The respite resident has assessments and a care plan in place.  All disability residents have at least a six-monthly assessment completed by the need’s assessment agency and goals from this assessment are included in the personal care or activity goal plans.  </w:t>
            </w:r>
          </w:p>
          <w:p w:rsidR="00EB7645" w:rsidRPr="00BE00C7" w:rsidP="00BE00C7">
            <w:pPr>
              <w:pStyle w:val="OutcomeDescription"/>
              <w:spacing w:before="120" w:after="120"/>
              <w:rPr>
                <w:rFonts w:cs="Arial"/>
                <w:b w:val="0"/>
                <w:lang w:eastAsia="en-NZ"/>
              </w:rPr>
            </w:pPr>
            <w:r w:rsidRPr="00BE00C7">
              <w:rPr>
                <w:rFonts w:cs="Arial"/>
                <w:b w:val="0"/>
                <w:lang w:eastAsia="en-NZ"/>
              </w:rPr>
              <w:t>Family/whānau and residents interviewed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Bainfield Park has recently moved from paper care plans to electronic.  Care plan development starts at admission and continues in partnership with the resident and their family/whānau.  The required timeframes are met for care plan development and evaluation.  The care plan files reviewed indicated that there is ongoing review as planned.  The care plans include goals and interventions for all identified and assessed needs.  Short-term care plans (STCPs) are used to plan for acute needs.  STCPs are either resolved or carried on to the long-term care plan if not resolved within expected timeframes.  Staff interviewed reported that they are familiar with the plans and find them easy to follow and they reflect resident wishes.  The files sampled show evidence of individualised, resident-focussed personal care and activity goal plans which promote continuity of care to meet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care plans are developed with the establishment of goals for each resident by the activity’s coordinator.  These goals include vocational and recreational goals inside and outside the facility.  Resident’s stated they feel involved at an appropriate level in the planning and management of their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and support observed and reinforced through interview with staff and residents confirmed the care provided at Bainfield Park meets the individualised needs of residents and was seen by the residents and observed on the days of the audit to be respectful.  Residents interviewed were happy with the support provided to them.  Service provision and interventions meet the needs of the residents and considers their varying needs such as aged care, physical and / or intellectual disability.  Individualised needs are described in personal care and activity plans.  The service facilitates access to other services (medical and non-medical) including the services of wound and mental health.  Access to dietitians is funded by Bainfield Park for aged care residents and the SDHB funds this service for residents with a disability.  There is adequate equipment available to meet the needs of residents.  Continence issues are documented and managed.  Bainfield Park has adequate dressing and continence supplies available with a treatment room stocked for use.  </w:t>
            </w:r>
          </w:p>
          <w:p w:rsidR="00EB7645" w:rsidRPr="00BE00C7" w:rsidP="00BE00C7">
            <w:pPr>
              <w:pStyle w:val="OutcomeDescription"/>
              <w:spacing w:before="120" w:after="120"/>
              <w:rPr>
                <w:rFonts w:cs="Arial"/>
                <w:b w:val="0"/>
                <w:lang w:eastAsia="en-NZ"/>
              </w:rPr>
            </w:pPr>
            <w:r w:rsidRPr="00BE00C7">
              <w:rPr>
                <w:rFonts w:cs="Arial"/>
                <w:b w:val="0"/>
                <w:lang w:eastAsia="en-NZ"/>
              </w:rPr>
              <w:t>On the days of the audit there were three residents with wounds (one unstageable pressure injury, one ulcer, skin tear).  There are assessments, plans and ongoing evaluations documented for all wounds.  Monitoring forms currently in use include but are not limited to; vital signs and weight, seizure charts, neurological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full time activities coordinator who has a bachelor’s degree in sport and recreation who works Monday to Friday.  Two hours each day she provides an exercise/movement programme.  There are four other staff who work in the activities programme and provide a weekend and evening programme.  With a number of residents in full or part time work the busiest part of the Bainfield Park day is the evening and weekends.</w:t>
            </w:r>
          </w:p>
          <w:p w:rsidR="00EB7645" w:rsidRPr="00BE00C7" w:rsidP="00BE00C7">
            <w:pPr>
              <w:pStyle w:val="OutcomeDescription"/>
              <w:spacing w:before="120" w:after="120"/>
              <w:rPr>
                <w:rFonts w:cs="Arial"/>
                <w:b w:val="0"/>
                <w:lang w:eastAsia="en-NZ"/>
              </w:rPr>
            </w:pPr>
            <w:r w:rsidRPr="00BE00C7">
              <w:rPr>
                <w:rFonts w:cs="Arial"/>
                <w:b w:val="0"/>
                <w:lang w:eastAsia="en-NZ"/>
              </w:rPr>
              <w:t>The general programme is planned monthly with modifications made for each individual resident, based on assessed needs and identified goals to reflect ‘normal’ daily life.  The activities coordinator develops the individual goal plans along with the resident, with a focus on recreation, employment and social outcomes.  Residents are encouraged to join in activities that are appropriate and meaningful and are encouraged to participate in community activities.  The activities coordinator stated the aim is to work with these goals to try to provide activities to suit all needs and abilities.  The individual goal plans are reviewed every six months with a complete annual review.  There is a sign off by residents, if they agree with the goals (a cross or mark if unable to actually sign off is sufficient but it is for the resident to acknowledge they understand).  The activities coordinator advised that it is easy to see if the resident is enjoying themselves because they make suggestions, take part, and display eagerness to be included.  Participation or even just attendance is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open to everyone and begins with seated “start of the day” exercises.  Other offerings are diamond art work (attaching glittering sequins to a drawing) – such a picture was very proudly shared with the consumer auditor.  Also, card making, paper mâché, painting, frisbee golf and many more.  Also included are outings for coffee, lunch, shopping, library visits, the golf driving range, cooking classes, and trips to outlying areas.  Nail painting is often done in the evenings.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Volunteers are utilised in the activities programme when they are available.  There is a van available for resident outings, with outings happening most days.  As part of the planning for the outing there is a risk assessment done on the day to ensure that there is adequate consideration of potential risks as there is only one person that accompanies the residents on outings.  Residents were observed participating in a variety of activities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with the GM monthly and provide a forum for feedback relating to activities.  Families are sent letters updating them of events and news at Bainfield Park including updates on their resident activities plan.  Residents interviewed discussed enjoyment in the programme and the diversity offered to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sent letters advising them of their resident’s activities plan.  Feedback from families is given via the surveys and families are encouraged to attend to see what the resident was doing.  </w:t>
            </w:r>
          </w:p>
          <w:p w:rsidR="00EB7645" w:rsidRPr="00BE00C7" w:rsidP="00BE00C7">
            <w:pPr>
              <w:pStyle w:val="OutcomeDescription"/>
              <w:spacing w:before="120" w:after="120"/>
              <w:rPr>
                <w:rFonts w:cs="Arial"/>
                <w:b w:val="0"/>
                <w:lang w:eastAsia="en-NZ"/>
              </w:rPr>
            </w:pPr>
            <w:r w:rsidRPr="00BE00C7">
              <w:rPr>
                <w:rFonts w:cs="Arial"/>
                <w:b w:val="0"/>
                <w:lang w:eastAsia="en-NZ"/>
              </w:rPr>
              <w:t>The Wellness/Healthy Life Styles Programme is very popular and has been beneficial for residents and staff (link CI 1.1.8.1).  A group exercise programme has been introduced to focus on falls reduction and healthier eating which has resulted in weight reductions by some residents and staff.  There have been healthier snacks introduced from the kitchen, with more fruit and savoury options.  A number of residents and staff are really excited by the programme and one resident proudly showed off the certificate which showed she had lost 2.7 kgs.  Residents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evaluated at least six-monthly and activity goal plans were reviewed at least six-monthly.  If progress is different from expected, the service, in partnership with the resident and their family, changes the care plans according to the needs of the residents and this was confirmed by the staff interviewed and sighted in the six long-term care plans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given a choice when they want to access other health services, this was confirmed by residents and family/whānau.  The RN and ENs confirmed that processes are in place to ensure that all referrals are followed up accordingly.  Referral documentation is maintained on residents’ files.  Resident files reviewed showed evidence of residents accessing other health services and specialist services from the Southern District Health Board.  The resident, family/whānau and enduring power of attorney (where activated) are kept informed of the referral process, as verified by documentation and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are labelled with manufacturer labels.  There are designated areas for storage of cleaning/laundry chemicals and chemicals are stored securely.  The chemicals are locked away when not in use.  Product use charts are available in the laundry and the hazard register identifies hazardous substances.  Gloves, aprons, and goggles are available for staff.  One laundry staff interviewed confirmed that staff have been trained in the safe handling of chemicals.  This training is provided by Ecolab.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on 3 February 2022.  Hot water temperatures are checked monthly by maintenance staff.  Water temperature records reviewed for Rimu wing identified that temperatures to resident areas had been documented on occasions above 45 degrees Celsius.  There was no documented evidence that this has been addressed.  Medical equipment and electrical appliances are tested and tagged every year.  Preventative and reactive maintenance occurs with evidence of regular monitoring and completion of internal maintenance audits.</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mobilising safely within the facility.  Ample space is available to allow for mobility aids including motorised wheelchairs.  There are sufficient seating areas throughout the facility.  The exterior has been well maintained with outdoor shaded seating, lawn and gardens.  An outdoor covered shed is available to residents who smoke.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assistants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at Bainfield Park have single rooms.  A selection of rooms have full ensuites, while other residents share toilets and showers.  There are sufficient numbers of resident toilets and showers in close proximity to resident rooms and communal areas.  Privacy signage is in place.  Visitor toilet facilities are available.  There are also two independent flats adjacent to the facility.  Each flat includes toilet and shower facilities with call bell access. Residents interviewed stated their privacy and dignity is maintained while attending to their personal cares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rooms are spacious to meet the assessed resident’s needs for sleeping and private space to undertake crafts or to have quiet time in their own space.  This includes those with age related needs and physical and intellectual disability care needs.  There is sufficient space in the rooms for staff to manoeuvre mobility aids around the bed and personal space.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beds are of an appropriate height for the residents.  The bedrooms are personalised, and much pride was often displayed when showing their rooms to the auditor.  Residents interviewed reported that they really enjoy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and one main dining room as well as four small dining rooms as well as smaller lounges around the facility.  The smaller dining rooms were put into place during Covid restrictions to maintain the required safe distancing.  They have been retained and therefore there are less smaller lounges than in the past.  The dining rooms have ample seating and maintain social distancing.  All areas are easily accessible for the residents.  The furnishings and seating are appropriate for the residents using them.  Residents interviewed reported that they are able to freely move around the facility and that staff assist them when required.  The designated activities space is large and purpose-built for various activities to take place at one time or for large gatherings with families present.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only accessible via locked door key pad entry by staff only.  The laundry of sheets and bedding is outsourced.  On site there is a large separate laundry area where all towels and personal clothing is laundered by laundry staff.  There is an area for dirty laundry and soiled clothes which is extensively cleaned.  Staff regularly attend infection control education, which begins during their orientation in the service.  There is appropriate protective clothing available (plastic aprons, disposable gloves, masks).  An Ecolab control spill kit is available and situated within easy reach.  Infection prevention and control information is displayed.  Manufacturers’ safety data Information sheets (MSDS) are contained within a folder which is clearly labelled and visible.  Chemical training will soon be available online for all staff from June/July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labelling machine was purchased at the end of 2020 which has made the identification of individuals’ clothes easier.  A sewing machine is also in the laundry for repair work.  There was a container of unlabelled clothes also found in the laundry storage area.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satisfaction with the laundry service and cleanliness of the room/facility.  The laundry processes have improved significantly since employing specific staff for laundry duties only.  Dedicated laundry staff are rostered/scheduled to work seven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approved fire evacuation plan is in place.  Fire drills are conducted every six months at a minimum.  There are emergency management plans in place to ensure health, civil defence and other emergencies are included.  A contracted service provides checking of all fire equipment.  Fire training and security situations are part of orientation of new staff.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in the event of a civil defence emergency including food, water, blankets and gas cooking.  A minimum of one person trained in first aid and cardiopulmonary resuscitation (CPR) is available at all times at the facility but the care assistants who assist with outings over weekends have not completed this training.  A defibrillator is available on site in a visible location.  There are call bells in all residents’ rooms, toilets, showers.  Staff also carry a call bell (pager) and can summon assistance if needed.  Security systems are in place to ensure residents are safe including external lighting, a security camera at the entrance to the facility, and the facility is kept locked after sunset.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facilities are light and airy.  The sun was streaming in the large windows in the communal areas.  Residents’ bedrooms have external windows with plenty of natural sunlight.  General living areas and resident rooms are appropriately heated and ventilated.  Some of the communal areas have doors directly to the outside decks, lawns or garden areas.  A selection of the bedrooms viewed also had doors opening to deck areas or the gardens.  Residents interviewed stated the environment was warm and comfortable.  The facility was warm and welcoming on a frosty morning when the auditors were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Bainfield Park has an established infection prevention and control (IPC) programme.  The IPC programme is appropriate for the size, complexity and degree of risk associated with the service.  The CNM oversees the programme with a shift supervisor/EN as the designated infection control person and the RN (new graduate) nurse working with them.  IPC matters are discussed at all staff meetings.  Education has been provided for staff.  Bainfield Park has implemented the HCSL system and as such has reviewed the IPC Plan as well as a wide range of comprehensive policies which cover all the aspects of IPC and in particular outbreak management including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Bainfield Park has adequate resources to implement the IPC programme.  Information about current IPC practises and Banfield Park’s results are provided to staff at staff meetings and the usual communication channels.  The IPC nurses maintain their practice by attending external updates.  The CNM attended the 2020 IPC Conference.  External resources and support are available when required.  IPC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Bainfield Park is now using the HCSL system for policy updates and management.  This system provides a comprehensive suite of policies, procedures, standards, guidelines, information on roles, responsibilities of the IPC team and training and education of all staff.  The system was implemented in 2020 therefore policies have been reviewed and will be updated as required,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orientation programme includes IPC education.  The IPC nurses have completed external training including Health Learns IPC session.  They are developing internal training for the other staff on IPC and undertake regular handwashing audits.  All staff can access the Health Learn online programme and other training provided by the SDHB.  There is annual refresher training in handwashing and standard precautions.  Education is provided to residents in the course of daily support with all residents interviewed able to describe infection prevention and control practice that is safe and suitable for the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A registered nurse is the designated infection control person.  Monthly infection data is collected for all infections based on signs and symptoms of infection.  Surveillance of all infections is entered onto a monthly summary and then analysed and graphed and reported to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team are the designated infection control staff.  Infection surveillance and monitoring is an integral part of the IPC programme and is described in policy.  The infection data is collected for all infections based on signs and symptoms of infection.  This information is available in real time with the HCSL system and this information is available to staff.  This information can be gathered in the desired timeframes - monthly for staff meetings and reported and made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only used as a last resort.  There were no residents at the time of the audit using restraint.  There were eight FIVE IN SUMMARY residents using enablers (safety belts on their wheelchairs).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definitions of restraints and of enablers.  Interviews with care assistants confirmed their understanding of restraints and enablers and could describe the differences. </w:t>
            </w:r>
          </w:p>
          <w:p w:rsidR="00EB7645" w:rsidRPr="00BE00C7" w:rsidP="00BE00C7">
            <w:pPr>
              <w:pStyle w:val="OutcomeDescription"/>
              <w:spacing w:before="120" w:after="120"/>
              <w:rPr>
                <w:rFonts w:cs="Arial"/>
                <w:b w:val="0"/>
                <w:lang w:eastAsia="en-NZ"/>
              </w:rPr>
            </w:pPr>
            <w:r w:rsidRPr="00BE00C7">
              <w:rPr>
                <w:rFonts w:cs="Arial"/>
                <w:b w:val="0"/>
                <w:lang w:eastAsia="en-NZ"/>
              </w:rPr>
              <w:t>One file of a resident who was using an enabler was reviewed.  An enabler assessment was completed, and consent form signed by the resident to demonstrate consent for the safety belt.  Enablers are reviewed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815"/>
        <w:gridCol w:w="1280"/>
        <w:gridCol w:w="3513"/>
        <w:gridCol w:w="1481"/>
        <w:gridCol w:w="18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orientated to health and safety during their orientation to the service.  The contractors’ induction process to health and safety has been established, but has not been fully implemented since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Only one contractor has signed that they have completed the health and safety induction programme at Bainfield Park since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contracted undergo a health and safety orientation, including signed acknowledgement that they agree to the facilities health and safety policies and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the medicine management system ensures there is safe and appropriate prescribing, administration, review, storage, disposal, and medicine reconciliation in order to comply with legislation, protocols, and guidelines. The medication fridges are required to have daily temperature checks, these were not completed each day of the current month.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Outcomes of PRN ‘as required’ medications were not recorded at each administration in seven out of fourteen files.</w:t>
            </w:r>
          </w:p>
          <w:p w:rsidR="00EB7645" w:rsidRPr="00BE00C7" w:rsidP="00BE00C7">
            <w:pPr>
              <w:pStyle w:val="OutcomeDescription"/>
              <w:spacing w:before="120" w:after="120"/>
              <w:rPr>
                <w:rFonts w:cs="Arial"/>
                <w:b w:val="0"/>
                <w:lang w:eastAsia="en-NZ"/>
              </w:rPr>
            </w:pPr>
            <w:r w:rsidRPr="00BE00C7">
              <w:rPr>
                <w:rFonts w:cs="Arial"/>
                <w:b w:val="0"/>
                <w:lang w:eastAsia="en-NZ"/>
              </w:rPr>
              <w:t>(ii) There are two medication fridge temperatures, temperatures were not recorded on either fridge daily.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PRN ‘as required’ medications outcomes are recorded at each PRN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(ii)  Ensure medication fridge temperatures are recorded daily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around self-medicating.  There are two self-medicating residents on the day of the audit.  These residents do not have a self-medicating agreement in place or appropriate secure storage in their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self-medicating residents do not have a self-medicating agreement or secure storage for the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self-medicating residents have a signed self-medicating agreement and secure storage for the medications they are using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maintenance staff carry out preventative and reactive maintenance.  Missing was evidence of hot water temperatures being corrected when they exceed 45 degrees Celsius.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wing in the facility (Rimu wing) occasionally has resident water taps that exceed 45 degrees Celsius.  There is no evidence of actions 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 room water temperatures do not exceed 45 degrees Celsius.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trained in emergency procedures with fire drills taking place a minimum of six-monthly.  There is a minimum of one staff trained in first aid/CPR at the facility and on outings Monday - Friday.  Missing was evidence of the care assistants who take residents on outings over the weekends having completed first aid/CPR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care assistants who take residents on outings over the weekends do not hold current first aid/CPR certificates.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assistants who take residents on outings over weekends hold current first aid/CPR certificates.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1448"/>
        <w:gridCol w:w="98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Examples of good practice are evident with one project in particular that has resulted in a rating of continuous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2019, a healthy lifestyles project was implemented for the residents.  This 10-week programme was so successful in 2019, it was repeated again in 2020 as per the request of the residents (confirmed in resident meeting minutes and resident interviews) and is scheduled to resume again in 2021.  Participants are weighed before, during and after completion of the 10-week programme.  Interventions include residents agreeing to healthy eating habits and regular exercise (participating in group and one-on-one sessions led by the activities coordinator).  Residents wear pedometers to measure their number of daily steps.  Surveys are completed after concluding the 10-week programme and reflect high levels or resident satisfaction.  This was also confirmed during resident interviews.  Outcomes for 2019 was an average weight loss of 4.9kg.  In 2020 weight loss ranged from a loss of 1.1kg to 4.6 kg.  Only one resident gained weight.  Staff also were involved which made the residents feel that everyone was in this challenge together and they enjoyed comparing their results with staff.  This programme is scheduled to be repeated again in 2021.</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Bainfield Park Residential Care Limited - Bainfield Park Residential Home</w:t>
    </w:r>
    <w:bookmarkEnd w:id="58"/>
    <w:r>
      <w:rPr>
        <w:rFonts w:cs="Arial"/>
        <w:sz w:val="16"/>
        <w:szCs w:val="20"/>
      </w:rPr>
      <w:tab/>
      <w:t xml:space="preserve">Date of Audit: </w:t>
    </w:r>
    <w:bookmarkStart w:id="59" w:name="AuditStartDate1"/>
    <w:r>
      <w:rPr>
        <w:rFonts w:cs="Arial"/>
        <w:sz w:val="16"/>
        <w:szCs w:val="20"/>
      </w:rPr>
      <w:t>24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