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Whitby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Whitby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March 2021</w:t>
      </w:r>
      <w:bookmarkEnd w:id="7"/>
      <w:r w:rsidRPr="009418D4">
        <w:rPr>
          <w:rFonts w:cs="Arial"/>
        </w:rPr>
        <w:tab/>
        <w:t xml:space="preserve">End date: </w:t>
      </w:r>
      <w:bookmarkStart w:id="8" w:name="AuditEndDate"/>
      <w:r w:rsidR="00A4268A">
        <w:rPr>
          <w:rFonts w:cs="Arial"/>
        </w:rPr>
        <w:t>19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Whitby Rest Home and Hospital provides; psychogeriatric services; hospital services - including medical services, rest home care and dementia care for up to 100 residents.  Ninety-six residents were living at this facility during the audit.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Bupa quality and risk management programme is being implemented at Bupa Whitby.  Quality initiatives are implemented which provide evidence of improved services for residents. </w:t>
      </w:r>
    </w:p>
    <w:p w:rsidRPr="00A4268A">
      <w:pPr>
        <w:spacing w:before="240" w:line="276" w:lineRule="auto"/>
        <w:rPr>
          <w:rFonts w:eastAsia="Calibri"/>
        </w:rPr>
      </w:pPr>
      <w:r w:rsidRPr="00A4268A">
        <w:rPr>
          <w:rFonts w:eastAsia="Calibri"/>
        </w:rPr>
        <w:t>The care home manager is appropriately qualified and experienced and is supported by a clinical manager and three unit coordinators.</w:t>
      </w:r>
    </w:p>
    <w:p w:rsidRPr="00A4268A">
      <w:pPr>
        <w:spacing w:before="240" w:line="276" w:lineRule="auto"/>
        <w:rPr>
          <w:rFonts w:eastAsia="Calibri"/>
        </w:rPr>
      </w:pPr>
      <w:r w:rsidRPr="00A4268A">
        <w:rPr>
          <w:rFonts w:eastAsia="Calibri"/>
        </w:rPr>
        <w:t>Three of four shortfalls identified at the previous certification audit have been addressed.  These were around, staff appraisals and training for dementia, care plan interventions and medication documentation.  There continues to be a shortfall around storage of emergency water.</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Whitby Rest Home and Hospital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 that provides information on all levels of care, including individual information for the dementia and psychogeriatric units.  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and team input into resident care.  The general practitioner reviews residents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enrolled nurses and senior caregivers who administer medications have an annual competency assessment and receive annual education.  Medication charts are reviewed three-monthly by the general practitioner.  The community mental health practitioner visits regularly. </w:t>
      </w:r>
    </w:p>
    <w:p w:rsidRPr="00A4268A" w:rsidP="00621629">
      <w:pPr>
        <w:spacing w:before="240" w:line="276" w:lineRule="auto"/>
        <w:rPr>
          <w:rFonts w:eastAsia="Calibri"/>
        </w:rPr>
      </w:pPr>
      <w:r w:rsidRPr="00A4268A">
        <w:rPr>
          <w:rFonts w:eastAsia="Calibri"/>
        </w:rPr>
        <w:t>All meals are prepared and cooked on site.  There is a current food control plan in place.  Resident dietary needs are met, and alternative foods offered for dislikes.  There are nutritious snacks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There is a reactive and planned maintenance system.  Chemicals are stored safely throughout the facility. </w:t>
      </w:r>
    </w:p>
    <w:p w:rsidRPr="00A4268A">
      <w:pPr>
        <w:spacing w:before="240" w:line="276" w:lineRule="auto"/>
        <w:rPr>
          <w:rFonts w:eastAsia="Calibri"/>
        </w:rPr>
      </w:pPr>
      <w:r w:rsidRPr="00A4268A">
        <w:rPr>
          <w:rFonts w:eastAsia="Calibri"/>
        </w:rPr>
        <w:t xml:space="preserve">There is sufficient space to allow the movement of residents around the facility using mobility aids.  There are a number of small lounge areas and seating nooks throughout the facility in addition to its main communal areas.  The internal areas are able to be ventilated and heated.  The outdoor areas are safe and easily accessible and secure for the units that require this.  </w:t>
      </w:r>
    </w:p>
    <w:p w:rsidRPr="00A4268A">
      <w:pPr>
        <w:spacing w:before="240" w:line="276" w:lineRule="auto"/>
        <w:rPr>
          <w:rFonts w:eastAsia="Calibri"/>
        </w:rPr>
      </w:pPr>
      <w:r w:rsidRPr="00A4268A">
        <w:rPr>
          <w:rFonts w:eastAsia="Calibri"/>
        </w:rPr>
        <w:t>There is an emergency plan in the event of an emergency.  There is an approved evacuation scheme and emergency management plan in place.  There is a first aid trained staff member on duty 24 hours.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During the audit, there were five residents using restraint and one resident using an enabler.  The restraint coordinator reviews enabler use three-monthly.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is appropriate for the size and complexity of the service.  The infection control coordinator (registered nurse) working together with the clinical manager,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care home manager.  Nine complaints were lodged in 2020 and three for 2021 (year-to-date).  Three complaints were reviewed for 2021.  Complaints are being managed in accordance with health and disability commissioner guidelines.  All complaints reviewed were successfully dealt with and resolved.  Staff are kept informed, as evidenced in the staff meeting minutes, there was evidence of individual staff follow-up as needed through an HR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families/whānau confirmed that they are provided with information on the complaints process and remarked that any concerns or issues they had were addressed promptly.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Interviews with the operations manager, the care home manager and clinical manager and sixteen staff (six caregivers, five registered nurses (RN), one enrolled nurse (EN) one cook, two activity staff and the maintenance person) reflected their understanding of open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next of kin have been informed (or not) of an accident/incident.  Electronic accident/incident forms reviewed identified family are kept informed.  Relatives interviewed including: three with a family member in the psychogeriatric unit, one with a family member in the secure dementia unit and two hospital level, stated that they are kept informed when their family member’s health status changes.  Residents interviewed including two hospital level and one rest home agreed the staff kept them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and psychogeriatric unit booklet provides information for family, friends and visitors to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Whitby Rest Home and Hospital provides; psychogeriatric services; hospital services - including medical services, rest home care and dementia care for up to 100 residents.  There were no dual-purpose beds.  Ninety-six residents were living at this facility during the audit.  This included eight rest home level residents, (including one respite), 38 hospital level, (including: one respite, one funded through ACC, one younger person disabled and one funded through the long-term support – chronic health conditions (LTS-CHC) contract), 33 residents in the dementia unit and 17 residents in the psychogeriatric unit.  The remainder of residents were funded through the aged residential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The Bupa philosophy and strategic plan reflects a person/family-centred approach.  Annual goals for the facility have been determined and are regularly reviewed by the care home manager with reporting through head office.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registered nurse and has extensive experience in managing aged care services.  She is supported by an experienced clinical manager/registered nurse (RN) who has been employed at the facility for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Whitby Rest Home and Hospital has implemented the Bupa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All new policies are communicated via the Bupa BMS monthly communication.  The BMS is included as part of monthly meetings.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 restrictions disrupted the meeting schedules for Whitby rest home and hospital for 2020 and 2021.  The service has implemented one to two monthly health and safety meetings and smaller unit meetings to ensure that staff are informed.  Although the meetings have not always been according to the monthly plan; interviews with staff and a review of meeting minutes overall evidenced that information has been shared.  The service has a new schedule in place for 2021 which has been commenced.  Meeting minutes reviewed evidenced staff discussion around accident/incident data, health and safety, infection control, audit outcomes,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documented and implemented a wide variety of improvement plans.  Examples have included: improved and increased training for all staff, stabilising the staffing and roster, investment and improvements in staff culture, strengthening family links and community links.  Residents, family and staff all praised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detailed emergency plans covering all types of emergency situations and staff receive ongoing training around this.  Falls prevention strategies include the analysis of falls events and the identification of interventions on a case-by-case basis to minimise future falls.  Falls prevention equipment includes sensor mats and chair alarms.  Toileting plans, and intentional rounding are examples of strategies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using the electronic system.  Ten accident/incident forms were reviewed.  Each event involving a resident reflected a clinical assessment and follow-up by a registered nurse.  Neurological observations were documented for unwitnessed falls.  Fall follow-up included the use of hip protectors and personalised falls minimisation strategies.  Incident forms for behaviours that challenge were documented well and were discussed in resident’s six monthly multi-disciplinary meeting, there was also evidence of more frequent family meetings as needed.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An example provided included a section 31 notification around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Seven staff files were reviewed (four RNs - including one unit coordinator, two caregivers and one activities person).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dementia, psychogeriatric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There is an attendance register for each training session and an individual staff member record of training.  Staff are required to complete written core competencies each year.  Opportunistic education (toolbox talks) has been provided frequently.  The competency programme has different requirements according to work type (eg, caregivers, RN,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Ten of the fifteen RNs have completed interRAI training.  Clinical staff complete competencies relevant to their role.  The RNs and clinical manager have completed syringe driver training and have access to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caregivers are employed to work in the dementia unit; nine caregivers have achieved a Careerforce qualification in dementia care, seven have enrolled and are in the process of completion and three of which have been employed less than 18 months.  </w:t>
            </w:r>
          </w:p>
          <w:p w:rsidR="00EB7645" w:rsidRPr="00BE00C7" w:rsidP="00BE00C7">
            <w:pPr>
              <w:pStyle w:val="OutcomeDescription"/>
              <w:spacing w:before="120" w:after="120"/>
              <w:rPr>
                <w:rFonts w:cs="Arial"/>
                <w:b w:val="0"/>
                <w:lang w:eastAsia="en-NZ"/>
              </w:rPr>
            </w:pPr>
            <w:r w:rsidRPr="00BE00C7">
              <w:rPr>
                <w:rFonts w:cs="Arial"/>
                <w:b w:val="0"/>
                <w:lang w:eastAsia="en-NZ"/>
              </w:rPr>
              <w:t>Seventeen caregivers are employed to work in the psychogeriatric unit; nine caregivers have achieved a Careerforce qualification in dementia care plus the additional unit standards for psychogeriatric care, eight have enrolled and are in the process of completion and three of which have been employed less than 18 months.</w:t>
            </w:r>
          </w:p>
          <w:p w:rsidR="00EB7645" w:rsidRPr="00BE00C7" w:rsidP="00BE00C7">
            <w:pPr>
              <w:pStyle w:val="OutcomeDescription"/>
              <w:spacing w:before="120" w:after="120"/>
              <w:rPr>
                <w:rFonts w:cs="Arial"/>
                <w:b w:val="0"/>
                <w:lang w:eastAsia="en-NZ"/>
              </w:rPr>
            </w:pPr>
            <w:r w:rsidRPr="00BE00C7">
              <w:rPr>
                <w:rFonts w:cs="Arial"/>
                <w:b w:val="0"/>
                <w:lang w:eastAsia="en-NZ"/>
              </w:rPr>
              <w:t>The previous shortfall around staff appraisals and Careerforce unit standards for dementia and psychogeriatric care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 clinical manager (RN) who work Monday to Friday plus an additional RN over the weekend and three unit coordinators (RNs) rostered Monday – Friday (one for dementia care, one for psychogeriatric care and one for hospital and rest home). </w:t>
            </w:r>
          </w:p>
          <w:p w:rsidR="00EB7645" w:rsidRPr="00BE00C7" w:rsidP="00BE00C7">
            <w:pPr>
              <w:pStyle w:val="OutcomeDescription"/>
              <w:spacing w:before="120" w:after="120"/>
              <w:rPr>
                <w:rFonts w:cs="Arial"/>
                <w:b w:val="0"/>
                <w:lang w:eastAsia="en-NZ"/>
              </w:rPr>
            </w:pPr>
            <w:r w:rsidRPr="00BE00C7">
              <w:rPr>
                <w:rFonts w:cs="Arial"/>
                <w:b w:val="0"/>
                <w:lang w:eastAsia="en-NZ"/>
              </w:rPr>
              <w:t>RN cover is provided 24 hours a day, seven days a week.  RNs are supported by sufficient numbers of caregivers.  Separate cleaning staff and laundry staff are employed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Psychogeriatric: (17 residents are living in this 17-bed unit): there is a unit coordinator/RN on each morning shift and an RN on afternoon and night shifts.  There are three caregivers on morning shift (two long shifts and one short shift), and two activity staff.  There are three caregivers on afternoon shift and one short team assist shift.  There is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Dementia: (33 residents are living in this 33-bed unit): there is one RN on each morning, afternoon and night shift.  There are four full shift caregivers on duty in the morning and an activity person.  There are four caregivers on the afternoon shifts,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rest home (8 residents in this 9-bed unit): there is one caregiver on duty in the morning, afternoon and night shift.</w:t>
            </w:r>
          </w:p>
          <w:p w:rsidR="00EB7645" w:rsidRPr="00BE00C7" w:rsidP="00BE00C7">
            <w:pPr>
              <w:pStyle w:val="OutcomeDescription"/>
              <w:spacing w:before="120" w:after="120"/>
              <w:rPr>
                <w:rFonts w:cs="Arial"/>
                <w:b w:val="0"/>
                <w:lang w:eastAsia="en-NZ"/>
              </w:rPr>
            </w:pPr>
            <w:r w:rsidRPr="00BE00C7">
              <w:rPr>
                <w:rFonts w:cs="Arial"/>
                <w:b w:val="0"/>
                <w:lang w:eastAsia="en-NZ"/>
              </w:rPr>
              <w:t>Hospital (38 residents in this 41-bed unit): in addition to the unit coordinator, there are two RNs on morning shift, two RNs on all afternoon shifts and one RN on at night.  There are seven caregivers on duty in the morning (four long and three short), five caregivers on afternoon shift (four long and one short)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Medications were stored safely in the four units.  Registered nurses, enrolled nurses or senior caregivers who administer medications have completed their annual competency assessment.  Medication education is provided annually.  The RNs check the robotic rolls on delivery against the electronic medication charts.  ‘As required’ medications are delivered in blister packs and checked regularly for expiry dates.  On the day of audit there was one hospital resident who was partly self-medicating.  They were given their analgesia (two tablets at a time) for them to take and report on when they had taken them.  A competency assessment had been undertaken to determine the resident could safely do this.  Medication fridge temperatures and treatment room temperatures had been checked daily and were within the acceptable range.  Eyedrops were dated on opening.  The impress stock in the hospital is checked weekly for expiry dates and stock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system.  Twelve medication charts were reviewed (two rest home, four hospital, four dementia and two psychogeriatric).  All charts reviewed had photo identification and allergy status identified.  All medication charts evidenced three 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medication had indications prescribed for use.  Effectiveness of ‘as required’ medication administered was documented in the progress notes.  Antipsychotic management plans are used for residents on antipsychotics and a focus on the reduction of antipsychotic use was evident.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in a well-equipped kitchen.  The kitchen manager/cook is supported by a team of cooks, a chef and morning and afternoon kitchenhands.  There was one qualified chef, three cooks and two kitchenhands who have all completed food safety and hygiene training.  The remaining four kitchenhands were undergoing training.  A contracted dietitian (Pure Foods) had forwarded the four weekly summer menu in November 2020 – the winter menu was yet to be forwarded. The menu offers an alternative option and pureed food.  The service accommodates special dietary requirements including gluten free diets.  The kitchen manager receives a nutritional profile for each resident and is notified of any changes to dietary requirements.  Religious and cultural dietary requirements are met.  Resident dislikes are known and accommodated.  All meals are delivered in hot boxes/bain marie containers to the units where they are plated.  Lip plates are provided to encourage resident independence with eating.  Staff were observed to be sitting with residents and assisting them with meals and fluids.  There were sufficient fluids and nutritious snacks in the unit fridges.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22 September 2021.  The temperatures of refrigerators, freezers, chiller, incoming chilled goods and end-cooked food temperatures are taken and recorded.  All food is stored appropriately, and date labelled.  The dishwasher wash and rinse temperatures are taken and recorded.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commented very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person-centred, caregivers interviewed described individual care for residents.  When a resident condition changes the RN initiates a GP visit or nurse specialist referral.  The family is notified of any changes in the resident’s health status including incidents/accident, infections, GP visits and medication changes.  A record of relative notifications is maintained on the family contact form in the resident file.  Relatives interviewed confirmed they are kept informed, and the needs of their relatives were being met.  Short-term care plans were used to guide staff in the delivery of care to meet for short-term/acute needs.  Four incident forms for unwitnessed falls all documented neurological observations as per policy.  Restraint monitoring was documented as per care plan for two residents with restraint (two hospital level residents).  The previous shortfalls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wound dressings.  There had been a focus on wound care and the prevention of skin tears.  The facility currently had no pressure injuries, one healing wound and two skin tears.  Wound assessments, wound management and evaluation forms were in place for these.  The previous findings had been addressed.  There were pressure injury interventions in place for residents at risk of pressure injuries and pressure prevention equipment was seen to be in use.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utilised to monitor residents’ state of wellbeing and the effectiveness of interventions.  Residents who identified with pain had a pain management plan, and relief was documented in progress notes.  The previous finding has been addressed.  Interviews with registered nurses and caregivers demonstrated understanding of the individualised needs of residents.  Monitoring forms reviewed included two hourly turning charts, nutritional records, fluid balance charts, bowel records, weekly/monthly weight, blood sugar levels, vital signs and neurological recordings.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activity coordinators and one diversional therapist (DT) who provide activities Monday to Friday 9.30 am to 4.30 pm in the dementia and psychogeriatric units and from 9 am to 1 pm in the rest home and hospital units.  The weekends have some set activities including entertainment and resources available for crafts, colouring, music, one-on-one times, chats and walks.  Care staff incorporate activities into their roles within the dementia and psychogeriatric units.  There are volunteers involved in activities in all of the units particularly at the weekend.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separate activity programme and offers group and individual activities to meet the residents cognitive, physical, intellectual and emotional abilities.  Activities offered within the units include a variety of exercises (ball toss, balloon tennis, move to the groove) and gym time with an aerobics instructor, arts and crafts, word games and puzzles, high teas, reminiscing, movies and sing-a-longs.  There are many activities that are combined and take place in the large hospital lounge including musical entertainment, crafts, gym time and church services.  Residents attend combined activities as appropriate and under supervision.  Entertainment and canine friends visit the dementia and psychogeriatric units.  Other visitors to the facility include church groups, choirs, pre-school children and youth groups.  There are combined ladies and men’s groups.  The service has a wheelchair access van which goes out six times per week for outings/scenic drives for residents in each unit.  The van driver has a first aid certificate.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one-on-one activities for residents who choose not to be involved in group activities.  There are personalised activity plans for younger residents under 65 years that reflects their interests or hobbies.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map of life (profile) and an activity assessment completed on admission.  Individual activity plans are incorporated in the My Day, My Way activity and socialising section of the long-term care plan.  The service receives feedback and suggestions for the programme through resident meetings and direct feedback from residents and families.  Residents interviewed spoke positively about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initial care plans within three weeks of admission.  Care plan evaluations are documented.  A letter is sent out to families inviting them to attend a multidisciplinary team meeting (MDT).  Members of the MDT include the GP, RN, care staff, DT/activity person, resident (as appropriate) and family member.  Allied health professionals involved in the residents’ care such as the physiotherapist or dietitian provide input into the MDT evaluation of care.  Records of the MDT meeting are maintained, and the cares evaluated against the resident goals.  Any changes following the MDT meeting are updated on the care plan.  Copies of the updated care plan are sent to the family member if they have been unable to attend.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regularly and either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26 June 2021.  A maintenance person is employed full-time and attends the health and safety committee meetings.  Repairs and maintenance requests are logged into a maintenance book, checked daily and signed off when completed.  A 52-week planned maintenance schedule is in place and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including hoists and weighing scales have been calibrated.  Electrical testing and tagging have been completed annually.  The hot water temperatures are monitored monthly and are maintained below 45 degrees Celsius.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garden with walking pathways, seating and shade off the dementia unit.  The psychogeriatric unit has secure outdoor gardens with a courtyard and undercover outdoor decking and outdoor furniture.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There are emergency management plans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blankets and gas cooking, but insufficient water.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Bupa infection control manual.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The infection control coordinator provides infection control data, trends and relevant information to the quality risk team and clinical meetings.  Areas for improvement are identified, corrective actions developed and followed up.  This data is monitored and evaluated monthly at head office.  There are key performance indicators for all infection types.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aware of infection rates.  Systems are in place that are appropriate to the size and complexity of the facility.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A Bupa companywide Covid strategy and pandemic plan was available to staff on site with education and associated resources relating to hand hygiene, PPE and donning/doffing procedures.  The Bupa crisis management plan (including pandemic) has been updated and has been personalised to the service.  A recent DHB audit for Covid evidenced a very good result.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regional restraint group at an organisation level reviews restraint practices.  The Whitby restraint committee is responsible for restraint review and use, they meet three- monthly.  There is a documented definition of restraint and enablers, which is congruent with the definition in NZS 8134.0.  There are clear guidelines in the policy to determine what restraint is and what an enabler is.  The restraint policy includes comprehensive restraint procedures.  Discussion with the restraint coordinator (RN) confirmed the service’s commitment to reducing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an enabler (a bed rail).  There were five residents with restraint; all with a bed rail and a lap belt, all were hospital residents.  All restraint use is recorded on a restraint register.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05"/>
        <w:gridCol w:w="1280"/>
        <w:gridCol w:w="3952"/>
        <w:gridCol w:w="3096"/>
        <w:gridCol w:w="14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blankets and gas cooking, but insufficient water.  Short-term back-up power for emergency lighting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stored water for an emergency but not sufficient for 20 litres per person per day as required by the Wellington region civil defence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sufficient water is stored.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Whitby Rest Home and Hospital</w:t>
    </w:r>
    <w:bookmarkEnd w:id="58"/>
    <w:r>
      <w:rPr>
        <w:rFonts w:cs="Arial"/>
        <w:sz w:val="16"/>
        <w:szCs w:val="20"/>
      </w:rPr>
      <w:tab/>
      <w:t xml:space="preserve">Date of Audit: </w:t>
    </w:r>
    <w:bookmarkStart w:id="59" w:name="AuditStartDate1"/>
    <w:r>
      <w:rPr>
        <w:rFonts w:cs="Arial"/>
        <w:sz w:val="16"/>
        <w:szCs w:val="20"/>
      </w:rPr>
      <w:t>18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