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Rannerdale Village Limited - Rannerdale War Veterans' Hospital and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Rannerdale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Rannerdale War Veterans' Hospital and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April 2021</w:t>
      </w:r>
      <w:bookmarkEnd w:id="7"/>
      <w:r w:rsidRPr="009418D4">
        <w:rPr>
          <w:rFonts w:cs="Arial"/>
        </w:rPr>
        <w:tab/>
        <w:t xml:space="preserve">End date: </w:t>
      </w:r>
      <w:bookmarkStart w:id="8" w:name="AuditEndDate"/>
      <w:r w:rsidR="00A4268A">
        <w:rPr>
          <w:rFonts w:cs="Arial"/>
        </w:rPr>
        <w:t>16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Rannerdale War Veterans Care has been renamed Rannerdale Village and is owned by a charitable trust.  The service is certified for hospital services (hospital and medical); rest home care and residential disability services - physical.  They have a total of 62 beds with current occupancy of 49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The service is managed by the clinical manager/registered nurse who is also the acting CEO.  She is responsible for the daily operations of the service.  The clinical manager is supported by a quality coordinator, a learning and development manager and a stable workforce.  </w:t>
      </w:r>
    </w:p>
    <w:p w:rsidRPr="00A4268A">
      <w:pPr>
        <w:spacing w:before="240" w:line="276" w:lineRule="auto"/>
        <w:rPr>
          <w:rFonts w:eastAsia="Calibri"/>
        </w:rPr>
      </w:pPr>
      <w:r w:rsidRPr="00A4268A">
        <w:rPr>
          <w:rFonts w:eastAsia="Calibri"/>
        </w:rPr>
        <w:t xml:space="preserve">The residents and relatives spoke positively about the care provided.  </w:t>
      </w:r>
    </w:p>
    <w:p w:rsidRPr="00A4268A">
      <w:pPr>
        <w:spacing w:before="240" w:line="276" w:lineRule="auto"/>
        <w:rPr>
          <w:rFonts w:eastAsia="Calibri"/>
        </w:rPr>
      </w:pPr>
      <w:r w:rsidRPr="00A4268A">
        <w:rPr>
          <w:rFonts w:eastAsia="Calibri"/>
        </w:rPr>
        <w:t xml:space="preserve">There were no areas identified for improvement.  The service has exceeded expectations around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facility provides care in a way that focuses on the individual resident.  There is a Māori health plan and cultural safety policy supporting practice.  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stated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Rannerdale Village implements an on-line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The service meetings include discussion around quality data.  Human resource policies are in place including a documented rationale for determining staffing levels and skill mixes.  A roster provides sufficient and appropriate coverage for the effective delivery of care and there is sufficient staff on duty at all times.  An implemented orientation programme provides new staff with relevant information for safe work practice.  The education programme includes mandatory training requirements including supporting younger people with a disability and additional in-service including medical conditions.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has assessment processes and residents’ needs are assessed prior to entry.  There is an admission pack available for residents and families/whānau at entry.  Assessments, residents care plans and evaluations were completed by the registered nurses within the required timeframes.  Risk assessment tools and monitoring forms were available and implemented.  Resident care plans were individualised and included allied health professional involvement in care.  The activities assistant implements the activity programme to meet the individual needs, preferences and abilities of the residents.  Community links are maintained.  There are a variety of activities that are meaningful to the residents.  There are medication management policies in place that meet the legislative requirements.  Staff responsible for administration of medications complete annual medication competencies and education.  Medication charts have photo identification and allergy status noted.  Medication charts are reviewed three-monthly by a general practitioner.  All food and baking is done on site.  Resident`s individual dietary needs were identified and accommodated.  Staff have attended food safety and hygiene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an emergency management plan to guide staff in managing emergencies and disasters.  Six monthly fire drills occur.  Civil defence supplies are in place.  There were documented processes for the management of waste and hazardous substances in place, and incidents are reported in a timely manner.  Chemicals were stored safely throughout the facility.  The building has a current building warrant of fitness.  Resident rooms and bathrooms are spacious.  There is plenty of natural light in all rooms and the environment is comfortable with adequate ventilation and heating.  Communal areas within the facility are easily accessible.  The outdoor areas are safe, accessible and provide seating and shade.  There is one person on duty at all times with a current first aid certificate.  Housekeeping/laundry staff maintain a clean and tidy environment.  Documented policies and procedures for the cleaning and laundry services are implemented with monitoring systems in place to evaluate the effectiveness of these services.  The laundry is done on 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There are eight residents voluntarily using enablers and one resident with an emergency restraint.  A registered nurse is the restraint coordinator.  Resident files included assessments, consents and care plans appropriate to the identified risk and care needed for enablers and restraint.  Evaluations and reviews assessing the continued need for restraint were documented.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coordinator/registered nurse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3"/>
        <w:gridCol w:w="1280"/>
        <w:gridCol w:w="94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residents (five hospital, including one younger person with disabilities (YPD), one ACC respite, one long term chronic health (LTS-CHC) and one end of life) and two rest home level including one YPD) and three relatives (two hospital level, including the family of a younger person and one rest home) interviewed, confirmed that information has been provided around the Health and Disability Commissioner (HDC) Code of Health and Disability Services Consumers' Rights (the Code).  Residents stated their rights are respected when receiving services and care.  There is a resident rights policy in place.  Discussions with nine care staff (four HCAs, three registered nurses (RN), one enrolled nurse (EN) and one activities assistant) confirmed their familiarity with the Health and Disability Commissioner (HDC) Code of Health and Disability Services Consumers’ Rights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discussed with residents and families on admission.  Written general consents were signed as part of the admission agreement.  Specific consent had been signed by resident/relatives for procedures such as the influenza vaccine.  Discussions with registered nurses confirmed that staff understand the importance of obtaining informed consent for providing personal care and accessing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 (EPOA) evidence is filed in the residents’ electronic charts and activated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had been completed where residents were deemed to be competent.  Where residents were deemed incompetent to make a resuscitation decision the GP had made a medically indicated resuscitation decision in consultation with family/whanau.  Resident files show evidence that where appropriate the service actively involve family/whanau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their understanding of the availability of advocacy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Rannerdale Village has developed a close relationship with children, parents and teachers from a neighbouring school.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email and written on the complaints form is maintained by the clinical manager/acting CEO using an online complaints’ register.  There were ten complaints for 2020 including one via the CDHB and seven complaints (year to date) for 2021 including one via the Health and Disability Commissioner.  All complaints/concerns have been managed in line with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A review of complaints documentation evidenced resolution of the complaint, to the satisfaction of the complainant and all complaints have been discussed in monthly quality and management meetings, monthly staff and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advised that they are aware of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via the DHB was investigated and unsubstantiated.  The complaint via the Health and Disability Commissioner has been responded to by the service and is currently with the Health and Disability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Health and Disability Commissioner Code of Health and Disability Services Consumers’ Rights (the Code) at the main entrance to the facility.  The code of rights is also displayed in the resident areas.  The welcome information includes about the code of rights.  The resident, family or legal representative has the opportunity to discuss this prior to entry and/or at admission, with the clinical manager.  Residents and relatives confirmed they receive sufficient verbal and written information to be able to make informed choices on matters that affect them.  Bi-monthly resident meetings provide the opportunity to raise concerns.  An annual resident/relative satisfaction survey is completed.  Surveys include young people with disabilities around issues relevant to this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interviewed were able to describe how they maintain resident privacy.  House rules and a code of conduct are signed by staff at commencement of employment.  Care staff interviewed stated they promote independence with daily activities where appropriate.  Resident’s cultural, social, religious and spiritual beliefs are identified on admission and they are included in the resident’s care plan/activity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The Māori health plan identifies the importance of whānau.  There was one resident who identified as Māori at the time of audit.  A review of the resident’s file identified involvements in specific Māori community events as requested by the resident.  Māori consultation is available through the local Nga Hau E Whā National Marae and through the national defence Force’s Māori cultural advisor as required.  The clinical manager, registered nurses and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Care plans are reviewed at least six- monthly to ensure the clients individual culture, values and beliefs are being met.  Staff recognise and respond to values, beliefs and cultural differences.  Residents are supported to maintain their spiritual needs with regular on-site church services, and they are supported to attend other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in regard to recruitment, including reference checks and police vetting.  Professional boundaries are defined in job descriptions.  Staff were observed to be professional within the culture of a family environment.  Healthcare assistants interviewed could describe how they build a supportive relationship with each resident and stated that their open and family-like approach to care and support assists residents and their families to be able to treat the service like home.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Manager/acting CEO and team at Rannerdale Village are committed to providing service of a high standard, based on the mission statement and philosophy.  This was observed during the day with the staff demonstrating a caring and respectful attitude to the residents.  All residents and families spoke positively about the care provided.  The service has implemented policies and procedures developed by an external consultant that provide a good level of assurance that it is adhering to relevant standards.  Care staff and RNs have access to internal and external education opportunities.  Staff have a sound understanding of principles of aged care and care of the younger person and stated that they feel well supported by current management.  Regular facility and clinical meetings, and shift handovers enhance communication between the teams and provided consistency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manager/acting CEO has implemented a series of improvements including increased community involvement and improvements around manual handling, resident mobility and improved reporting of trends. The service is focusing on strengthening relationships with ex-service people including fire, police and ambulance services and creating an improved cohesive working relationship with the board trust and veteran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manager/acting CEO promotes an open-door policy.  Relatives/residents are aware of the open-door policy and confirmed on interview that the staff and management are approachable and available.  Residents/relatives have the opportunity to feedback on service delivery through resident meetings (open to family) and annual surveys.  An elected resident representative prepares a report for the boards review.    Areas for improvement are discussed at resident meetings (sighted in minutes) and are available in a meeting minutes folder available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for falls showed relatives had been informed of the incident.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Village is owned and operated by the Rannerdale Trust.  The service provides hospital, rest home and residential disability (physical) level care for up to 62 residents.  At the time of the audit, there were six rest home rooms that were not being utilised upstairs due to earthquake risks. There are two rooms unavailable pending renovations.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Fourty-seven beds are dual-purpose.  On the day of audit there were 49 residents in total.  There are 14 rest home residents, including five on long term chronic health (LTS-CHC) agreements, one on an ACC contract and two on younger persons disabled (YPD).  There were also 35 hospital residents including 11 younger persons disabled, four on LTS-CHC contracts, one on an ACC respite contract and two residents on end-of-life contracts.  All other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an experienced and suitably qualified clinical manager/acting CEO who is a registered nurse (RN) and has been in this position for three months.  The clinical manager was employed six months prior to her appointment as acting CEO.  The manager is supported by a quality coordinator, a learning and development manager, registered nurses and long serving care staff.  The clinical manager/acting CEO is responsible for oversight of the clinical service in the facility and reports monthly to the board of directors (four members).  The clinical manager/acting CEO has access at any time to the board chair and maintains regular contact via phone and email.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five-year strategic plan (2021 to 2026) which has been recently accepted by board and the trust.  The strategic plan includes a focus on strengthening relations with the service community and providing a fit for purpose facility for changing generations.  Goals and objectives are reviewed at monthly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manager/acting CEO maintains an annual practicing certificate and has maintained at least eight hours annually of professional development that is related to managing a rest home and hospital including attending DHB forums and aged care forum and conference.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clinical manager/acting CEO the learning and development manager provides clinical and management oversight of the facility including the on-call requirement.  RNs assist with clinical oversight and supervision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electronic quality risk management plan from an external consultant.  Progress with the quality assurance and risk management programme is designed to monitor contractual and standards compliance and is monitored through the monthly quality improvement/management meeting and two to three monthly full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range of policies and procedures to support service delivery that includes hospital level and policies appropriate to the specific needs of younger disabled people.  Policies and procedures are reviewed regularly by an external quality advisor who ensures they align with current good practice and meet legislative requirements.  All staff are required to sign the policy and procedure familiarisation form to indicate they have read the policy documents.  There was an annual resident/relative satisfaction survey completed in January 2021 using Survey Monkey.  Results from this were provided to staff in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bi-monthly with an elected resident representative submitting a report to the monthly board meeting.  All residents interviewed stated they are aware of the resident representative and how to raise their concerns and suggestions.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healthcare assistants’ meetings, monthly clinical meetings and two to three monthly full staff meetings.  Meeting minutes evidenced discussion around quality data including (but not limited to) complaints, compliments, health and safety, accident/incident, infection control, internal audit and survey results.  Trends are identified and analysed for areas of improvement.  Meeting minutes documented in-depth discussion linked to audits, incidents, restraint and infection control each month.  Individual resident needs are discussed at meetings where issues have been raised.  Healthcare assistants confirmed on interview they were kept informed on quality data including corrective actions and quality initiatives.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as scheduled.  Corrective action plans are completed for any corrective actions required.  The quality coordinator signs off completed corrective actions.  Internal audits are discussed along with corrective actions as needed during staff and RN/clinical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representative role is shared between the maintenance manager and quality coordinator, both of whom have recently completed level two training.  The health and safety representatives provide documented reports and attend the monthly quality/management meeting.  Relevant information and graph data is disseminated at staff meetings.  As part of the staff meetings, trends from adverse events and infections are discussed.  All staff have access to the online electronic quality reports including the hazard register.  A hard copy of the hazard register is available in the nurses’ station.  A review of the hazard register indicated that there is resolution of issues identified.  Orientation and annual training programmes ensure all staff are familiar withal aspects of health and safety and emergency management.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and the identification of interventions on a case-by-case basis to minimise future falls.  Health and safety information is displayed on the staff noticeboard.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the health and safety framework, there is an accident/incident policy.  The service collects incident and accident data monthly and provides reports to all facility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 forms were reviewed from March 2021 on the online system.  All incident forms identified timely RN assessment of the resident and corrective actions or recommendations that had been completed and signed off by the clinical manager/acting CEO.  Neurological observations have been completed for unwitnessed falls and any known head injury.  The caregivers interviewed could discuss the incident reporting process, they also described the discussion of incidents at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could describe situations that would require reporting to relevant authorities.  The service has reported five section 31 notifications (two pressure injuries, two trespasses and one other).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 practising certificates and allied health professionals is current.  Seven staff files were reviewed (two RNs, one quality coordinator and four healthcare assistants).  All files contained relevant employment documentation including current performance appraisals and completed orientations.  The orientation programme provides new staff with relevant information for safe work practice.  Care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have access to external training that includes clinical education relevant to medical conditions.  In-service education delivered by internal and external educators included (but not limited to); end of life/palliative care, caring for younger people with a disability, pressure injury prevention and management, wound care, and pain management.  Additional training related to new policies, incidents, infection control and current issues occur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and comprehensive in-service education programme has been developed by the learning and development clinical manager/acting CEO.  Careerforce qualifications are encouraged.  There are 12 HCAs with level 4 and four with level 3.  Others are actively working on completing. The training programme for 2020 was fully implemented and 2021 is being implemented as scheduled.  Training is provided in study blocks for staff over the year as well as additional training as needed.  Attendance rates were very high (100%).  The RNs are able to attend external training, including sessions provided by the local DHB.  Subjects have included syringe driver, palliative care, infection control and wound care.  Nine of the ten registered nurses including the clinical manager/acting CEO, and learning and development manager, are interRAI competent.  Staff complete competencies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that determines staffing levels and skill mixes for safe service delivery.  A review of the staff ratio and mix identified the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A senior nursing team is in place, there is a full-time clinical manager/acting CEO, a learning and development manager and an experienced EN who work from Monday to Friday.  The current registered nurse team is very stable and experienced.  A member of the management team is on call at all times.  Registered nurses have sufficient time available to complete interRAI assessments and care planning evaluations within contractual timeframes.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dual-purpose beds are split into seven wings (Shirley Symons, Jacinda Baker, John Masters, Totara, Rimu, Kowhai and Manuka wings).  At the time of the audit there were 14 rest home residents in total scattered throughout the seven wings.  Of the 14 rest home residents, two are in rooms upstairs in the Rata wing (both residents are mobile and can manage the stairs independently, there is also a lift available should the residents prefer to utilise it).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RNs on the AM and the PM shift (both full shifts) and one RN at night.</w:t>
            </w:r>
          </w:p>
          <w:p w:rsidR="00EB7645" w:rsidRPr="00BE00C7" w:rsidP="00BE00C7">
            <w:pPr>
              <w:pStyle w:val="OutcomeDescription"/>
              <w:spacing w:before="120" w:after="120"/>
              <w:rPr>
                <w:rFonts w:cs="Arial"/>
                <w:b w:val="0"/>
                <w:lang w:eastAsia="en-NZ"/>
              </w:rPr>
            </w:pPr>
            <w:r w:rsidRPr="00BE00C7">
              <w:rPr>
                <w:rFonts w:cs="Arial"/>
                <w:b w:val="0"/>
                <w:lang w:eastAsia="en-NZ"/>
              </w:rPr>
              <w:t>There are six healthcare assistants on the AM (three long and three short) and five on the PM shift (three long and two short shifts) and two healthcare assistants on the night shift.  Healthcare assistants interviewed were happy with staffing levels.  One of the HCAs on the morning shift covers the rest home residents in the upstairs Rata wing.  There are two- three activities staff rostered each weekday (one long and one short shift).  Care staff supported by volunteers implement the activities programme in the weekends.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paper-based and electronic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Residents are assessed prior to entry to the service by the needs assessment (NASC) team or other appropriate agency, and an initial assessment is completed on admission.  Admission information packs on the services and levels of care are provided for families and residents prior to admission or on entry to the service.  There is specific information provided for families regarding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admission agreements reviewed aligned with the contractual requirements.  Exclusions from the service are included in the admission agreement.  A total of seven signed admission agreements were sighted.  Family members interviewed confirmed the staff had fully explained services to them on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transfer/discharge/exit procedures include a transfer/discharge form, and the completed form is placed on file.  The service stated that a staff member escorts the resident if no family were available to assist with transfer, and copies of documentation are forwarded with the resident.  Hospital discharge documentation is integrated in the resident file and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The controlled drug register evidenced a process of reconciliation of controlled drug stock.  All medicines are stored securely.  Registered nurses and healthcare assistants complete annual medication competencies and medication education.  The medication room is at the nurse’s station.  RNs complete the administration of medication; there are three lockable medication trolleys.  A recent medication management internal audit was completed with no corrective actions or medication errors/incidents.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medication reconciliation against the blister packs for regular and ‘as required’ medications.  Any discrepancies are fed back to the supplying pharmacy who are available after hours if required.  The medication fridge temperature and medication room temperature are being monitored daily and both were within acceptable limits.  There are procedures in place to facilitate safe self-administration of medication for three residents (inhalers).  There are no medication standing orders in use.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electronic medication charts were reviewed.  All medication charts had photo identification and an allergy status.  The GP has reviewed the medication charts at least three-monthly.  Prescribed ‘as required’ medications included the indication for use and the effectiveness was recorded in the electronic system and progress notes.  Nutritional supplements are documented and administered from the electronic medication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Rannerdale Village are prepared and cooked on site by a contracted meal service provider.  The service changed contracted meal service providers in June 2020.  The kitchen has a servery opening out to a rest home dining area.  There is a four-weekly seasonal menu which has been reviewed by a dietitian.  Dietary needs are known with individual likes and dislikes accommodated. </w:t>
            </w:r>
          </w:p>
          <w:p w:rsidR="00EB7645" w:rsidRPr="00BE00C7" w:rsidP="00BE00C7">
            <w:pPr>
              <w:pStyle w:val="OutcomeDescription"/>
              <w:spacing w:before="120" w:after="120"/>
              <w:rPr>
                <w:rFonts w:cs="Arial"/>
                <w:b w:val="0"/>
                <w:lang w:eastAsia="en-NZ"/>
              </w:rPr>
            </w:pPr>
            <w:r w:rsidRPr="00BE00C7">
              <w:rPr>
                <w:rFonts w:cs="Arial"/>
                <w:b w:val="0"/>
                <w:lang w:eastAsia="en-NZ"/>
              </w:rPr>
              <w:t>A daily food control plan is followed with daily fridge, freezer, inward chilled goods and end-cooked temperatures taken and recorded.  All food is stored correctly and date-labelled in fridges, freezers and the pantry.  A cleaning schedule is maintained.  All food preferences are met.  Fridge and freezer temperatures are taken, calibrated regularly and recorded daily on an electronic management system.  A current food control plan has been verified in December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manager (regional manager) is supported by a chef and catering assistant and kitchenhands.  All staff have completed food safety education.  Residents’ nutritional assessment including likes and dislikes are identified and provided to the kitchen on admission.  The chef manager interviewed, is knowledgeable regarding specific residents needs including those with diabetes, unintentional weight loss (or gain) and recent dietitian input.  </w:t>
            </w:r>
          </w:p>
          <w:p w:rsidR="00EB7645" w:rsidRPr="00BE00C7" w:rsidP="00BE00C7">
            <w:pPr>
              <w:pStyle w:val="OutcomeDescription"/>
              <w:spacing w:before="120" w:after="120"/>
              <w:rPr>
                <w:rFonts w:cs="Arial"/>
                <w:b w:val="0"/>
                <w:lang w:eastAsia="en-NZ"/>
              </w:rPr>
            </w:pPr>
            <w:r w:rsidRPr="00BE00C7">
              <w:rPr>
                <w:rFonts w:cs="Arial"/>
                <w:b w:val="0"/>
                <w:lang w:eastAsia="en-NZ"/>
              </w:rPr>
              <w:t>Food is transported in hotboxes to a bain marie to two other serving areas.  On the day of the audit staff were observed to assist with the lunch meal in the hospital dining room.  Dining rooms have enough space to move safely during meal times.  Snacks are available and special cutlery is available when needed.  Residents are encouraged to comment on the food service in the book provided in the dining rooms and through the resident meetings.  A food service internal audit was recently completed with no corrective actions required.  The residents and family interviewed expressed satisfaction with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records the reason for declining entry to potential residents should this occur and communicates this to potential residents/family/whānau and refers them back to the referral agency.  The reason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an initial assessment on admission including risk assessment tools as appropriate.  An interRAI assessment is undertaken within 21 days of admission and every six months.  Resident needs, support and goals are identified through the ongoing assessment process and form the basis of the long-term care plan.  There were regular pain assessments evident for a resident with complex co-morbidities.  Residents interviewed confirmed their preferences and choices are accommodated during their care journey.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long-term care plans were reviewed.  The interRAI assessment triggers and scores forms the basis of the long-term care plan.  Care interventions are detailed to a level that supports their individual needs and goals.  Assessment outcomes were included in the long-term care plans reviewed.  The long-term care plan identifies interventions that cover a set of goals including managing medical needs/risks.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Alerts on the resident’s profile page identify current and acute needs such as (but not limited to); current infection, wound or falls risk.  Short-term needs are added to the long-term care plan.  Care plans evidenced resident (as appropriate) and family/whānau involvement in the care plan process.  Relatives interviewed confirmed they were involved in the care planning process.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All files include a 24-hour activity plan and recreational plan with documented individual daily routine.  For those residents that present with challenging behaviours; triggers, and activities to distract and de-escalate behaviours are documented with associated risks.  There was evidence of allied health care professionals involved in the care of residents including physiotherapist, podiatrist, dietitian and an occupational therapist.  One resident (YPD) had a specific plan for unintentional weight gain.  The contracted physiotherapist reviews residents for mobility support and seating requirements.  The GP, dietitian and allied health professional progress notes were evident in the residents’ files sampled.  Any change in care required is documented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 with the RNs verified that care provided to the residents is consistent with their needs, goals and plan of care.  The interview with the GP confirmed that discussion and referral to allied health professionals took place in a timely manner.  When medical input was required, notification occurred promptly, and any medical orders were appropriately carried out.  Family/whānau expressed during interview that assistance was given according to the wishes of their relatives.  Specialised equipment including sensor mats, hoists (standing and full), transfer belts, lap belts, pressure relieving mattresses and cushions were available for use. </w:t>
            </w:r>
          </w:p>
          <w:p w:rsidR="00EB7645" w:rsidRPr="00BE00C7" w:rsidP="00BE00C7">
            <w:pPr>
              <w:pStyle w:val="OutcomeDescription"/>
              <w:spacing w:before="120" w:after="120"/>
              <w:rPr>
                <w:rFonts w:cs="Arial"/>
                <w:b w:val="0"/>
                <w:lang w:eastAsia="en-NZ"/>
              </w:rPr>
            </w:pPr>
            <w:r w:rsidRPr="00BE00C7">
              <w:rPr>
                <w:rFonts w:cs="Arial"/>
                <w:b w:val="0"/>
                <w:lang w:eastAsia="en-NZ"/>
              </w:rPr>
              <w:t>Continence, wound care products and PPE were in stock for use.  Staff received annual education in continence management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register was reviewed and current; an updated wound care policy including PI management, and management of skin, nutrition and hydration needs were reviewed.  Wound assessment and wound management plans were in place for fourteen residents (across services).  There was one resident with three recorded minor wounds due to lower leg vascular anomalies and one pressure injury, ten minor skin tears, three lower leg ulcers recorded in the wound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Incidence of skin tears are mostly related to the high usage of power chairs within the facility; risks are managed accordingly.  Wound assessments, plans and reviews are current and completed.  Interventions were undertaken in the stated timeframes.  Registered nurses interviewed were aware of when and how to get specialist wound advice when needed.  Monitoring records for (but not limited to) weight, catheter changes, food and fluids, blood sugars, behaviours and routine observations including neurological observations after unwitnessed falls demonstrated that appropriate care delivering is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assistant works 40 hours a week supported by two part time activities assistants (one of whom also works as rehabilitation therapist).  The activities assistant is working towards her diversional therapist qualification and oversees the activity team, documentation and spends one-on-one time with residents.  All activities assistants work Monday to Friday.  One activities assistant is also the rehabilitation assistant and assists with mobility support, exercise plans and works alongside the physiotherapist.  There are three regular volunteers on Saturdays that assist with canine friends and circle bowls.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active volunteers assisting with various activities throughout the month including walking groups and to accompany residents to community involvement activities (salvation army, pub, shopping).  The activities staff have one-on-one time with residents who are unable or who choose not to participate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staff at Rannerdale Village provide an activities programme encompassing links to the restorative model of care and enabling strong community links for the residents.  There is an integrated rest home/hospital programme scheduled across six days.  A monthly activities calendar is distributed to residents and is posted on noticeboards.  Group activities are voluntary and developed by the activities staff in consultation with the clinical manager/acting CEO, physiotherapist and rehabilitation assistant (employed).  Residents are able to participate in a range of activities that are appropriate to their cognitive and physical capabilities and is age appropriate.  A number of clubs and groups have been initiated by residents including the younger people.  Activities are purposeful and focussed to decrease depression, challenging behaviour and mindfulness (laughter yoga, memory group, brain gym, wellbeing group, Rannerdale Village choir).  There is evidence of pastoral care though the provision of church services including Māori church once a month and regular prayer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younger people include gym circuit sessions, breakfast club, coffee outings, playing pool, walks, one-on-one talks and visits into the community.  Special interest groups include a creativity group and art group.  Younger people are supported to access community groups/events of their interest including but not limited to RSA and community men ‘shed.  Social interaction is further promoted through weekly community groups visits to Rannerdale Village.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staff completes an initial assessment and resident profile, an activity care plan, and a 24-hour activities plan.  Evaluations are completed six-monthly as part of the multidisciplinary team review and complex team meetings.  Activities are varied to meet the needs of the groups of residents at the service.  The service has two vans which are used for resident outings and trips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of the activity programme with feedback and suggestions for activities made in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participating in activities on the days of audit.  Residents funded through the MOH disability contract have extra support to assist them to connect 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with the clinical manager, RN, healthcare assistants and DT.  There is a written evaluation against the resident goals that identifies progression towards meeting goals.  Long-term care plans are updated with any changes to meet the resident goals.  Short-term care plans were evident for the care and treatment of short-term problems for residents, and these had been evaluated, closed or transferred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Rannerdale Village facilitates access to other medical and non-medical services.  Referral documentation is maintained on resident files.  The RNs initiate referrals to nurse allied health services.  Other specialist referrals are made by the GPs.  Referrals and options for care were discussed with the family, as evidenced in medical notes.  There was evidence of referrals to the dietitian, occupational therapist, ear health nurse, physiotherapy and the podiatrist.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Chemicals are stored safely in locked areas.  Chemicals sighted were labelled correctly in the original containers, and safety data sheets and product information are readily available to staff.  Gloves, aprons and visors are available, and staff were observed wearing personal protective clothing while carrying out their duties.  RNs and healthcare assistants interviewed confirmed enough pandemic supplies are available.  Staff have completed chemical safety training and staff could describe the pandemic/outbreak plan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Regular and reactive maintenance occurs.  Medical equipment and electrical appliances have been tested and tagged and calibrated.  Hot water temperatures are checked regularly and are maintained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are provided.  The facility has a designated resident smoking area away from the buildings and complies with the recent legislative changes to include the requirements of vaping.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interviewed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have handwashing facilities and are single occupancy.  There are sufficient communal toilet/showers to meet the needs of the residents.  All communal toilets and showers have appropriate signage and locks on the doors.  Fittings, fixtures and flooring is appropriate.  Communal staff and visitor toilets are identifiable and equipped with locks, flowing soap and paper towels.  All rooms are of an appropriate size to allow care to be provided and for the safe use and manoeuvring of mobility aids.  Residents’ rooms are personalised.  There are an adequate number of toilet and showering facilities.  Privacy locks are in place.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in a safe manner and for the safe use and manoeuvring of mobility aids.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large lounge with seating arranged to allow residents to mobilise freely and a conservatory adjacent to this.  There are smaller lounges and private areas for computer access.  There is also a fully equipped gym available for safe supervised exercises.</w:t>
            </w:r>
          </w:p>
          <w:p w:rsidR="00EB7645" w:rsidRPr="00BE00C7" w:rsidP="00BE00C7">
            <w:pPr>
              <w:pStyle w:val="OutcomeDescription"/>
              <w:spacing w:before="120" w:after="120"/>
              <w:rPr>
                <w:rFonts w:cs="Arial"/>
                <w:b w:val="0"/>
                <w:lang w:eastAsia="en-NZ"/>
              </w:rPr>
            </w:pPr>
            <w:r w:rsidRPr="00BE00C7">
              <w:rPr>
                <w:rFonts w:cs="Arial"/>
                <w:b w:val="0"/>
                <w:lang w:eastAsia="en-NZ"/>
              </w:rPr>
              <w:t>Dining areas are spacious to accommodate safe mobility for staff, residents and those residents in power chairs.  All areas are easily accessible for the residents.  Residents interviewed reported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Manufacturer’s data safety sheets are available.  All linen and personal clothing is laundered on site.  There is a well-equipped laundry with a defined clean/dirty area where all linen and personal clothing is laundered by designated laundry staff.  The effectiveness of the cleaning and laundry processes are monitored through internal audits, resident meetings and surveys.  There are dedicated cleaners employed by an external contractor (same as the food service).  Cleaning trolleys are stored safely when not in use.  Residents and relatives interviewed were satisfied with the laundry service and cleanliness of the communal areas and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emergency/disaster/pandemic procedures and manual in place.  There is an approved fire evacuation scheme.  Fire safety training has been provided.  Fire evacuation drills have been conducted six-monthly with the last fire drill occurring on 29 January 2021.  There is a staff member with a current first aid certificate on duty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first aid and pandemic/outbreak supplies are available and are checked on a regular basis.  Sufficient water is stored for emergency use and alternative heating and cooking facilities (three BBQs and four gas bottles) are available.  There is a generator available on request if there is a power failure.  Emergency lighting is available for back-up.  There is an effective call bell system in place.  Visitors and contractors sign in at reception when visiting.  Security checks are conducted each night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list of staff and community numbers for emergency contact and an updated evacuation resident list including mobility status of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all resident rooms are appropriately heated and ventilated.  All resident rooms and the communal areas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Village has an established infection control programme.  The infection control programme, its content and detail, is appropriate for the size, complexity and degree of risk associated with the service.  It is linked into the quality improvement system and the facilities results are benchmarked against the results of other organisations utilising the system.  Monthly infection control reports are generated, and graphed results displayed on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clinical manager/acting CEO (a registered nurse) who commenced the role in July 2020.  The infection control team includes the registered nursing team.  The infection control coordinator oversees infection control for the facility and reports to quality/management, clinical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Staff are kept informed of Covid related risks and responses.  The service has a documented pandemic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infection control coordinator has completed online IC training and is booked to attend the local DHB IC training next month.  The infection control committee is part of the staff meetings as well as the RN meetings.  Infection control is a standing agenda item and both meetings document discussion of all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and public health departments at the local DHB for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hygiene competencies are completed for staff.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Definitions of infections are in place and appropriate to the complexity of service provided.  Infection control data is discussed at both the staff and RN meetings.  Trends are identified, and preventative measures put in place.  Internal audits for infection control are included in the annual audit schedule.  There is close liaison with the GP who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On the day of the audit, there were eight residents with enablers (one resident used three different enablers) and one resident with emergency restraint.  Seven enablers were lap belts, two bed rails and two chair tables.  Emergency restraint involves disabling the electric wheelchair to prevent injury to other residents.  Two resident files reviewed; one for restraint and one for enabler use, both documented an assessment, consent and regular reviews.  Restraint and challenging behaviour education are included in the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manager/registered nurse is the restraint coordinator with a defined job description.  Restraint is discussed in detail at monthly clinical meetings and is an agenda item at quality management and staff meetings.  A comprehensive six-monthly review is completed.  Care staff receive education on safe restraint use at orientation and ongoing.  There is ongoing education including challenging behaviours.  Staff complete restraint competencies.  Staff carry out and record restraint monitoring, including care delivered during the restraint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resident and their family/whānau undertakes assessments.  Restraint assessments are based on information in the care plan, resident/family discussions and observations.  Ongoing consultation with the resident and family/whānau are evident.  A restraint assessment form was completed for the one resident requiring restraint and one of the seven enabler files reviewed.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Monitoring and observation are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three-monthly in conjunction with medical reviews as part of the ongoing review for residents on the restraint register, and as part of their care plan review.  Families and the GP are included as part of this review where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is monitored regularly while in use.  The review of restraint use is discussed at the monthly staff and monthly RN meetings.  The facility is proactive in minimising restraint.  Internal restraint audits are completed.  Individual enabler and restraint use are also reviewed during three monthly GP reviews and six-monthly care plan evaluations.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007"/>
        <w:gridCol w:w="67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have embedded a resident focused activity programme that is inclusive of all residents across the service.  In response to resident-initiated activities and involvement in many aspects of the service, the resident’s satisfaction with the activities programme is evidenced by attendance and resident group involvement.  Activities are culturally appropriate and meet the spiritual care needs of the residents.  Residents are a part of all decision-making processes and this is evident in the resident meetings and resident attendance numbers.</w:t>
            </w:r>
          </w:p>
          <w:p w:rsidR="00EB7645" w:rsidRPr="00BE00C7" w:rsidP="00BE00C7">
            <w:pPr>
              <w:pStyle w:val="OutcomeDescription"/>
              <w:spacing w:before="120" w:after="120"/>
              <w:rPr>
                <w:rFonts w:cs="Arial"/>
                <w:b w:val="0"/>
                <w:lang w:eastAsia="en-NZ"/>
              </w:rPr>
            </w:pPr>
            <w:r w:rsidRPr="00BE00C7">
              <w:rPr>
                <w:rFonts w:cs="Arial"/>
                <w:b w:val="0"/>
                <w:lang w:eastAsia="en-NZ"/>
              </w:rPr>
              <w:t>Rannerdale Village developed quality initiatives aiming to increase the sense of belonging to improve psychological well-being of all their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project was initiated as a result of resident and family/whānau feedback.  Family/whānau often commented they did not have a current photo of their loved one and residents not having whānau to celebrate special occasions with (e.g., Valentine’s day and older persons day).  </w:t>
            </w:r>
          </w:p>
          <w:p w:rsidR="00EB7645" w:rsidRPr="00BE00C7" w:rsidP="00BE00C7">
            <w:pPr>
              <w:pStyle w:val="OutcomeDescription"/>
              <w:spacing w:before="120" w:after="120"/>
              <w:rPr>
                <w:rFonts w:cs="Arial"/>
                <w:b w:val="0"/>
                <w:lang w:eastAsia="en-NZ"/>
              </w:rPr>
            </w:pPr>
            <w:r w:rsidRPr="00BE00C7">
              <w:rPr>
                <w:rFonts w:cs="Arial"/>
                <w:b w:val="0"/>
                <w:lang w:eastAsia="en-NZ"/>
              </w:rPr>
              <w:t>Three projects were reviewed and discussed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projects aimed to ensure: a) there are current photos available for residents’ families; b) residents that do not have close relationships with relatives feel included during special events, c) establishment of community links with the local school and d) to involve staff in a non-medicalised approach to health and wellbeing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A space in the facility was decorated with props and Christmas decorations and called “Ballantynes Christmas Corner”.  Personalised photos were taken of each resident.  Family/whānau were included to create an opportunity for family photos.  Staff and volunteers were allocated tasks - photographer, card making and postage.  Registered nurses and healthcare assistants were involved to assist to write messages.  Cards were sent to family/whānau and were also used as decorations for walls and doors. </w:t>
            </w:r>
          </w:p>
          <w:p w:rsidR="00EB7645" w:rsidRPr="00BE00C7" w:rsidP="00BE00C7">
            <w:pPr>
              <w:pStyle w:val="OutcomeDescription"/>
              <w:spacing w:before="120" w:after="120"/>
              <w:rPr>
                <w:rFonts w:cs="Arial"/>
                <w:b w:val="0"/>
                <w:lang w:eastAsia="en-NZ"/>
              </w:rPr>
            </w:pPr>
            <w:r w:rsidRPr="00BE00C7">
              <w:rPr>
                <w:rFonts w:cs="Arial"/>
                <w:b w:val="0"/>
                <w:lang w:eastAsia="en-NZ"/>
              </w:rPr>
              <w:t>2. All staff wrote messages of kindness to the residents on special event days.  Messages were individualised for each resident and appropriate for their age.</w:t>
            </w:r>
          </w:p>
          <w:p w:rsidR="00EB7645" w:rsidRPr="00BE00C7" w:rsidP="00BE00C7">
            <w:pPr>
              <w:pStyle w:val="OutcomeDescription"/>
              <w:spacing w:before="120" w:after="120"/>
              <w:rPr>
                <w:rFonts w:cs="Arial"/>
                <w:b w:val="0"/>
                <w:lang w:eastAsia="en-NZ"/>
              </w:rPr>
            </w:pPr>
            <w:r w:rsidRPr="00BE00C7">
              <w:rPr>
                <w:rFonts w:cs="Arial"/>
                <w:b w:val="0"/>
                <w:lang w:eastAsia="en-NZ"/>
              </w:rPr>
              <w:t>3. Middleton school pupils who passed the facility gates every day were reluctant to engage positively with residents and had developed a fear-based attitude towards residents.  The service staff engaged closely with the school children, parents and teachers to develop a number of shared activities.  Visits between the school and Rannerdale occur on a weekly basis with many children forming continuity and mutually beneficial relationships with the residents.  Residents and children now greet at the service gates and greet each other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expressed their excitement around their involvement with the activities and that it brought a sense of positivity to the environment.  Residents expressed that they felt valued as a result of the initiatives and families were grateful for the opportunities created.  The clinical manager/acting CEO and quality coordinator interviewed confirmed there was an improvement in overall wellbeing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Rannerdale Village has implemented an activities programme that is meaningful, age appropriate and varied for the residents.  The programme allows residents to maintain strengths and skills, maintain connections with the community and create a sense of belonging though events and activities that they would normally not be able to access.  Through various initiatives inclusiveness, participation and a sense of belonging of residents across the service has improved.  Furthermore, quality data evidenced incidents of challenging behaviour decreased since early July 2020.  The initiatives had such a positive outcome for residents and staff alike and require minimal resources and skills and will continue to be part of Rannerdale Villages daily practices and activities programme. The depth and breadth of activities seen in the Rannerdale Village activities programme exceeds what is expected for the full attainment of this criteria.</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Rannerdale Village Limited - Rannerdale War Veterans' Hospital and Home</w:t>
    </w:r>
    <w:bookmarkEnd w:id="58"/>
    <w:r>
      <w:rPr>
        <w:rFonts w:cs="Arial"/>
        <w:sz w:val="16"/>
        <w:szCs w:val="20"/>
      </w:rPr>
      <w:tab/>
      <w:t xml:space="preserve">Date of Audit: </w:t>
    </w:r>
    <w:bookmarkStart w:id="59" w:name="AuditStartDate1"/>
    <w:r>
      <w:rPr>
        <w:rFonts w:cs="Arial"/>
        <w:sz w:val="16"/>
        <w:szCs w:val="20"/>
      </w:rPr>
      <w:t>15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