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Calvary Hospital Southland Limited - Calvary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Calvary Hospital Southland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Calvary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May 2021</w:t>
      </w:r>
      <w:bookmarkEnd w:id="7"/>
      <w:r w:rsidRPr="009418D4">
        <w:rPr>
          <w:rFonts w:cs="Arial"/>
        </w:rPr>
        <w:tab/>
        <w:t xml:space="preserve">End date: </w:t>
      </w:r>
      <w:bookmarkStart w:id="8" w:name="AuditEndDate"/>
      <w:r w:rsidR="00A4268A">
        <w:rPr>
          <w:rFonts w:cs="Arial"/>
        </w:rPr>
        <w:t>12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Calvary Hospital provides rest home and hospital level care for up to 72 residents. The service is operated by Calvary Hospital Southland Limited board and managed by a manager and a clinical coordinator.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family/whānau, management, staff and two general practitioners.</w:t>
      </w:r>
    </w:p>
    <w:p w:rsidRPr="00A4268A">
      <w:pPr>
        <w:spacing w:before="240" w:line="276" w:lineRule="auto"/>
        <w:rPr>
          <w:rFonts w:eastAsia="Calibri"/>
        </w:rPr>
      </w:pPr>
      <w:r w:rsidRPr="00A4268A">
        <w:rPr>
          <w:rFonts w:eastAsia="Calibri"/>
        </w:rPr>
        <w:t>This audit has resulted in continuous improvements relating to service delivery interventions and infection surveillance.  There were no areas identified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At the time of entry to the service, new residents and family members are informed about feedback processes, including how to make a complaint. Appropriate written information is also provided. A complaints register is maintained with complaints resolved according to policy and procedures.</w:t>
      </w:r>
    </w:p>
    <w:p w:rsidRPr="00A4268A">
      <w:pPr>
        <w:spacing w:before="240" w:line="276" w:lineRule="auto"/>
        <w:rPr>
          <w:rFonts w:eastAsia="Calibri"/>
        </w:rPr>
      </w:pPr>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family/whānau.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are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Sixteen enablers and no restraints were in use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90"/>
        <w:gridCol w:w="1280"/>
        <w:gridCol w:w="100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Calvary Hospital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staff and health care assistants interviewed understood the principles and practice of informed consent. Informed consent policies provide relevant guidance to staff. The clinical files reviewed show that informed consent has been gained appropriately using the organisation’s standard consent form. Advance care planning establishing and documenting enduring power of attorney requirements and processes for residents unable to consent are defined and documented, as relevant, in the residents’ records. Staff were observed to gain consent for day to day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to Calvary Hospital, residents are given a copy of the Code, which also includes information on the Advocacy Service. Posters and brochures related to the Advocacy Service were also displayed and available in the facility at reception. Family members and residents spoken with were aware of the Advocacy Service, how to access this, and their right to have support persons. Staff were aware of the advocacy services and shared that the service had not been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entertainment and daily mass.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 A young person with disability was accompanied by staff to visit his family home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families/whānau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one complaint has been received over the past year and that actions taken, through to an agreed resolution, are documented and completed within the expected timeframes.  Action plans show any required follow up and improvements have been made where possible. The manager is responsible for complaints management and follow up. All staff interviewed confirmed a sound understanding of the complaint process and what actions are required. There has been one complaint received from external sources since the previous audit. The service followed up with actions within agreed timeframes and the complaint was closed in April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discussion with staff, and they are required to sign on the general consent form to say this has occurred. The Code is displayed on noticeboards around the facility, and at reception there are brochures on the Code and advocacy services, how to make a complaint, and feedback forms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current residents have a private room, with the option of a shared room being available for those who prefer 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with rest home residents, able to arrange their own visits to the doctor if they choose and participate in external clubs of their choosing. Care plans included documentation related to the resident’s abilities, and strategies to maximise independence. A young person with a disability has the option to spend time in the chapel where they can listen to music in a genre suitable to their 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Four residents identified as Māori and when they and their whānau were interviewed they reported that staff acknowledge and respect their individual cultural needs and the activities programme includes appropriate cultural activities led by a resident’s whanau.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for example those that wish to attend mass.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 based policies, input from external specialist services and allied health professionals, for example, dietitians, physiotherapists, mental health services for older persons and education of staff. The general practitioner (GP)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such as healthLearn, post graduate study and palliative care courses. Calvary Hospital provides a holistic approach to care by providing support through a pastoral care worker.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by emails in residents’ files.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through the Southern District Health Board, although reported this was rarely required due to all residents being able to speak English. One of the young persons with disability in the hospital has used a tablet to aid in communicating.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longer-term objectives and the associated operational plans. A sample of monthly reports to the board of directors showed adequate information to monitor performance is reported including occupancy, staffing, financial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manager who holds relevant qualifications and has been in the role for 16 years. Responsibilities and accountabilities are defined in a job description and individual employment agreement.  The manager confirms knowledge of the sector, regulatory and reporting requirements and maintains currency through District Health Board training.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Southern District Health Board (DHB), Ministry of Health (MoH) for Younger People with a Disability (YPD), respite, complex medical conditions, palliative care, long term chronic conditions (LTCC) and rest home care. Seventy-two residents were receiving services under the contract; 23 rest home including one respite resident and two private paying residents; 47 hospital including three LTCC and four YPD residents. There were no residents under the palliative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manager is absent, the clinical coordinator carries out all the required duties under delegated authority. During absences of key clinical staff, the clinical management is overseen by a registered nurse (RN)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restraint minimisation.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quality meetings and staff meetings. Staff reported their involvement in quality and risk management activities through audit activities, feedback at staff meetings and graphs on the notice board in the staff room. Relevant corrective actions are developed and implemented to address any shortfalls. Resident and family/whānau satisfaction surveys are completed annually. The most recent survey showed some dissatisfaction with the food service – too soft, variety, hotter, try normal food. The service and kitchen staff have addressed individual concerns and the latest resident meeting showed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 form. A sample of incidents forms reviewed showed these were fully completed, incidents were investigated, action plans developed and actions followed-up in a timely manner.  Adverse event data is collated, analysed and reported to the quality, staff and board meetings.</w:t>
            </w:r>
          </w:p>
          <w:p w:rsidR="00EB7645" w:rsidRPr="00BE00C7" w:rsidP="00BE00C7">
            <w:pPr>
              <w:pStyle w:val="OutcomeDescription"/>
              <w:spacing w:before="120" w:after="120"/>
              <w:rPr>
                <w:rFonts w:cs="Arial"/>
                <w:b w:val="0"/>
                <w:lang w:eastAsia="en-NZ"/>
              </w:rPr>
            </w:pPr>
            <w:r w:rsidRPr="00BE00C7">
              <w:rPr>
                <w:rFonts w:cs="Arial"/>
                <w:b w:val="0"/>
                <w:lang w:eastAsia="en-NZ"/>
              </w:rPr>
              <w:t>The manager described essential notification reporting requirements, including for pressure injuries (PI).  They advised there have been seven six relating to PI notifications of significant events made to the Ministry of Health since the previous audit. Six relating to PI and one fall related.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Podiatry services are provided six weekly. The RN identifies those residents who require podiatrist based on care staff reports.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Orientation includes all necessary components relevant to the role. Staff reported that the orientation process prepared them well for their role.  Records reviewed show documentation of completed orientation and a performance review after a three-month period and then annually thereafter.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Of 49 care staff, 28 are trained to pay equity levels. There were 24 ‘level 3’ trained care staff and three in training; four ‘level 4’ trained care staff with two in training. The service has increased pain education as a result of an external complaint. Staff have been provided with skills to identify pain four ways and have included hospice training in recognising pain for both care staff and registered nurses. They have received training in identifying and reporting on a declining resident and oral cares.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family/whānau interviewed supported this. Observations and review of four weeks of past rosters confirmed adequate staff cover has been provided, with staff replaced in any unplanned absence.  At least one staff member on duty has a current first aid certificate and there was 24//7 RN coverage in the hospital. A review of rosters shows consistently on morning shift – two registered nurses (RN) or one RN and one enrolled nurse (EN) and six care staff – on afternoon shift two RN’s and five care staff and on night shift for the whole facility one RN and two care staff. There is one care staff employed per shift for one resident. The facility works on the ration of one care staff for five residents in the morning and one care staff for six residents in the afternoon shift. The night RN starts work at 9:30pm to attend to paperwork so they are available for direct care over-night. There are no syringe drivers changed overnight. Staff interviewed report this works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stored in a locked cupboard in the rest home and in the nurses’ station in the hospital with the door closed when staff are absent from the office.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Services Coordination (NASC) Service. Prospective residents and/or their families are encouraged to visit the facility prior to admission and are provided with written information about the service and the admission process. The organisation seeks updated information from the general practitioner for residents accessing respite care. Young people with disability had current needs assessments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if family members cannot attend.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appropriate processes were followed.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The medication round observed was handled in a safe and appropriate manner. The facility has three drug trolleys and two medication rooms with appropriate storage.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On arrival the night staff check the medication against the prescription and enter it into Medi-map. All medications sighted were within current use by dates. Clinical pharmacist input is provided on request. The facility or resident GP has total responsibility for medication management. There is no arrangement for Hospice staff to alter or update resident medication.</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is consistently recorded on the nurses’ hand over sheet.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self-administer medications at the time of audit. The enrolled nurse was able to explain the process if any wished to do this and showed locked drawers in resident rooms for secure medication storage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Errors that had been reported were handled according to protocol.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services are provided on site by a qualified chef, cook and kitchen team, and are in line with recognised nutritional guidelines for older people. The menu follows summer and winter patterns and has been reviewed by a qualified dietitian within the last two years (December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Invercargill city council. This is current until August 2021. Food temperatures, including for high risk items, are monitored appropriately and recorded as part of the plan. The food services manager has undertaken level four hospitality training,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A continental breakfast is served buffet style for the rest home residents which has encouraged residents to get up. The main meals are delivered to two dining rooms in pre heated bain maries with temperatures being checked at point of service.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Kitchen staff have responded to previous surveys and requests made by residents, resident meeting minutes confirmed changes increased satisfaction. Residents were seen to be given sufficient time to eat their meal in an unhurried fashion and those requiring assistance had this provided in a separate corner of the dining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Rest home residents are able to remain at Calvary Hospital when their needs change after reassessment by transitioning to the hospital and use of designated swing beds.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documented using validated nursing assessment tools including pain scale, falls risk, skin integrity, nutritional screening and mobility, as a means to identify any deficits and to inform care planning. All residents are seen by a physiotherapist routinely in the hospital and on an as needed basis in the rest home. The sampled care plans reviewed had an integrated range of resident-related information. All residents have current interRAI assessments completed by one of three trained interRAI assessors on site. Residents and families confirmed their involvement in the assessment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reflected the support needs of residents, and the outcomes of the integrated assessment process and other relevant clinical information. Individual needs identified by the interRAI assessments were reflected in care plans reviewed. The young people with disabilities had a current outcomes assessment on file specific to their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medical and allied health professionals’ notations clearly written, informative and relevant. Any change in care required is documented and verbally passed on to relevant staff at handover. Residents and families reported participation in the development and ongoing evaluation of care plans through input in the three monthly multidisciplinary meetings they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two GPs interviewed, verified that medical input is sought in a timely manner, that medical orders are followed, and care is of a high standard. Care staff confirmed that care was provided as outlined in the documentation. A range of equipment and resources was available such as pressure relieving devices, specialised wheelchairs and exercise equipment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activities coordinators (one is halfway through the national Certificate in Diversional Therapy), and two activities assistants. They work alongside the pastoral care worker whose responsibility is organising church services and supporting residents and family members. The programme covers seven days in the hospital and Monday to Friday in the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life history is undertaken on admission to ascertain residents’ needs, interests, abilities and social requirements. Activities assessments are regularly reviewed to help formulate an activities programme that is meaningful to the residents. The residents’ activity needs are evaluated by discussion with the residents and observations of their engagement in the activity as well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such as newspaper reading, exercises and quizzes. Individual, group activities and regular events are offered. Shopping trips, meals out and drives to scenic places are included for the young people with disabilities. Residents and families/whānau are involved in evaluating and improving the programme through quarterly residents’ meetings. Residents interviewed confirmed they find the programme varied and interesting.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three months in conjunction with the six-monthly interRAI reassessment, or as residents’ needs change with multidisciplinary meetings held to update family members. If family members are unable to attend then an email is sent with a summary of care provided and medical progress.  Where progress is different from expected, the service responds by initiating changes to the plan of care. Examples of short term care plans being consistently reviewed and progress evaluated as clinically indicated were noted for wound management and weight loss.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and many do. The facility has dealings with twenty six doctors. If the need for other non-urgent services are indicated or requested, the GP or RN sends a referral to seek specialist input. Copies of referrals were sighted in residents’ files, including to dietitian and speech language therapist.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There is a designated chemical handler who has completed the required training.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04 Feb 2022)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ensuites that are shared between two residents.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as confirmed in interview of cleaning staff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23 February 2017.  A trial evacuation takes place six-monthly with a copy sent to the New Zealand Fire Service, the most recent being on 14 April 2021.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total number of residents and the emergency supply requirements for the region. Water storage tanks are located around the complex, and there is a generator available for use.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Audits of the call system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Many have doors that open onto the internal garden. Heating is provided by electric fixed wall heaters in residents’ rooms and in the communal areas. Areas were warm and well ventilated throughout the audit and residents and families/whānau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from an external infection prevention and control specialist organisation. The infection control programme and manual are reviewed annually (9 February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is the designated IPC coordinator, whose role and responsibilities are defined in a job description and time is allocated for the role. Infection control matters, including surveillance results, are reported monthly to the facility manager, and tabled at the quality committee meeting. This committee includes the facility manager, IPC coordinator, and heads of departments.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QR code and sign in book was available at the main entrance to the facility for contract tracing purposes. The infection control manual provides guidance for staff about how long they must stay away from work if they have been unwell. Staff interviewed understood these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five years. She has attended infection control conferences, and a course at the polytechnic, in infection prevention and control and attended relevant study days, as verified in training records sighted. Additional support and information are accessed from the infection control team at the DHB, the community laboratory, the GP and ministry of health.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February 2021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on infection prevention and control at orientation and ongoing education sessions.  Education is provided by the IPC coordinator. Content of the training is documented and evaluated to ensure it is relevant, current and understood. A record of attendance and completion of IPC study booklet is maintained. When an infection outbreak or an increase in infection incidence has occurred, there was evidence that additional staff education has been provided in response. An example of this occurred during the COVID-19 pandemic.</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and advice about remaining in their room if they are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and the upper and lower respiratory tract.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These are reported to the quality and facility manager. Observation of data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their role and responsibilities. Staff were able to identify the difference between restraint and enabler use and records verified restraint minimisation training.</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16 residents were using enablers, which were the least restrictive and used voluntarily at their request for safety. There were no residents using restraints. A similar process is followed for the use of enablers as would be used for restraints. The facility has been restraint free for seven years.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44"/>
        <w:gridCol w:w="1280"/>
        <w:gridCol w:w="7534"/>
        <w:gridCol w:w="30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physiotherapist and two physio assistants to ensure mobility and improved functioning is a priority. In 2018 total falls for 12 months in the hospital were 181. Staff and the physiotherapist questioned the effectiveness of seated falls prevention exercise classes being provided and the poor attendance at these classes.</w:t>
            </w:r>
          </w:p>
          <w:p w:rsidR="00EB7645" w:rsidRPr="00BE00C7" w:rsidP="00BE00C7">
            <w:pPr>
              <w:pStyle w:val="OutcomeDescription"/>
              <w:spacing w:before="120" w:after="120"/>
              <w:rPr>
                <w:rFonts w:cs="Arial"/>
                <w:b w:val="0"/>
                <w:lang w:eastAsia="en-NZ"/>
              </w:rPr>
            </w:pPr>
            <w:r w:rsidRPr="00BE00C7">
              <w:rPr>
                <w:rFonts w:cs="Arial"/>
                <w:b w:val="0"/>
                <w:lang w:eastAsia="en-NZ"/>
              </w:rPr>
              <w:t>In 2019 the service commenced a community group strength and balance class provided by the physiotherapy aids and overseen by the physiotherapist. Attendance increased and in 2020 falls reduced in the hospital wing by 28.36%.</w:t>
            </w:r>
          </w:p>
          <w:p w:rsidR="00EB7645" w:rsidRPr="00BE00C7" w:rsidP="00BE00C7">
            <w:pPr>
              <w:pStyle w:val="OutcomeDescription"/>
              <w:spacing w:before="120" w:after="120"/>
              <w:rPr>
                <w:rFonts w:cs="Arial"/>
                <w:b w:val="0"/>
                <w:lang w:eastAsia="en-NZ"/>
              </w:rPr>
            </w:pPr>
            <w:r w:rsidRPr="00BE00C7">
              <w:rPr>
                <w:rFonts w:cs="Arial"/>
                <w:b w:val="0"/>
                <w:lang w:eastAsia="en-NZ"/>
              </w:rPr>
              <w:t>Two residents identified by the staff and physiotherapist to improve mobility attended these classes either in a group or one to one. Resident A moved from being transferred in a full sling hoist to walking with a high frame with assistance of one care staff. Resident B had one to one intensive strength and balance input from the physiotherapist, physiotherapy aids and Calvary staff and progressed from a hoist transfer to a high walking frame and discharged home driving a car in four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employment of a physiotherapist and two physiotherapy aids and the introduction of a group strength and balance class has reduced falls in the hospital wing and significantly improved outcomes for two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3.4.1</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provided by a suitably qualified person who maintains their knowledge of current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2016 annual infections totalled 138. The IPC coordinator compiled a booklet for clinical and non-clinical staff covering all aspects of infection control. Staff receive these annually and have a two month time frame to complete them. They are able to work independently referencing the IPC manuals, in groups or one on one with the clinical coordinator depending on their preferred style of learning. Each year different sessions are held so practical aspects can be incorporated and the programme does not become routine. With the increased level of understanding a 48% reduction in infections was recorded.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introduction of infection control booklets, self and group learning as well as education sessions has empowered the staff to be actively involved in all matters of infection control and has benefitted the residents with a decreased rate of infection.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Calvary Hospital Southland Limited - Calvary Hospital</w:t>
    </w:r>
    <w:bookmarkEnd w:id="58"/>
    <w:r>
      <w:rPr>
        <w:rFonts w:cs="Arial"/>
        <w:sz w:val="16"/>
        <w:szCs w:val="20"/>
      </w:rPr>
      <w:tab/>
      <w:t xml:space="preserve">Date of Audit: </w:t>
    </w:r>
    <w:bookmarkStart w:id="59" w:name="AuditStartDate1"/>
    <w:r>
      <w:rPr>
        <w:rFonts w:cs="Arial"/>
        <w:sz w:val="16"/>
        <w:szCs w:val="20"/>
      </w:rPr>
      <w:t>11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